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6517" w14:textId="77777777" w:rsidR="00922E2F" w:rsidRPr="00922E2F" w:rsidRDefault="00922E2F" w:rsidP="00922E2F">
      <w:pPr>
        <w:pStyle w:val="Title"/>
        <w:rPr>
          <w:b/>
          <w:bCs/>
          <w:sz w:val="40"/>
          <w:szCs w:val="40"/>
        </w:rPr>
      </w:pPr>
      <w:r w:rsidRPr="00922E2F">
        <w:rPr>
          <w:b/>
          <w:bCs/>
          <w:sz w:val="40"/>
          <w:szCs w:val="40"/>
        </w:rPr>
        <w:t>Indian Statistical Institute</w:t>
      </w:r>
    </w:p>
    <w:p w14:paraId="67CBD86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BSDS: 2024-26</w:t>
      </w:r>
    </w:p>
    <w:p w14:paraId="1239D857" w14:textId="77777777" w:rsidR="00922E2F" w:rsidRPr="0089421A" w:rsidRDefault="00922E2F" w:rsidP="00922E2F">
      <w:pPr>
        <w:pStyle w:val="Title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First Year: Semester – II </w:t>
      </w:r>
    </w:p>
    <w:p w14:paraId="502D2AD1" w14:textId="77777777" w:rsidR="00922E2F" w:rsidRPr="0089421A" w:rsidRDefault="00922E2F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>Economics-II</w:t>
      </w:r>
    </w:p>
    <w:p w14:paraId="6274D228" w14:textId="77777777" w:rsidR="00DA6FD0" w:rsidRPr="0089421A" w:rsidRDefault="00DA6FD0" w:rsidP="00922E2F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14:paraId="6FD06A04" w14:textId="791EEC1A" w:rsidR="00922E2F" w:rsidRPr="0089421A" w:rsidRDefault="00922E2F" w:rsidP="00922E2F">
      <w:pPr>
        <w:jc w:val="center"/>
        <w:rPr>
          <w:b/>
          <w:bCs/>
          <w:sz w:val="28"/>
          <w:szCs w:val="28"/>
        </w:rPr>
      </w:pPr>
      <w:r w:rsidRPr="0089421A">
        <w:rPr>
          <w:b/>
          <w:bCs/>
          <w:sz w:val="28"/>
          <w:szCs w:val="28"/>
        </w:rPr>
        <w:t xml:space="preserve">Practical Exercise </w:t>
      </w:r>
      <w:r w:rsidR="00230129">
        <w:rPr>
          <w:b/>
          <w:bCs/>
          <w:sz w:val="28"/>
          <w:szCs w:val="28"/>
        </w:rPr>
        <w:t>8</w:t>
      </w:r>
    </w:p>
    <w:p w14:paraId="64B7541B" w14:textId="286DB43D" w:rsidR="00FA48E6" w:rsidRDefault="001D48BB" w:rsidP="00F50939">
      <w:pPr>
        <w:jc w:val="right"/>
        <w:rPr>
          <w:sz w:val="28"/>
          <w:szCs w:val="28"/>
        </w:rPr>
      </w:pPr>
      <w:r>
        <w:rPr>
          <w:sz w:val="28"/>
          <w:szCs w:val="28"/>
        </w:rPr>
        <w:t>03</w:t>
      </w:r>
      <w:r w:rsidR="00F50939">
        <w:rPr>
          <w:sz w:val="28"/>
          <w:szCs w:val="28"/>
        </w:rPr>
        <w:t xml:space="preserve"> </w:t>
      </w:r>
      <w:r w:rsidR="00C83D85">
        <w:rPr>
          <w:sz w:val="28"/>
          <w:szCs w:val="28"/>
        </w:rPr>
        <w:t>April</w:t>
      </w:r>
      <w:r w:rsidR="00F50939">
        <w:rPr>
          <w:sz w:val="28"/>
          <w:szCs w:val="28"/>
        </w:rPr>
        <w:t xml:space="preserve"> 2025</w:t>
      </w:r>
    </w:p>
    <w:p w14:paraId="5C9D86F5" w14:textId="77777777" w:rsidR="00F50939" w:rsidRPr="009F659A" w:rsidRDefault="00F50939" w:rsidP="00F50939">
      <w:pPr>
        <w:jc w:val="right"/>
        <w:rPr>
          <w:sz w:val="28"/>
          <w:szCs w:val="28"/>
        </w:rPr>
      </w:pPr>
    </w:p>
    <w:p w14:paraId="09AF0B97" w14:textId="636621DD" w:rsidR="003A5372" w:rsidRPr="008A008B" w:rsidRDefault="0089442D" w:rsidP="00431C46">
      <w:pPr>
        <w:numPr>
          <w:ilvl w:val="0"/>
          <w:numId w:val="1"/>
        </w:numPr>
        <w:ind w:left="357" w:hanging="357"/>
        <w:jc w:val="both"/>
        <w:rPr>
          <w:sz w:val="24"/>
        </w:rPr>
      </w:pPr>
      <w:r w:rsidRPr="0089442D">
        <w:rPr>
          <w:sz w:val="24"/>
        </w:rPr>
        <w:t xml:space="preserve">Size distributions of PCE (per capita total consumer expenditure on all items per 30 days) are shown below for rural India. </w:t>
      </w:r>
      <w:r>
        <w:rPr>
          <w:sz w:val="24"/>
        </w:rPr>
        <w:t>A</w:t>
      </w:r>
      <w:r w:rsidR="008A008B">
        <w:rPr>
          <w:sz w:val="24"/>
        </w:rPr>
        <w:t xml:space="preserve">pply </w:t>
      </w:r>
      <w:r w:rsidR="003A5372" w:rsidRPr="008A008B">
        <w:rPr>
          <w:sz w:val="24"/>
        </w:rPr>
        <w:t>the method of quantiles to estimate the parameters of the underlying lognormal distributions. Hence</w:t>
      </w:r>
      <w:r w:rsidR="00820C67">
        <w:rPr>
          <w:sz w:val="24"/>
        </w:rPr>
        <w:t>,</w:t>
      </w:r>
      <w:r w:rsidR="003A5372" w:rsidRPr="008A008B">
        <w:rPr>
          <w:sz w:val="24"/>
        </w:rPr>
        <w:t xml:space="preserve"> compute Lorenz Ratio.</w:t>
      </w:r>
    </w:p>
    <w:p w14:paraId="4D6F7BF5" w14:textId="77777777" w:rsidR="005C0C04" w:rsidRDefault="005C0C04" w:rsidP="005C0C04">
      <w:pPr>
        <w:ind w:left="180"/>
        <w:jc w:val="both"/>
        <w:rPr>
          <w:sz w:val="24"/>
        </w:rPr>
      </w:pPr>
    </w:p>
    <w:p w14:paraId="74C1DD68" w14:textId="77777777" w:rsidR="002C1CD3" w:rsidRDefault="005C0C04" w:rsidP="00BA4E52">
      <w:pPr>
        <w:pStyle w:val="Heading1"/>
        <w:rPr>
          <w:b/>
        </w:rPr>
      </w:pPr>
      <w:r>
        <w:rPr>
          <w:b/>
        </w:rPr>
        <w:t xml:space="preserve">Table 1: Per </w:t>
      </w:r>
      <w:r w:rsidR="002810CE">
        <w:rPr>
          <w:b/>
        </w:rPr>
        <w:t>T</w:t>
      </w:r>
      <w:r>
        <w:rPr>
          <w:b/>
        </w:rPr>
        <w:t xml:space="preserve">housand </w:t>
      </w:r>
      <w:r w:rsidR="002810CE">
        <w:rPr>
          <w:b/>
        </w:rPr>
        <w:t>D</w:t>
      </w:r>
      <w:r>
        <w:rPr>
          <w:b/>
        </w:rPr>
        <w:t xml:space="preserve">istributions of </w:t>
      </w:r>
      <w:r w:rsidR="002810CE">
        <w:rPr>
          <w:b/>
        </w:rPr>
        <w:t>P</w:t>
      </w:r>
      <w:r w:rsidR="00747EDF">
        <w:rPr>
          <w:b/>
        </w:rPr>
        <w:t>e</w:t>
      </w:r>
      <w:r w:rsidR="002810CE">
        <w:rPr>
          <w:b/>
        </w:rPr>
        <w:t>rsons</w:t>
      </w:r>
      <w:r>
        <w:rPr>
          <w:b/>
        </w:rPr>
        <w:t xml:space="preserve"> </w:t>
      </w:r>
      <w:r w:rsidR="002C1CD3">
        <w:rPr>
          <w:b/>
        </w:rPr>
        <w:t>O</w:t>
      </w:r>
      <w:r>
        <w:rPr>
          <w:b/>
        </w:rPr>
        <w:t xml:space="preserve">ver </w:t>
      </w:r>
      <w:r w:rsidR="002C1CD3">
        <w:rPr>
          <w:b/>
        </w:rPr>
        <w:t>C</w:t>
      </w:r>
      <w:r>
        <w:rPr>
          <w:b/>
        </w:rPr>
        <w:t>lasses of PCE:</w:t>
      </w:r>
      <w:r w:rsidR="00BA4E52">
        <w:rPr>
          <w:b/>
        </w:rPr>
        <w:t xml:space="preserve"> </w:t>
      </w:r>
    </w:p>
    <w:p w14:paraId="39B3B2CF" w14:textId="692CBFAA" w:rsidR="005C0C04" w:rsidRPr="00DB6585" w:rsidRDefault="005C0C04" w:rsidP="00BA4E52">
      <w:pPr>
        <w:pStyle w:val="Heading1"/>
        <w:rPr>
          <w:b/>
        </w:rPr>
      </w:pPr>
      <w:r>
        <w:rPr>
          <w:b/>
        </w:rPr>
        <w:t>All India rural</w:t>
      </w:r>
    </w:p>
    <w:p w14:paraId="3DDF8E22" w14:textId="77777777" w:rsidR="005C0C04" w:rsidRDefault="005C0C04" w:rsidP="005C0C04">
      <w:pPr>
        <w:ind w:left="1080"/>
        <w:rPr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3827"/>
      </w:tblGrid>
      <w:tr w:rsidR="009D20CC" w14:paraId="27344356" w14:textId="77777777" w:rsidTr="00BA4E52">
        <w:trPr>
          <w:jc w:val="center"/>
        </w:trPr>
        <w:tc>
          <w:tcPr>
            <w:tcW w:w="3310" w:type="dxa"/>
          </w:tcPr>
          <w:p w14:paraId="17EE6C6D" w14:textId="0BC65A29" w:rsidR="009D20CC" w:rsidRPr="00A41CD0" w:rsidRDefault="0084528C" w:rsidP="00A41CD0">
            <w:pPr>
              <w:jc w:val="center"/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>PCE (Rs.)</w:t>
            </w:r>
          </w:p>
        </w:tc>
        <w:tc>
          <w:tcPr>
            <w:tcW w:w="3827" w:type="dxa"/>
          </w:tcPr>
          <w:p w14:paraId="30C24094" w14:textId="4EEC88C2" w:rsidR="009D20CC" w:rsidRPr="00A41CD0" w:rsidRDefault="0084528C" w:rsidP="005C0C04">
            <w:pPr>
              <w:rPr>
                <w:b/>
                <w:bCs/>
                <w:sz w:val="24"/>
              </w:rPr>
            </w:pPr>
            <w:r w:rsidRPr="00A41CD0">
              <w:rPr>
                <w:b/>
                <w:bCs/>
                <w:sz w:val="24"/>
              </w:rPr>
              <w:t xml:space="preserve">Number of </w:t>
            </w:r>
            <w:r w:rsidR="00A41CD0" w:rsidRPr="00A41CD0">
              <w:rPr>
                <w:b/>
                <w:bCs/>
                <w:sz w:val="24"/>
              </w:rPr>
              <w:t>people</w:t>
            </w:r>
            <w:r w:rsidRPr="00A41CD0">
              <w:rPr>
                <w:b/>
                <w:bCs/>
                <w:sz w:val="24"/>
              </w:rPr>
              <w:t xml:space="preserve"> (per thousand)</w:t>
            </w:r>
          </w:p>
        </w:tc>
      </w:tr>
      <w:tr w:rsidR="009D20CC" w14:paraId="4A09ED65" w14:textId="77777777" w:rsidTr="00BA4E52">
        <w:trPr>
          <w:jc w:val="center"/>
        </w:trPr>
        <w:tc>
          <w:tcPr>
            <w:tcW w:w="3310" w:type="dxa"/>
          </w:tcPr>
          <w:p w14:paraId="79E22D34" w14:textId="2CCFAE0D" w:rsidR="009D20CC" w:rsidRDefault="0027697F" w:rsidP="00E966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  <w:r w:rsidR="00105801">
              <w:rPr>
                <w:sz w:val="24"/>
              </w:rPr>
              <w:t xml:space="preserve">0 – </w:t>
            </w:r>
            <w:r>
              <w:rPr>
                <w:sz w:val="24"/>
              </w:rPr>
              <w:t>0</w:t>
            </w:r>
            <w:r w:rsidR="00E231AC">
              <w:rPr>
                <w:sz w:val="24"/>
              </w:rPr>
              <w:t>65</w:t>
            </w:r>
          </w:p>
        </w:tc>
        <w:tc>
          <w:tcPr>
            <w:tcW w:w="3827" w:type="dxa"/>
          </w:tcPr>
          <w:p w14:paraId="74ED2DFB" w14:textId="40C1245E" w:rsidR="009D20CC" w:rsidRDefault="00A41CD0" w:rsidP="00E231A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19</w:t>
            </w:r>
          </w:p>
        </w:tc>
      </w:tr>
      <w:tr w:rsidR="007F2741" w14:paraId="2AF6353E" w14:textId="77777777" w:rsidTr="00BA4E52">
        <w:trPr>
          <w:jc w:val="center"/>
        </w:trPr>
        <w:tc>
          <w:tcPr>
            <w:tcW w:w="3310" w:type="dxa"/>
          </w:tcPr>
          <w:p w14:paraId="79E5153A" w14:textId="7EB1D9E0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065 – 080</w:t>
            </w:r>
          </w:p>
        </w:tc>
        <w:tc>
          <w:tcPr>
            <w:tcW w:w="3827" w:type="dxa"/>
          </w:tcPr>
          <w:p w14:paraId="646C5498" w14:textId="3BE5F2A8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31</w:t>
            </w:r>
          </w:p>
        </w:tc>
      </w:tr>
      <w:tr w:rsidR="007F2741" w14:paraId="01B058B2" w14:textId="77777777" w:rsidTr="00BA4E52">
        <w:trPr>
          <w:jc w:val="center"/>
        </w:trPr>
        <w:tc>
          <w:tcPr>
            <w:tcW w:w="3310" w:type="dxa"/>
          </w:tcPr>
          <w:p w14:paraId="42656630" w14:textId="11131D0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080 – 095</w:t>
            </w:r>
          </w:p>
        </w:tc>
        <w:tc>
          <w:tcPr>
            <w:tcW w:w="3827" w:type="dxa"/>
          </w:tcPr>
          <w:p w14:paraId="470E1109" w14:textId="73F5454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46</w:t>
            </w:r>
          </w:p>
        </w:tc>
      </w:tr>
      <w:tr w:rsidR="007F2741" w14:paraId="6A460F13" w14:textId="77777777" w:rsidTr="00BA4E52">
        <w:trPr>
          <w:jc w:val="center"/>
        </w:trPr>
        <w:tc>
          <w:tcPr>
            <w:tcW w:w="3310" w:type="dxa"/>
          </w:tcPr>
          <w:p w14:paraId="654750A5" w14:textId="3654F57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095 – 110</w:t>
            </w:r>
          </w:p>
        </w:tc>
        <w:tc>
          <w:tcPr>
            <w:tcW w:w="3827" w:type="dxa"/>
          </w:tcPr>
          <w:p w14:paraId="7BEDBBAE" w14:textId="698BA181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89</w:t>
            </w:r>
          </w:p>
        </w:tc>
      </w:tr>
      <w:tr w:rsidR="007F2741" w14:paraId="5FF9AEB7" w14:textId="77777777" w:rsidTr="00BA4E52">
        <w:trPr>
          <w:jc w:val="center"/>
        </w:trPr>
        <w:tc>
          <w:tcPr>
            <w:tcW w:w="3310" w:type="dxa"/>
          </w:tcPr>
          <w:p w14:paraId="776A2244" w14:textId="651F618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 – 125</w:t>
            </w:r>
          </w:p>
        </w:tc>
        <w:tc>
          <w:tcPr>
            <w:tcW w:w="3827" w:type="dxa"/>
          </w:tcPr>
          <w:p w14:paraId="3DB1904D" w14:textId="51A3791F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7F2741">
              <w:rPr>
                <w:sz w:val="24"/>
              </w:rPr>
              <w:t>94</w:t>
            </w:r>
          </w:p>
        </w:tc>
      </w:tr>
      <w:tr w:rsidR="007F2741" w14:paraId="2BB5E7FD" w14:textId="77777777" w:rsidTr="00BA4E52">
        <w:trPr>
          <w:jc w:val="center"/>
        </w:trPr>
        <w:tc>
          <w:tcPr>
            <w:tcW w:w="3310" w:type="dxa"/>
          </w:tcPr>
          <w:p w14:paraId="59751ED3" w14:textId="494FC229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125 – 140</w:t>
            </w:r>
          </w:p>
        </w:tc>
        <w:tc>
          <w:tcPr>
            <w:tcW w:w="3827" w:type="dxa"/>
          </w:tcPr>
          <w:p w14:paraId="7D2C689A" w14:textId="063B4153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</w:tr>
      <w:tr w:rsidR="007F2741" w14:paraId="231188D6" w14:textId="77777777" w:rsidTr="00BA4E52">
        <w:trPr>
          <w:jc w:val="center"/>
        </w:trPr>
        <w:tc>
          <w:tcPr>
            <w:tcW w:w="3310" w:type="dxa"/>
          </w:tcPr>
          <w:p w14:paraId="4EDCB5C3" w14:textId="44FBD20F" w:rsidR="007F2741" w:rsidRDefault="007F2741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140 </w:t>
            </w:r>
            <w:r w:rsidR="00C46F0A">
              <w:rPr>
                <w:sz w:val="24"/>
              </w:rPr>
              <w:t>–</w:t>
            </w:r>
            <w:r>
              <w:rPr>
                <w:sz w:val="24"/>
              </w:rPr>
              <w:t xml:space="preserve"> 160</w:t>
            </w:r>
          </w:p>
        </w:tc>
        <w:tc>
          <w:tcPr>
            <w:tcW w:w="3827" w:type="dxa"/>
          </w:tcPr>
          <w:p w14:paraId="0435E7FD" w14:textId="6CF7828A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</w:tr>
      <w:tr w:rsidR="007F2741" w14:paraId="086A2CC4" w14:textId="77777777" w:rsidTr="00BA4E52">
        <w:trPr>
          <w:jc w:val="center"/>
        </w:trPr>
        <w:tc>
          <w:tcPr>
            <w:tcW w:w="3310" w:type="dxa"/>
          </w:tcPr>
          <w:p w14:paraId="0FBA42E4" w14:textId="46AC599D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160 – 180</w:t>
            </w:r>
          </w:p>
        </w:tc>
        <w:tc>
          <w:tcPr>
            <w:tcW w:w="3827" w:type="dxa"/>
          </w:tcPr>
          <w:p w14:paraId="77A4CD70" w14:textId="197940AE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265BF">
              <w:rPr>
                <w:sz w:val="24"/>
              </w:rPr>
              <w:t>96</w:t>
            </w:r>
          </w:p>
        </w:tc>
      </w:tr>
      <w:tr w:rsidR="007F2741" w14:paraId="4C0B3F7C" w14:textId="77777777" w:rsidTr="00BA4E52">
        <w:trPr>
          <w:jc w:val="center"/>
        </w:trPr>
        <w:tc>
          <w:tcPr>
            <w:tcW w:w="3310" w:type="dxa"/>
          </w:tcPr>
          <w:p w14:paraId="2967FD3F" w14:textId="36C131B1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 – 215</w:t>
            </w:r>
          </w:p>
        </w:tc>
        <w:tc>
          <w:tcPr>
            <w:tcW w:w="3827" w:type="dxa"/>
          </w:tcPr>
          <w:p w14:paraId="156B2F88" w14:textId="56126FED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7F2741" w14:paraId="07FD59DF" w14:textId="77777777" w:rsidTr="00BA4E52">
        <w:trPr>
          <w:jc w:val="center"/>
        </w:trPr>
        <w:tc>
          <w:tcPr>
            <w:tcW w:w="3310" w:type="dxa"/>
          </w:tcPr>
          <w:p w14:paraId="3A647833" w14:textId="5DF75483" w:rsidR="007F2741" w:rsidRDefault="00C46F0A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215 – 280</w:t>
            </w:r>
          </w:p>
        </w:tc>
        <w:tc>
          <w:tcPr>
            <w:tcW w:w="3827" w:type="dxa"/>
          </w:tcPr>
          <w:p w14:paraId="3B640AC1" w14:textId="35DD4E7B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  <w:tr w:rsidR="007F2741" w14:paraId="0CC85A3F" w14:textId="77777777" w:rsidTr="00BA4E52">
        <w:trPr>
          <w:jc w:val="center"/>
        </w:trPr>
        <w:tc>
          <w:tcPr>
            <w:tcW w:w="3310" w:type="dxa"/>
          </w:tcPr>
          <w:p w14:paraId="65538321" w14:textId="7668AB46" w:rsidR="007F2741" w:rsidRDefault="003265BF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280 – 385</w:t>
            </w:r>
          </w:p>
        </w:tc>
        <w:tc>
          <w:tcPr>
            <w:tcW w:w="3827" w:type="dxa"/>
          </w:tcPr>
          <w:p w14:paraId="4FDA825F" w14:textId="01925765" w:rsidR="007F2741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5568C5">
              <w:rPr>
                <w:sz w:val="24"/>
              </w:rPr>
              <w:t>94</w:t>
            </w:r>
          </w:p>
        </w:tc>
      </w:tr>
      <w:tr w:rsidR="003265BF" w14:paraId="4DDB5827" w14:textId="77777777" w:rsidTr="00BA4E52">
        <w:trPr>
          <w:jc w:val="center"/>
        </w:trPr>
        <w:tc>
          <w:tcPr>
            <w:tcW w:w="3310" w:type="dxa"/>
          </w:tcPr>
          <w:p w14:paraId="0EA5C0C2" w14:textId="4AF16353" w:rsidR="003265BF" w:rsidRDefault="005568C5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385 </w:t>
            </w:r>
            <w:r w:rsidR="00A5204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A52040">
              <w:rPr>
                <w:sz w:val="24"/>
              </w:rPr>
              <w:t xml:space="preserve">   </w:t>
            </w:r>
            <w:proofErr w:type="gramStart"/>
            <w:r w:rsidR="00A52040" w:rsidRPr="0089442D">
              <w:rPr>
                <w:color w:val="FFFFFF" w:themeColor="background1"/>
                <w:sz w:val="24"/>
              </w:rPr>
              <w:t xml:space="preserve">  .</w:t>
            </w:r>
            <w:proofErr w:type="gramEnd"/>
          </w:p>
        </w:tc>
        <w:tc>
          <w:tcPr>
            <w:tcW w:w="3827" w:type="dxa"/>
          </w:tcPr>
          <w:p w14:paraId="07E095B1" w14:textId="42AB4C19" w:rsidR="003265BF" w:rsidRDefault="00A41CD0" w:rsidP="007F274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46</w:t>
            </w:r>
          </w:p>
        </w:tc>
      </w:tr>
    </w:tbl>
    <w:p w14:paraId="52707FD4" w14:textId="77777777" w:rsidR="009D20CC" w:rsidRDefault="009D20CC" w:rsidP="005C0C04">
      <w:pPr>
        <w:ind w:left="1080"/>
        <w:rPr>
          <w:sz w:val="24"/>
        </w:rPr>
      </w:pPr>
    </w:p>
    <w:p w14:paraId="13A9EB13" w14:textId="77777777" w:rsidR="00D115A8" w:rsidRDefault="00D115A8" w:rsidP="005C0C04">
      <w:pPr>
        <w:ind w:left="1080"/>
        <w:rPr>
          <w:sz w:val="24"/>
        </w:rPr>
      </w:pPr>
    </w:p>
    <w:sectPr w:rsidR="00D115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317"/>
    <w:multiLevelType w:val="hybridMultilevel"/>
    <w:tmpl w:val="D6342A76"/>
    <w:lvl w:ilvl="0" w:tplc="3512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E2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0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22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8F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08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9E3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3E1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A2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12399C"/>
    <w:multiLevelType w:val="hybridMultilevel"/>
    <w:tmpl w:val="C61A6BAC"/>
    <w:lvl w:ilvl="0" w:tplc="49746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6F8D"/>
    <w:multiLevelType w:val="hybridMultilevel"/>
    <w:tmpl w:val="A998CBC8"/>
    <w:lvl w:ilvl="0" w:tplc="689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8B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9A7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20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2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0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88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A4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D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B9237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030967"/>
    <w:multiLevelType w:val="singleLevel"/>
    <w:tmpl w:val="BA84CA0A"/>
    <w:lvl w:ilvl="0">
      <w:start w:val="1"/>
      <w:numFmt w:val="lowerLetter"/>
      <w:lvlText w:val="(%1)"/>
      <w:lvlJc w:val="left"/>
      <w:pPr>
        <w:tabs>
          <w:tab w:val="num" w:pos="570"/>
        </w:tabs>
        <w:ind w:left="570" w:hanging="390"/>
      </w:pPr>
      <w:rPr>
        <w:rFonts w:hint="default"/>
      </w:rPr>
    </w:lvl>
  </w:abstractNum>
  <w:num w:numId="1" w16cid:durableId="2105953596">
    <w:abstractNumId w:val="3"/>
  </w:num>
  <w:num w:numId="2" w16cid:durableId="1210612703">
    <w:abstractNumId w:val="4"/>
  </w:num>
  <w:num w:numId="3" w16cid:durableId="1530727995">
    <w:abstractNumId w:val="1"/>
  </w:num>
  <w:num w:numId="4" w16cid:durableId="1672099462">
    <w:abstractNumId w:val="2"/>
  </w:num>
  <w:num w:numId="5" w16cid:durableId="148604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00"/>
    <w:rsid w:val="00001D04"/>
    <w:rsid w:val="000028F7"/>
    <w:rsid w:val="00060F5A"/>
    <w:rsid w:val="000716BF"/>
    <w:rsid w:val="000747DE"/>
    <w:rsid w:val="0007560A"/>
    <w:rsid w:val="000A138A"/>
    <w:rsid w:val="000A5DC5"/>
    <w:rsid w:val="000B46EA"/>
    <w:rsid w:val="000B7BC9"/>
    <w:rsid w:val="000C3612"/>
    <w:rsid w:val="000D79B2"/>
    <w:rsid w:val="000E4209"/>
    <w:rsid w:val="00105801"/>
    <w:rsid w:val="00117892"/>
    <w:rsid w:val="00123324"/>
    <w:rsid w:val="00130B4F"/>
    <w:rsid w:val="00133A03"/>
    <w:rsid w:val="0014354E"/>
    <w:rsid w:val="001563DD"/>
    <w:rsid w:val="0017490D"/>
    <w:rsid w:val="001C2311"/>
    <w:rsid w:val="001C466A"/>
    <w:rsid w:val="001C4E25"/>
    <w:rsid w:val="001D48BB"/>
    <w:rsid w:val="001E03CB"/>
    <w:rsid w:val="001F3A67"/>
    <w:rsid w:val="001F3CF4"/>
    <w:rsid w:val="00200D71"/>
    <w:rsid w:val="00225136"/>
    <w:rsid w:val="00230129"/>
    <w:rsid w:val="0023130D"/>
    <w:rsid w:val="0023781D"/>
    <w:rsid w:val="00254E46"/>
    <w:rsid w:val="00260651"/>
    <w:rsid w:val="00261F68"/>
    <w:rsid w:val="002669CF"/>
    <w:rsid w:val="0027697F"/>
    <w:rsid w:val="00280B83"/>
    <w:rsid w:val="002810CE"/>
    <w:rsid w:val="002859C6"/>
    <w:rsid w:val="00294370"/>
    <w:rsid w:val="002A2261"/>
    <w:rsid w:val="002C1CD3"/>
    <w:rsid w:val="002D50DD"/>
    <w:rsid w:val="002E13EE"/>
    <w:rsid w:val="002E2CCA"/>
    <w:rsid w:val="002E593D"/>
    <w:rsid w:val="00322FCC"/>
    <w:rsid w:val="003265BF"/>
    <w:rsid w:val="003408FC"/>
    <w:rsid w:val="00342812"/>
    <w:rsid w:val="00356FC9"/>
    <w:rsid w:val="00376A89"/>
    <w:rsid w:val="00384F2B"/>
    <w:rsid w:val="0039031B"/>
    <w:rsid w:val="00391FCF"/>
    <w:rsid w:val="003974B8"/>
    <w:rsid w:val="003A1DE0"/>
    <w:rsid w:val="003A5372"/>
    <w:rsid w:val="003D3581"/>
    <w:rsid w:val="003D4BF6"/>
    <w:rsid w:val="003E0709"/>
    <w:rsid w:val="00403B83"/>
    <w:rsid w:val="00424C36"/>
    <w:rsid w:val="00431C46"/>
    <w:rsid w:val="004757DB"/>
    <w:rsid w:val="00484314"/>
    <w:rsid w:val="00496321"/>
    <w:rsid w:val="0049634F"/>
    <w:rsid w:val="004A034F"/>
    <w:rsid w:val="004A257D"/>
    <w:rsid w:val="004A4134"/>
    <w:rsid w:val="004A5067"/>
    <w:rsid w:val="004B6AC2"/>
    <w:rsid w:val="004B7142"/>
    <w:rsid w:val="004E6256"/>
    <w:rsid w:val="005042F6"/>
    <w:rsid w:val="00510AD4"/>
    <w:rsid w:val="00535C32"/>
    <w:rsid w:val="00540929"/>
    <w:rsid w:val="00540CB3"/>
    <w:rsid w:val="00542A7B"/>
    <w:rsid w:val="00547B8F"/>
    <w:rsid w:val="005568C5"/>
    <w:rsid w:val="00557D42"/>
    <w:rsid w:val="00576DBF"/>
    <w:rsid w:val="005800BB"/>
    <w:rsid w:val="005845E3"/>
    <w:rsid w:val="005C0C04"/>
    <w:rsid w:val="005C3AF6"/>
    <w:rsid w:val="005C6839"/>
    <w:rsid w:val="005D067A"/>
    <w:rsid w:val="005D3E02"/>
    <w:rsid w:val="005D619D"/>
    <w:rsid w:val="005E05D4"/>
    <w:rsid w:val="005F4117"/>
    <w:rsid w:val="005F5400"/>
    <w:rsid w:val="005F5C08"/>
    <w:rsid w:val="00603156"/>
    <w:rsid w:val="00626915"/>
    <w:rsid w:val="00640523"/>
    <w:rsid w:val="00646127"/>
    <w:rsid w:val="00647E8D"/>
    <w:rsid w:val="00650C03"/>
    <w:rsid w:val="00656F42"/>
    <w:rsid w:val="006B03F3"/>
    <w:rsid w:val="006B0E0A"/>
    <w:rsid w:val="006D03A6"/>
    <w:rsid w:val="006E782F"/>
    <w:rsid w:val="006F11DD"/>
    <w:rsid w:val="00710E6E"/>
    <w:rsid w:val="00717634"/>
    <w:rsid w:val="00727CF2"/>
    <w:rsid w:val="00733F01"/>
    <w:rsid w:val="00743067"/>
    <w:rsid w:val="00747EDF"/>
    <w:rsid w:val="00762430"/>
    <w:rsid w:val="00770FD8"/>
    <w:rsid w:val="00785B04"/>
    <w:rsid w:val="00791670"/>
    <w:rsid w:val="00794786"/>
    <w:rsid w:val="00794A88"/>
    <w:rsid w:val="00795E79"/>
    <w:rsid w:val="007A750A"/>
    <w:rsid w:val="007B0715"/>
    <w:rsid w:val="007B7BF4"/>
    <w:rsid w:val="007D7400"/>
    <w:rsid w:val="007E2703"/>
    <w:rsid w:val="007E3DD5"/>
    <w:rsid w:val="007F04FE"/>
    <w:rsid w:val="007F2741"/>
    <w:rsid w:val="00806CA7"/>
    <w:rsid w:val="00820C67"/>
    <w:rsid w:val="008259F8"/>
    <w:rsid w:val="0083402E"/>
    <w:rsid w:val="0084528C"/>
    <w:rsid w:val="008568A8"/>
    <w:rsid w:val="008572D3"/>
    <w:rsid w:val="0086604F"/>
    <w:rsid w:val="008803AC"/>
    <w:rsid w:val="00880725"/>
    <w:rsid w:val="00883D4D"/>
    <w:rsid w:val="008934A3"/>
    <w:rsid w:val="0089421A"/>
    <w:rsid w:val="0089442D"/>
    <w:rsid w:val="008A008B"/>
    <w:rsid w:val="008A1F43"/>
    <w:rsid w:val="008C0E0F"/>
    <w:rsid w:val="008C1362"/>
    <w:rsid w:val="008C3916"/>
    <w:rsid w:val="008D47E7"/>
    <w:rsid w:val="008E7DB4"/>
    <w:rsid w:val="009017E5"/>
    <w:rsid w:val="0090355A"/>
    <w:rsid w:val="00903AC0"/>
    <w:rsid w:val="00905992"/>
    <w:rsid w:val="00907DFD"/>
    <w:rsid w:val="00911DB8"/>
    <w:rsid w:val="00922E2F"/>
    <w:rsid w:val="00931513"/>
    <w:rsid w:val="00940310"/>
    <w:rsid w:val="009454A3"/>
    <w:rsid w:val="0095483A"/>
    <w:rsid w:val="0096434B"/>
    <w:rsid w:val="00984098"/>
    <w:rsid w:val="00984475"/>
    <w:rsid w:val="00993B89"/>
    <w:rsid w:val="009A3782"/>
    <w:rsid w:val="009B7DCC"/>
    <w:rsid w:val="009D20CC"/>
    <w:rsid w:val="009D5E50"/>
    <w:rsid w:val="009D753F"/>
    <w:rsid w:val="009E05C6"/>
    <w:rsid w:val="009E6C39"/>
    <w:rsid w:val="009F659A"/>
    <w:rsid w:val="00A2144E"/>
    <w:rsid w:val="00A26DC2"/>
    <w:rsid w:val="00A270E7"/>
    <w:rsid w:val="00A41CD0"/>
    <w:rsid w:val="00A45BFD"/>
    <w:rsid w:val="00A46FC4"/>
    <w:rsid w:val="00A472F0"/>
    <w:rsid w:val="00A52040"/>
    <w:rsid w:val="00A5479A"/>
    <w:rsid w:val="00A56297"/>
    <w:rsid w:val="00A72A33"/>
    <w:rsid w:val="00A87A31"/>
    <w:rsid w:val="00A950B8"/>
    <w:rsid w:val="00AA7C86"/>
    <w:rsid w:val="00AB0260"/>
    <w:rsid w:val="00AC0867"/>
    <w:rsid w:val="00AC5B16"/>
    <w:rsid w:val="00AD0178"/>
    <w:rsid w:val="00AD1186"/>
    <w:rsid w:val="00AD650B"/>
    <w:rsid w:val="00AD6568"/>
    <w:rsid w:val="00B12893"/>
    <w:rsid w:val="00B13842"/>
    <w:rsid w:val="00B17742"/>
    <w:rsid w:val="00B239EB"/>
    <w:rsid w:val="00B24D31"/>
    <w:rsid w:val="00B30E80"/>
    <w:rsid w:val="00B459DD"/>
    <w:rsid w:val="00B47056"/>
    <w:rsid w:val="00B523DA"/>
    <w:rsid w:val="00B55534"/>
    <w:rsid w:val="00B709F0"/>
    <w:rsid w:val="00B71CF5"/>
    <w:rsid w:val="00B744D8"/>
    <w:rsid w:val="00B83FF8"/>
    <w:rsid w:val="00B8591D"/>
    <w:rsid w:val="00B8661D"/>
    <w:rsid w:val="00B86F18"/>
    <w:rsid w:val="00B87408"/>
    <w:rsid w:val="00BA037F"/>
    <w:rsid w:val="00BA1351"/>
    <w:rsid w:val="00BA4E52"/>
    <w:rsid w:val="00BD4AF6"/>
    <w:rsid w:val="00BD5332"/>
    <w:rsid w:val="00BE12BB"/>
    <w:rsid w:val="00BE2A67"/>
    <w:rsid w:val="00BE3A54"/>
    <w:rsid w:val="00BF087D"/>
    <w:rsid w:val="00BF13EA"/>
    <w:rsid w:val="00BF2694"/>
    <w:rsid w:val="00BF3C79"/>
    <w:rsid w:val="00C07152"/>
    <w:rsid w:val="00C159DF"/>
    <w:rsid w:val="00C22FE3"/>
    <w:rsid w:val="00C374A7"/>
    <w:rsid w:val="00C4650D"/>
    <w:rsid w:val="00C46F0A"/>
    <w:rsid w:val="00C53593"/>
    <w:rsid w:val="00C63B08"/>
    <w:rsid w:val="00C70E6C"/>
    <w:rsid w:val="00C83D85"/>
    <w:rsid w:val="00C8650B"/>
    <w:rsid w:val="00C9227F"/>
    <w:rsid w:val="00C92753"/>
    <w:rsid w:val="00CA358A"/>
    <w:rsid w:val="00CC3DEC"/>
    <w:rsid w:val="00CC5EE1"/>
    <w:rsid w:val="00CC6D37"/>
    <w:rsid w:val="00CD30CC"/>
    <w:rsid w:val="00CD3516"/>
    <w:rsid w:val="00CE46AB"/>
    <w:rsid w:val="00CF0069"/>
    <w:rsid w:val="00D02E93"/>
    <w:rsid w:val="00D115A8"/>
    <w:rsid w:val="00D20BE1"/>
    <w:rsid w:val="00D3788C"/>
    <w:rsid w:val="00D51481"/>
    <w:rsid w:val="00D54A0E"/>
    <w:rsid w:val="00D62A11"/>
    <w:rsid w:val="00D733C0"/>
    <w:rsid w:val="00D8022F"/>
    <w:rsid w:val="00D86C76"/>
    <w:rsid w:val="00D90691"/>
    <w:rsid w:val="00D91CDC"/>
    <w:rsid w:val="00DA6FD0"/>
    <w:rsid w:val="00DB6585"/>
    <w:rsid w:val="00DD6578"/>
    <w:rsid w:val="00E0091A"/>
    <w:rsid w:val="00E02343"/>
    <w:rsid w:val="00E11325"/>
    <w:rsid w:val="00E15965"/>
    <w:rsid w:val="00E231AC"/>
    <w:rsid w:val="00E26F76"/>
    <w:rsid w:val="00E4321E"/>
    <w:rsid w:val="00E729EA"/>
    <w:rsid w:val="00E842D3"/>
    <w:rsid w:val="00E92441"/>
    <w:rsid w:val="00E93F82"/>
    <w:rsid w:val="00E966A1"/>
    <w:rsid w:val="00EB535D"/>
    <w:rsid w:val="00EE542A"/>
    <w:rsid w:val="00EF2265"/>
    <w:rsid w:val="00F0495A"/>
    <w:rsid w:val="00F14596"/>
    <w:rsid w:val="00F22E0F"/>
    <w:rsid w:val="00F33308"/>
    <w:rsid w:val="00F4014A"/>
    <w:rsid w:val="00F4188A"/>
    <w:rsid w:val="00F50939"/>
    <w:rsid w:val="00F51279"/>
    <w:rsid w:val="00F51809"/>
    <w:rsid w:val="00F5668E"/>
    <w:rsid w:val="00F61BB7"/>
    <w:rsid w:val="00F62A7A"/>
    <w:rsid w:val="00F673AE"/>
    <w:rsid w:val="00F77EAF"/>
    <w:rsid w:val="00F83A49"/>
    <w:rsid w:val="00F84173"/>
    <w:rsid w:val="00F867F4"/>
    <w:rsid w:val="00F95AA9"/>
    <w:rsid w:val="00F97350"/>
    <w:rsid w:val="00FA48E6"/>
    <w:rsid w:val="00FB3B80"/>
    <w:rsid w:val="00FC4E53"/>
    <w:rsid w:val="00FD0C4E"/>
    <w:rsid w:val="00FE24DD"/>
    <w:rsid w:val="00FE3B57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50A3D"/>
  <w15:chartTrackingRefBased/>
  <w15:docId w15:val="{07B97EFA-09EE-4BD8-991B-6E36D34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16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D03A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6D03A6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4"/>
    </w:rPr>
  </w:style>
  <w:style w:type="table" w:styleId="TableGrid">
    <w:name w:val="Table Grid"/>
    <w:basedOn w:val="TableNormal"/>
    <w:uiPriority w:val="59"/>
    <w:rsid w:val="00984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leChar">
    <w:name w:val="Title Char"/>
    <w:link w:val="Title"/>
    <w:rsid w:val="00C9275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92753"/>
    <w:pPr>
      <w:spacing w:after="160" w:line="256" w:lineRule="auto"/>
      <w:ind w:left="720"/>
      <w:contextualSpacing/>
    </w:pPr>
    <w:rPr>
      <w:rFonts w:ascii="Calibri" w:eastAsia="Calibri" w:hAnsi="Calibri" w:cs="Mangal"/>
      <w:sz w:val="22"/>
      <w:lang w:val="en-IN" w:bidi="hi-IN"/>
    </w:rPr>
  </w:style>
  <w:style w:type="character" w:customStyle="1" w:styleId="Heading1Char">
    <w:name w:val="Heading 1 Char"/>
    <w:link w:val="Heading1"/>
    <w:rsid w:val="006D03A6"/>
    <w:rPr>
      <w:sz w:val="24"/>
      <w:lang w:val="en-US" w:eastAsia="en-US"/>
    </w:rPr>
  </w:style>
  <w:style w:type="character" w:customStyle="1" w:styleId="Heading2Char">
    <w:name w:val="Heading 2 Char"/>
    <w:link w:val="Heading2"/>
    <w:rsid w:val="006D03A6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C3612"/>
    <w:rPr>
      <w:color w:val="808080"/>
    </w:rPr>
  </w:style>
  <w:style w:type="table" w:styleId="TableGridLight">
    <w:name w:val="Grid Table Light"/>
    <w:basedOn w:val="TableNormal"/>
    <w:uiPriority w:val="40"/>
    <w:rsid w:val="007947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947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CC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CC"/>
    <w:rPr>
      <w:rFonts w:ascii="Consolas" w:hAnsi="Consolas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31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02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ATATIATICAL INSTITUTE</vt:lpstr>
    </vt:vector>
  </TitlesOfParts>
  <Company>ISI,CAL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ATATIATICAL INSTITUTE</dc:title>
  <dc:subject/>
  <dc:creator>MANORANJAN PAL</dc:creator>
  <cp:keywords/>
  <cp:lastModifiedBy>Manoranjan Pal</cp:lastModifiedBy>
  <cp:revision>3</cp:revision>
  <dcterms:created xsi:type="dcterms:W3CDTF">2025-03-26T15:30:00Z</dcterms:created>
  <dcterms:modified xsi:type="dcterms:W3CDTF">2025-03-26T15:30:00Z</dcterms:modified>
</cp:coreProperties>
</file>