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7.png" ContentType="image/png"/>
  <Override PartName="/word/media/rId31.png" ContentType="image/png"/>
  <Override PartName="/word/media/rId39.png" ContentType="image/png"/>
  <Override PartName="/word/media/rId30.png" ContentType="image/png"/>
  <Override PartName="/word/media/rId33.png" ContentType="image/png"/>
  <Override PartName="/word/media/rId32.png" ContentType="image/png"/>
  <Override PartName="/word/media/rId34.png" ContentType="image/png"/>
  <Override PartName="/word/media/rId40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41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42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43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AJS</w:t>
      </w:r>
      <w:r>
        <w:t xml:space="preserve"> </w:t>
      </w:r>
      <w:r>
        <w:t xml:space="preserve">outbreak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the final template used in the</w:t>
      </w:r>
      <w:r>
        <w:t xml:space="preserve"> </w:t>
      </w:r>
      <w:r>
        <w:rPr>
          <w:b/>
        </w:rPr>
        <w:t xml:space="preserve">sitrep</w:t>
      </w:r>
      <w:r>
        <w:t xml:space="preserve"> </w:t>
      </w:r>
      <w:r>
        <w:t xml:space="preserve">case study.</w:t>
      </w:r>
    </w:p>
    <w:p>
      <w:pPr>
        <w:pStyle w:val="BodyText"/>
      </w:pPr>
      <w:r>
        <w:t xml:space="preserve">Here we would give an executive summary of the report findings and recommentations.</w:t>
      </w:r>
    </w:p>
    <w:p>
      <w:pPr>
        <w:pStyle w:val="Heading2"/>
      </w:pPr>
      <w:bookmarkStart w:id="22" w:name="installing-and-loading-required-packages"/>
      <w:bookmarkEnd w:id="22"/>
      <w:r>
        <w:t xml:space="preserve">Installing and loading required packages</w:t>
      </w:r>
    </w:p>
    <w:p>
      <w:pPr>
        <w:pStyle w:val="Heading3"/>
      </w:pPr>
      <w:bookmarkStart w:id="23" w:name="person"/>
      <w:bookmarkEnd w:id="23"/>
      <w:r>
        <w:t xml:space="preserve">Person</w:t>
      </w:r>
    </w:p>
    <w:p>
      <w:pPr>
        <w:pStyle w:val="FirstParagraph"/>
      </w:pPr>
      <w:r>
        <w:t xml:space="preserve">From the start of the outbreak up until 2017-W16 there were a</w:t>
      </w:r>
      <w:r>
        <w:t xml:space="preserve"> </w:t>
      </w:r>
      <w:r>
        <w:t xml:space="preserve">total of 1436 cases. There were</w:t>
      </w:r>
      <w:r>
        <w:t xml:space="preserve"> </w:t>
      </w:r>
      <w:r>
        <w:t xml:space="preserve">717 (49.9%) females and</w:t>
      </w:r>
      <w:r>
        <w:t xml:space="preserve"> </w:t>
      </w:r>
      <w:r>
        <w:t xml:space="preserve">719 (50.1%) males.</w:t>
      </w:r>
    </w:p>
    <w:p>
      <w:pPr>
        <w:pStyle w:val="BodyText"/>
      </w:pPr>
      <w:r>
        <w:t xml:space="preserve">The most affected age group was 3-14 years.</w:t>
      </w:r>
    </w:p>
    <w:p>
      <w:pPr>
        <w:pStyle w:val="Heading4"/>
      </w:pPr>
      <w:bookmarkStart w:id="24" w:name="demographics"/>
      <w:bookmarkEnd w:id="24"/>
      <w:r>
        <w:t xml:space="preserve">Demographics</w:t>
      </w:r>
    </w:p>
    <w:p>
      <w:pPr>
        <w:pStyle w:val="FirstParagraph"/>
      </w:pPr>
      <w:r>
        <w:t xml:space="preserve">Cases by age group and definition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Confirmed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Probable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Suspected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28.6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629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1428</w:t>
            </w:r>
          </w:p>
        </w:tc>
      </w:tr>
    </w:tbl>
    <w:p>
      <w:pPr>
        <w:pStyle w:val="BodyText"/>
      </w:pPr>
      <w:r>
        <w:t xml:space="preserve">Cases by age group and sex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28.9</w:t>
            </w:r>
          </w:p>
        </w:tc>
        <w:tc>
          <w:p>
            <w:pPr>
              <w:pStyle w:val="Compact"/>
              <w:jc w:val="right"/>
            </w:pPr>
            <w:r>
              <w:t xml:space="preserve">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1428</w:t>
            </w:r>
          </w:p>
        </w:tc>
      </w:tr>
    </w:tbl>
    <w:p>
      <w:pPr>
        <w:pStyle w:val="BodyText"/>
      </w:pPr>
      <w:r>
        <w:t xml:space="preserve">Age pyramid</w:t>
      </w:r>
    </w:p>
    <w:p>
      <w:pPr>
        <w:pStyle w:val="BodyText"/>
      </w:pPr>
      <w:r>
        <w:t xml:space="preserve">There were 0 (0.0%) cases missing information on sex and 8 (0.6%) missing age group.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age_pyram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the patients, 691 (48.1%) were seen as outpatients and 86 (6.0%) were inpatients.</w:t>
      </w:r>
    </w:p>
    <w:p>
      <w:pPr>
        <w:pStyle w:val="BodyText"/>
      </w:pPr>
      <w:r>
        <w:t xml:space="preserve">Age pyramid for under 2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age_pyramid_unde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Cases by symptoms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 anorexia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53.5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57.6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Epigastric pain heartburn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59.2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Generalized itch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64.6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pains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30.5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Bleeding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</w:tbl>
    <w:p>
      <w:pPr>
        <w:pStyle w:val="BodyText"/>
      </w:pPr>
      <w:r>
        <w:t xml:space="preserve">Cases by lab results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 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Negative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Positive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IgG-/IgM-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IgG-/IgM+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IgG+/IgM-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IgG+/IgM+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IgG±/IgM-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 b rdt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 c rdt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 e rdt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40.2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b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95.7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e igm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66.1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e genotype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 hepatitis e virus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41.9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Malaria rdt at admission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63.5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Dengue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52.2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fever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78.3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Chikungunya onyongnyong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arthropod transmitted virus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p>
      <w:pPr>
        <w:pStyle w:val="Heading4"/>
      </w:pPr>
      <w:bookmarkStart w:id="27" w:name="case-fatality-ratio"/>
      <w:bookmarkEnd w:id="27"/>
      <w:r>
        <w:t xml:space="preserve">Case fatality ratio</w:t>
      </w:r>
    </w:p>
    <w:p>
      <w:pPr>
        <w:pStyle w:val="FirstParagraph"/>
      </w:pPr>
      <w:r>
        <w:t xml:space="preserve">Of 86 (6.0%) inpatients, there have been 13 (0.9%) deaths, of which</w:t>
      </w:r>
      <w:r>
        <w:t xml:space="preserve"> </w:t>
      </w:r>
      <w:r>
        <w:t xml:space="preserve">0 (0.0%)</w:t>
      </w:r>
      <w:r>
        <w:t xml:space="preserve"> </w:t>
      </w:r>
      <w:r>
        <w:t xml:space="preserve">were dead on arrival.</w:t>
      </w:r>
    </w:p>
    <w:p>
      <w:pPr>
        <w:pStyle w:val="BodyText"/>
      </w:pPr>
      <w:r>
        <w:t xml:space="preserve">The case fatality ratio among inpatients with known outcomes is below.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left"/>
            </w:pPr>
            <w:r>
              <w:t xml:space="preserve">(9.05–24.16)</w:t>
            </w:r>
          </w:p>
        </w:tc>
      </w:tr>
    </w:tbl>
    <w:p>
      <w:pPr>
        <w:pStyle w:val="BodyText"/>
      </w:pPr>
      <w:r>
        <w:t xml:space="preserve">The case fatality ratio by sex among inpatients with known outcomes is below.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left"/>
            </w:pPr>
            <w:r>
              <w:t xml:space="preserve">(11.55–32.36)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left"/>
            </w:pPr>
            <w:r>
              <w:t xml:space="preserve">(1.79–20.72)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left"/>
            </w:pPr>
            <w:r>
              <w:t xml:space="preserve">(9.05–24.16)</w:t>
            </w:r>
          </w:p>
        </w:tc>
      </w:tr>
    </w:tbl>
    <w:p>
      <w:pPr>
        <w:pStyle w:val="BodyText"/>
      </w:pPr>
      <w:r>
        <w:t xml:space="preserve">CFR by age group among inpatients with known outcomes</w:t>
      </w:r>
      <w:r>
        <w:t xml:space="preserve">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p>
            <w:pPr>
              <w:pStyle w:val="Compact"/>
              <w:jc w:val="left"/>
            </w:pPr>
            <w:r>
              <w:t xml:space="preserve">(15.17–64.62)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left"/>
            </w:pPr>
            <w:r>
              <w:t xml:space="preserve">(1.05–26.98)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15-29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13.9</w:t>
            </w:r>
          </w:p>
        </w:tc>
        <w:tc>
          <w:p>
            <w:pPr>
              <w:pStyle w:val="Compact"/>
              <w:jc w:val="left"/>
            </w:pPr>
            <w:r>
              <w:t xml:space="preserve">(6.08–28.66)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(3.29–34.34)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45+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(4.56–69.94)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left"/>
            </w:pPr>
            <w:r>
              <w:t xml:space="preserve">(9.05–24.16)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Case 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p>
            <w:pPr>
              <w:pStyle w:val="Compact"/>
              <w:jc w:val="left"/>
            </w:pPr>
            <w:r>
              <w:t xml:space="preserve">(9.51–31.96)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Suspected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left"/>
            </w:pPr>
            <w:r>
              <w:t xml:space="preserve">(5.19–25.00)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left"/>
            </w:pPr>
            <w:r>
              <w:t xml:space="preserve">(9.05–24.16)</w:t>
            </w:r>
          </w:p>
        </w:tc>
      </w:tr>
    </w:tbl>
    <w:p>
      <w:pPr>
        <w:pStyle w:val="Heading4"/>
      </w:pPr>
      <w:bookmarkStart w:id="28" w:name="attack-rate"/>
      <w:bookmarkEnd w:id="28"/>
      <w:r>
        <w:t xml:space="preserve">Attack rate</w:t>
      </w:r>
    </w:p>
    <w:p>
      <w:pPr>
        <w:pStyle w:val="FirstParagraph"/>
      </w:pPr>
      <w:r>
        <w:t xml:space="preserve">The attack rate per 10,000 population is below (based on available population data available for the catchment area/region of interest).</w:t>
      </w:r>
    </w:p>
    <w:p>
      <w:pPr>
        <w:pStyle w:val="BodyText"/>
      </w:pPr>
      <w:r>
        <w:t xml:space="preserve">Below gives the attack rate per 10,000 population (N = 62,336)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1436</w:t>
            </w:r>
          </w:p>
        </w:tc>
        <w:tc>
          <w:p>
            <w:pPr>
              <w:pStyle w:val="Compact"/>
              <w:jc w:val="right"/>
            </w:pPr>
            <w:r>
              <w:t xml:space="preserve">230.4</w:t>
            </w:r>
          </w:p>
        </w:tc>
        <w:tc>
          <w:p>
            <w:pPr>
              <w:pStyle w:val="Compact"/>
              <w:jc w:val="right"/>
            </w:pPr>
            <w:r>
              <w:t xml:space="preserve">(218.88–242.44)</w:t>
            </w:r>
          </w:p>
        </w:tc>
      </w:tr>
    </w:tbl>
    <w:p>
      <w:pPr>
        <w:pStyle w:val="BodyText"/>
      </w:pPr>
      <w:r>
        <w:t xml:space="preserve">Here, we can see that the attack rate for a population of 62,336 was 230.36 (CI 218.88–242.44).</w:t>
      </w:r>
    </w:p>
    <w:p>
      <w:pPr>
        <w:pStyle w:val="BodyText"/>
      </w:pPr>
      <w:r>
        <w:t xml:space="preserve">Mortality rate attributable to AJS per 10,000 patients per day</w:t>
      </w:r>
    </w:p>
    <w:p>
      <w:pPr>
        <w:pStyle w:val="Heading3"/>
      </w:pPr>
      <w:bookmarkStart w:id="29" w:name="time"/>
      <w:bookmarkEnd w:id="29"/>
      <w:r>
        <w:t xml:space="preserve">Time</w:t>
      </w:r>
    </w:p>
    <w:p>
      <w:pPr>
        <w:pStyle w:val="FirstParagraph"/>
      </w:pPr>
      <w:r>
        <w:t xml:space="preserve">There were 825 (57.5%) cases missing dates of onset.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epi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peak of the outbreak was in 2017-W06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biweekly_epi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incidence_by_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incidence_by_case_de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Cases by week of onset among inpatients by sex</w:t>
      </w:r>
    </w:p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incidence_by_sex_fac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Attack rate per 10,000 population by week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(0.09–1.17)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(0.00–0.62)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(0.16–1.42)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(0.54–2.32)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(0.09–1.17)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(1.70–4.37)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(1.10–3.36)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(0.76–2.74)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(0.87–2.95)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(0.16–1.42)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(0.34–1.88)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(0.34–1.88)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(0.16–1.42)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(0.34–1.88)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(1.10–3.36)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(1.22–3.57)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(2.46–5.54)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(1.95–4.76)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(4.04–7.81)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(2.33–5.34)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(3.50–7.06)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(1.58–4.17)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(2.33–5.34)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(1.34–3.77)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(2.08–4.96)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(1.58–4.17)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right"/>
            </w:pPr>
            <w:r>
              <w:t xml:space="preserve">(15.81–22.66)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(2.08–4.96)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(4.85–8.92)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(1.46–3.97)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(4.58–8.55)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(0.65–2.53)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(1.34–3.77)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(0.65–2.53)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(0.99–3.16)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(0.16–1.42)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(0.34–1.88)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825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(123.67–141.62)</w:t>
            </w:r>
          </w:p>
        </w:tc>
      </w:tr>
    </w:tbl>
    <w:p>
      <w:pPr>
        <w:pStyle w:val="BodyText"/>
      </w:pPr>
      <w:r>
        <w:t xml:space="preserve">Cumulative attack rate per 10,000 population per week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(0.03–0.91)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(0.09–1.17)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(0.25–1.65)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(0.25–1.65)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(0.25–1.65)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(0.54–2.32)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(1.34–3.77)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(1.46–3.97)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(1.70–4.37)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(3.90–7.62)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(5.53–9.84)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2016-W39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(6.78–11.48)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(8.18–13.29)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  <w:jc w:val="right"/>
            </w:pPr>
            <w:r>
              <w:t xml:space="preserve">(8.61–13.83)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(9.32–14.72)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(10.03–15.61)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(10.46–16.15)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2016-W45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p>
            <w:pPr>
              <w:pStyle w:val="Compact"/>
              <w:jc w:val="right"/>
            </w:pPr>
            <w:r>
              <w:t xml:space="preserve">(11.17–17.03)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2016-W46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(12.90–19.15)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2016-W47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(14.79–21.44)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2016-W48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(18.15–25.45)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2016-W49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(20.95–28.75)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  <w:tc>
          <w:p>
            <w:pPr>
              <w:pStyle w:val="Compact"/>
              <w:jc w:val="right"/>
            </w:pPr>
            <w:r>
              <w:t xml:space="preserve">(26.15–34.78)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2016-W51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  <w:tc>
          <w:p>
            <w:pPr>
              <w:pStyle w:val="Compact"/>
              <w:jc w:val="right"/>
            </w:pPr>
            <w:r>
              <w:t xml:space="preserve">(29.44–38.55)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2016-W52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38.7</w:t>
            </w:r>
          </w:p>
        </w:tc>
        <w:tc>
          <w:p>
            <w:pPr>
              <w:pStyle w:val="Compact"/>
              <w:jc w:val="right"/>
            </w:pPr>
            <w:r>
              <w:t xml:space="preserve">(34.09–43.85)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2017-W01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41.2</w:t>
            </w:r>
          </w:p>
        </w:tc>
        <w:tc>
          <w:p>
            <w:pPr>
              <w:pStyle w:val="Compact"/>
              <w:jc w:val="right"/>
            </w:pPr>
            <w:r>
              <w:t xml:space="preserve">(36.49–46.57)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2017-W02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44.8</w:t>
            </w:r>
          </w:p>
        </w:tc>
        <w:tc>
          <w:p>
            <w:pPr>
              <w:pStyle w:val="Compact"/>
              <w:jc w:val="right"/>
            </w:pPr>
            <w:r>
              <w:t xml:space="preserve">(39.81–50.31)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2017-W03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p>
            <w:pPr>
              <w:pStyle w:val="Compact"/>
              <w:jc w:val="right"/>
            </w:pPr>
            <w:r>
              <w:t xml:space="preserve">(41.93–52.69)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2017-W04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p>
            <w:pPr>
              <w:pStyle w:val="Compact"/>
              <w:jc w:val="right"/>
            </w:pPr>
            <w:r>
              <w:t xml:space="preserve">(44.96–56.07)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2017-W05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52.8</w:t>
            </w:r>
          </w:p>
        </w:tc>
        <w:tc>
          <w:p>
            <w:pPr>
              <w:pStyle w:val="Compact"/>
              <w:jc w:val="right"/>
            </w:pPr>
            <w:r>
              <w:t xml:space="preserve">(47.39–58.78)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2017-W06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71.7</w:t>
            </w:r>
          </w:p>
        </w:tc>
        <w:tc>
          <w:p>
            <w:pPr>
              <w:pStyle w:val="Compact"/>
              <w:jc w:val="right"/>
            </w:pPr>
            <w:r>
              <w:t xml:space="preserve">(65.38–78.64)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2017-W07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74.9</w:t>
            </w:r>
          </w:p>
        </w:tc>
        <w:tc>
          <w:p>
            <w:pPr>
              <w:pStyle w:val="Compact"/>
              <w:jc w:val="right"/>
            </w:pPr>
            <w:r>
              <w:t xml:space="preserve">(68.44–82.00)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2017-W08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81.5</w:t>
            </w:r>
          </w:p>
        </w:tc>
        <w:tc>
          <w:p>
            <w:pPr>
              <w:pStyle w:val="Compact"/>
              <w:jc w:val="right"/>
            </w:pPr>
            <w:r>
              <w:t xml:space="preserve">(74.73–88.86)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2017-W09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(77.04–91.37)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2017-W10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  <w:tc>
          <w:p>
            <w:pPr>
              <w:pStyle w:val="Compact"/>
              <w:jc w:val="right"/>
            </w:pPr>
            <w:r>
              <w:t xml:space="preserve">(83.03–97.89)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2017-W11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91.4</w:t>
            </w:r>
          </w:p>
        </w:tc>
        <w:tc>
          <w:p>
            <w:pPr>
              <w:pStyle w:val="Compact"/>
              <w:jc w:val="right"/>
            </w:pPr>
            <w:r>
              <w:t xml:space="preserve">(84.26–99.22)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2017-W12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(86.42–101.56)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2017-W13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95.0</w:t>
            </w:r>
          </w:p>
        </w:tc>
        <w:tc>
          <w:p>
            <w:pPr>
              <w:pStyle w:val="Compact"/>
              <w:jc w:val="right"/>
            </w:pPr>
            <w:r>
              <w:t xml:space="preserve">(87.65–102.89)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2017-W14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96.7</w:t>
            </w:r>
          </w:p>
        </w:tc>
        <w:tc>
          <w:p>
            <w:pPr>
              <w:pStyle w:val="Compact"/>
              <w:jc w:val="right"/>
            </w:pPr>
            <w:r>
              <w:t xml:space="preserve">(89.35–104.73)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2017-W15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97.2</w:t>
            </w:r>
          </w:p>
        </w:tc>
        <w:tc>
          <w:p>
            <w:pPr>
              <w:pStyle w:val="Compact"/>
              <w:jc w:val="right"/>
            </w:pPr>
            <w:r>
              <w:t xml:space="preserve">(89.81–105.23)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2017-W16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(90.58–106.06)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1436</w:t>
            </w:r>
          </w:p>
        </w:tc>
        <w:tc>
          <w:p>
            <w:pPr>
              <w:pStyle w:val="Compact"/>
              <w:jc w:val="right"/>
            </w:pPr>
            <w:r>
              <w:t xml:space="preserve">62336</w:t>
            </w:r>
          </w:p>
        </w:tc>
        <w:tc>
          <w:p>
            <w:pPr>
              <w:pStyle w:val="Compact"/>
              <w:jc w:val="right"/>
            </w:pPr>
            <w:r>
              <w:t xml:space="preserve">230.4</w:t>
            </w:r>
          </w:p>
        </w:tc>
        <w:tc>
          <w:p>
            <w:pPr>
              <w:pStyle w:val="Compact"/>
              <w:jc w:val="right"/>
            </w:pPr>
            <w:r>
              <w:t xml:space="preserve">(218.88–242.44)</w:t>
            </w:r>
          </w:p>
        </w:tc>
      </w:tr>
    </w:tbl>
    <w:p>
      <w:pPr>
        <w:pStyle w:val="BodyText"/>
      </w:pPr>
      <w:r>
        <w:t xml:space="preserve">Case fatality ratio as a proportion among inpatients by week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Epiweek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CFR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(0.00–48.99)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(0.00–56.15)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(0.00–65.76)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(0.00–43.45)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(0.00–43.45)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(0.00–56.15)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(0.00–48.99)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2016-W52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(0.00–65.76)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(0.00–65.76)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(0.00–65.76)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(0.00–48.99)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(0.00–43.45)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(0.00–65.76)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(0.00–79.35)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2017-W16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(NaN–NaN)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(Missing)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(0.00–12.46)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Error in stop_if_not_aweek_string(x): aweek strings must match the pattern 'YYYY-Www-d'. The first incorrect string was: '(Missing)'</w:t>
      </w:r>
    </w:p>
    <w:p>
      <w:pPr>
        <w:pStyle w:val="FirstParagraph"/>
      </w:pPr>
      <w:r>
        <w:t xml:space="preserve">Inpatient admissions by case definition and week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Confirmed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Suspected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</w:tbl>
    <w:p>
      <w:pPr>
        <w:pStyle w:val="BodyText"/>
      </w:pPr>
      <w:r>
        <w:t xml:space="preserve">Inpatient discharges by reason for exit and week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Discharged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Left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2016-W52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2017-W14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</w:tbl>
    <w:p>
      <w:pPr>
        <w:pStyle w:val="Heading3"/>
      </w:pPr>
      <w:bookmarkStart w:id="35" w:name="place"/>
      <w:bookmarkEnd w:id="35"/>
      <w:r>
        <w:t xml:space="preserve">Place</w:t>
      </w:r>
    </w:p>
    <w:p>
      <w:pPr>
        <w:pStyle w:val="Heading4"/>
      </w:pPr>
      <w:bookmarkStart w:id="36" w:name="descriptive"/>
      <w:bookmarkEnd w:id="36"/>
      <w:r>
        <w:t xml:space="preserve">Descriptive</w:t>
      </w:r>
    </w:p>
    <w:p>
      <w:pPr>
        <w:pStyle w:val="FirstParagraph"/>
      </w:pPr>
      <w:r>
        <w:t xml:space="preserve">Cases by region and facility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Inpatient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Outpatient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GARA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ABLELAYE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ABOUDEA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ADAMRE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ADJABONA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AFFOUSSE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AL-FRECHE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AL-HOUGNA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AL-MOURA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 ALAK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 HOUA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 KOUCK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 MIDODIL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ALBAYADI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ALBOUKHASS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ALKASSÉ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AM-DOUMA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ASSALA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BADARO 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KIFEO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AMANASISSE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AMBARITE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AMCHOKA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AMDIREDIMAT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AMDJALAT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AMMANASIS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AMSINENE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ANFANDOCK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ANGUITEI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ANGUITEYE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ARDO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ATETAL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BADINA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BANDJADID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 TAGAL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CHATAU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COMMERCANT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COUBO ABNIMIR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DARASALAM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DARWAL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DELEBAE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DIFFIR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DIJEKHINÉ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DILEMA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DINGUESS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DJAMBALBAHAR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DJOGO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GANATIR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GANATIR 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GANATIR 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GARDOLE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GOURMOUDAY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GOZ-TAMADJA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DJARAT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MABILE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MABILE 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GRÉDAÏ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HABILÉ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HARAZA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HILE BARA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HILE ODAA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HIMEDA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IDETER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KACHKACHA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KOUBO AMNIMIRE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MABROUKA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MIRÉKIKE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MOURAY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NOUGRA KARO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OUM-ALKHOURA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RASSAFIL CHATEAU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RASSALFIL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RIAD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RIDINA 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RIDINA 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RIMELIE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SALAMAT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SIHEBA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684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1419</w:t>
            </w:r>
          </w:p>
        </w:tc>
      </w:tr>
    </w:tbl>
    <w:p>
      <w:pPr>
        <w:pStyle w:val="BodyText"/>
      </w:pPr>
      <w:r>
        <w:t xml:space="preserve">Inpatient discharges by reason for exit and region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Discharged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Left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ABLELAYE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ABOUDEA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ADAMRE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AFFOUSSE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AL-FRECHE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AL-HOUGNA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AL-MOURA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 MIDODIL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ALBAYADI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ALKASSÉ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 KIFEO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AMCHOKA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AMDIREDIMAT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AMSINENE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ANFANDOCK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ARDO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ATOUA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DARWAL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DELEBAE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DIJEKHINÉ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DILEMA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DINGUESS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GANATIR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GOZ-TAMADJA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DJARAT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MABILE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MABILE 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HARAZA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HILE BARA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KACHKACHA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MIRÉKIKE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RASSALFIL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RIAD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SALAMAT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SIHEBA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</w:tbl>
    <w:p>
      <w:pPr>
        <w:pStyle w:val="BodyText"/>
      </w:pPr>
      <w:r>
        <w:t xml:space="preserve">Attack rage per 10,000 population by region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 (per 10,000)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AB GARA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ABLELAYE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ABOUDEA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ADAMRE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ADJABONA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2,350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(2.33–30.98)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AFFOUSSE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AL-FRECHE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AL-HOUGNA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AL-MOURA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 ALAK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 HOUA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 KOUCK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 MIDODIL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ALBAYADI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ALBOUKHASS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ALKASSÉ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AM-DOUMA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 ASSALA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 BADARO 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 KIFEO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AMANASISSE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AMBARITE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AMCHOKA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AMDIREDIMAT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AMDJALAT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AMMANASIS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AMSINENE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ANALA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ANFANDOCK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ANGUITEI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ANGUITEYE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ARDO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ATETAL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ATOUA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BADINA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BANDJADID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BAUNE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BIR TAGAL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BRANO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CHATAU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COMMERCANT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COUBO ABNIMIR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DARASALAM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DARWAL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DELEBAE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DIFFIR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DIJEKHINÉ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DILEMA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DINGUESS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2,268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(14.96–63.57)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DJAMBALBAHAR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DJOGO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GANATIR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GANATIR 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GANATIR 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GARDOLE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2,286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(4.46–38.51)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GOURMOUDAY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GOZ-TAMADJA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GOZ DJARAT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GOZ MABILE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GOZ MABILE 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3,086</w:t>
            </w:r>
          </w:p>
        </w:tc>
        <w:tc>
          <w:p>
            <w:pPr>
              <w:pStyle w:val="Compact"/>
              <w:jc w:val="right"/>
            </w:pPr>
            <w:r>
              <w:t xml:space="preserve">45.4</w:t>
            </w:r>
          </w:p>
        </w:tc>
        <w:tc>
          <w:p>
            <w:pPr>
              <w:pStyle w:val="Compact"/>
              <w:jc w:val="right"/>
            </w:pPr>
            <w:r>
              <w:t xml:space="preserve">(27.04–76.01)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GRÉDAÏ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HABILÉ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HARAZA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HILE BARA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HILE ODAA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HIMEDA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IDETER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KACHKACHA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KOUBO AMNIMIRE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MABROUKA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MATAR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70.3</w:t>
            </w:r>
          </w:p>
        </w:tc>
        <w:tc>
          <w:p>
            <w:pPr>
              <w:pStyle w:val="Compact"/>
              <w:jc w:val="right"/>
            </w:pPr>
            <w:r>
              <w:t xml:space="preserve">(27.37–179.34)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MIRÉKIKE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MIRER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MOURAY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NOUGRA KARO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OUM-ALKHOURA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PEDIS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RASSAFIL CHATEAU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RASSALFIL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RIAD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6,073</w:t>
            </w:r>
          </w:p>
        </w:tc>
        <w:tc>
          <w:p>
            <w:pPr>
              <w:pStyle w:val="Compact"/>
              <w:jc w:val="right"/>
            </w:pPr>
            <w:r>
              <w:t xml:space="preserve">143.3</w:t>
            </w:r>
          </w:p>
        </w:tc>
        <w:tc>
          <w:p>
            <w:pPr>
              <w:pStyle w:val="Compact"/>
              <w:jc w:val="right"/>
            </w:pPr>
            <w:r>
              <w:t xml:space="preserve">(116.29–176.36)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RIDINA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RIDINA 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2,336</w:t>
            </w:r>
          </w:p>
        </w:tc>
        <w:tc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p>
            <w:pPr>
              <w:pStyle w:val="Compact"/>
              <w:jc w:val="right"/>
            </w:pPr>
            <w:r>
              <w:t xml:space="preserve">(26.31–84.13)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RIDINA 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3,734</w:t>
            </w:r>
          </w:p>
        </w:tc>
        <w:tc>
          <w:p>
            <w:pPr>
              <w:pStyle w:val="Compact"/>
              <w:jc w:val="right"/>
            </w:pPr>
            <w:r>
              <w:t xml:space="preserve">64.3</w:t>
            </w:r>
          </w:p>
        </w:tc>
        <w:tc>
          <w:p>
            <w:pPr>
              <w:pStyle w:val="Compact"/>
              <w:jc w:val="right"/>
            </w:pPr>
            <w:r>
              <w:t xml:space="preserve">(43.23–95.46)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RIMELIE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SALAMAT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SIHEBA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TARADONA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TARADONA 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6,484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(37.55–73.18)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TARADONA 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5,250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right"/>
            </w:pPr>
            <w:r>
              <w:t xml:space="preserve">(93.91–153.23)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TARADONA 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5,416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(43.42–85.44)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ZONGO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1,607</w:t>
            </w:r>
          </w:p>
        </w:tc>
        <w:tc>
          <w:p>
            <w:pPr>
              <w:pStyle w:val="Compact"/>
              <w:jc w:val="right"/>
            </w:pPr>
            <w:r>
              <w:t xml:space="preserve">24.9</w:t>
            </w:r>
          </w:p>
        </w:tc>
        <w:tc>
          <w:p>
            <w:pPr>
              <w:pStyle w:val="Compact"/>
              <w:jc w:val="right"/>
            </w:pPr>
            <w:r>
              <w:t xml:space="preserve">(9.68–63.83)</w:t>
            </w:r>
          </w:p>
        </w:tc>
      </w:tr>
    </w:tbl>
    <w:p>
      <w:pPr>
        <w:pStyle w:val="BodyText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bar_attack_rate_by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Mortality rate per 10,000 population by region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Mortality (per 10,000)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ABLELAYE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AL-HOUGNA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AMSINENE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ANFANDOCK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BADINA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DELEBAE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DINGUESS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2268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(0.78–24.93)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GOZ MABILE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HARAZA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KACHKACHA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(NA–NA)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RIAD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6073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(0.29–9.32)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TARADONA 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5250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left"/>
            </w:pPr>
            <w:r>
              <w:t xml:space="preserve">(0.34–10.78)</w:t>
            </w:r>
          </w:p>
        </w:tc>
      </w:tr>
    </w:tbl>
    <w:p>
      <w:pPr>
        <w:pStyle w:val="Heading4"/>
      </w:pPr>
      <w:bookmarkStart w:id="38" w:name="maps"/>
      <w:bookmarkEnd w:id="38"/>
      <w:r>
        <w:t xml:space="preserve">Maps</w:t>
      </w:r>
    </w:p>
    <w:p>
      <w:pPr>
        <w:pStyle w:val="SourceCode"/>
      </w:pPr>
      <w:r>
        <w:rPr>
          <w:rStyle w:val="VerbatimChar"/>
        </w:rPr>
        <w:t xml:space="preserve">## Coordinate Reference System:</w:t>
      </w:r>
      <w:r>
        <w:br w:type="textWrapping"/>
      </w:r>
      <w:r>
        <w:rPr>
          <w:rStyle w:val="VerbatimChar"/>
        </w:rPr>
        <w:t xml:space="preserve">##   EPSG: 4326 </w:t>
      </w:r>
      <w:r>
        <w:br w:type="textWrapping"/>
      </w:r>
      <w:r>
        <w:rPr>
          <w:rStyle w:val="VerbatimChar"/>
        </w:rPr>
        <w:t xml:space="preserve">##   proj4string: "+proj=longlat +datum=WGS84 +no_defs"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choropleth_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asestudy_AJS_template_files/figure-docx/map_for_loop_epiweek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2e01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1" Target="media/rId41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42" Target="media/rId42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43" Target="media/rId43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AJS outbreak report</dc:title>
  <dc:creator/>
  <dcterms:created xsi:type="dcterms:W3CDTF">2019-09-23T21:47:56Z</dcterms:created>
  <dcterms:modified xsi:type="dcterms:W3CDTF">2019-09-23T21:47:56Z</dcterms:modified>
</cp:coreProperties>
</file>