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OmicHub BioOps: Auditable Agent</w:t>
      </w:r>
      <w:r>
        <w:rPr>
          <w:bCs/>
          <w:b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Skill Infrastructure for Controlled Omics Analysis Delivery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[TEAM-ID assigned by the organizing committee]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OmicHub BioOps: Auditable Agent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Skill Infrastructure for Controlled Omics Analysis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[Team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OmicHub / Huazhong Agricultural University</w:t>
            </w:r>
            <w:r>
              <w:t xml:space="preserve"> </w:t>
            </w:r>
            <w:r>
              <w:rPr>
                <w:rStyle w:val="VerbatimChar"/>
              </w:rPr>
              <w:t xml:space="preserve">[confirm official institution string]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 Zhang (Founder; product, architecture, full-stack development);</w:t>
            </w:r>
            <w:r>
              <w:t xml:space="preserve"> </w:t>
            </w:r>
            <w:r>
              <w:rPr>
                <w:rStyle w:val="VerbatimChar"/>
              </w:rPr>
              <w:t xml:space="preserve">[add members and roles]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 /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[If applicable]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</w:tbl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OmicHub BioOps industrializes</w:t>
      </w:r>
      <w:r>
        <w:t xml:space="preserve"> </w:t>
      </w:r>
      <w:r>
        <w:t xml:space="preserve">“</w:t>
      </w:r>
      <w:r>
        <w:t xml:space="preserve">omics analysis delivery</w:t>
      </w:r>
      <w:r>
        <w:t xml:space="preserve">”</w:t>
      </w:r>
      <w:r>
        <w:t xml:space="preserve">, a high-frequency, long-chain task in life-science R&amp;D. The platform wraps expert-audited, version-controlled analysis pipelines into web-submittable tasks, and drives the whole process from requirement understanding to controlled execution with domain agents operating over a governed Skill library. Every analysis leaves a versioned pipeline definition, an environment snapshot, and a machine-verifiable evidence chain. Unlike general-purpose AI workbenches that let models generate workflows and trust their outputs, our agents only</w:t>
      </w:r>
      <w:r>
        <w:t xml:space="preserve"> </w:t>
      </w:r>
      <w:r>
        <w:rPr>
          <w:iCs/>
          <w:i/>
        </w:rPr>
        <w:t xml:space="preserve">schedule</w:t>
      </w:r>
      <w:r>
        <w:t xml:space="preserve"> </w:t>
      </w:r>
      <w:r>
        <w:t xml:space="preserve">expert-audited pipelines: they hold no shell, pipeline-YAML, or database write permissions. Quality gates are rule-based (e.g., mapping rate</w:t>
      </w:r>
      <w:r>
        <w:t xml:space="preserve"> </w:t>
      </w:r>
      <m:oMath>
        <m:r>
          <m:rPr>
            <m:sty m:val="p"/>
          </m:rPr>
          <m:t>≥</m:t>
        </m:r>
        <m:r>
          <m:t>0.70</m:t>
        </m:r>
      </m:oMath>
      <w:r>
        <w:t xml:space="preserve">, Q30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); missing rules force manual review. In the reference bulk RNA-seq scenario, a standard analysis submission drops from about 20 minutes of manual configuration and command-line operation to about 5 minutes through a validated web form (</w:t>
      </w:r>
      <m:oMath>
        <m:r>
          <m:rPr>
            <m:sty m:val="p"/>
          </m:rPr>
          <m:t>−</m:t>
        </m:r>
        <m:r>
          <m:t>75</m:t>
        </m:r>
        <m:r>
          <m:rPr>
            <m:sty m:val="p"/>
          </m:rPr>
          <m:t>%</m:t>
        </m:r>
      </m:oMath>
      <w:r>
        <w:t xml:space="preserve">); incremental re-analysis within covered domains drops from about one expert-day to about 30 minutes (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%</m:t>
        </m:r>
      </m:oMath>
      <w:r>
        <w:t xml:space="preserve">); pipeline customization drops from about five days to one day (</w:t>
      </w:r>
      <m:oMath>
        <m:r>
          <m:rPr>
            <m:sty m:val="p"/>
          </m:rPr>
          <m:t>−</m:t>
        </m:r>
        <m:r>
          <m:t>80</m:t>
        </m:r>
        <m:r>
          <m:rPr>
            <m:sty m:val="p"/>
          </m:rPr>
          <m:t>%</m:t>
        </m:r>
      </m:oMath>
      <w:r>
        <w:t xml:space="preserve">). Project-level context documents, delivery READMEs, and MD5 verification lists turn</w:t>
      </w:r>
      <w:r>
        <w:t xml:space="preserve"> </w:t>
      </w:r>
      <w:r>
        <w:t xml:space="preserve">“</w:t>
      </w:r>
      <w:r>
        <w:t xml:space="preserve">unreproducible handover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reproducible takeover</w:t>
      </w:r>
      <w:r>
        <w:t xml:space="preserve">”</w:t>
      </w:r>
      <w:r>
        <w:t xml:space="preserve">. Platform v0.1.0 is in production use at the genomics laboratory of the College of Life Science and Technology, Huazhong Agricultural University.</w:t>
      </w:r>
    </w:p>
    <w:bookmarkEnd w:id="20"/>
    <w:bookmarkStart w:id="21" w:name="Xe7aa4e0eb4287008a231de4ac7fc27bfbb5ff0d"/>
    <w:p>
      <w:pPr>
        <w:pStyle w:val="Heading1"/>
      </w:pPr>
      <w:r>
        <w:t xml:space="preserve">Project Background and Problem Definition</w:t>
      </w:r>
    </w:p>
    <w:p>
      <w:pPr>
        <w:pStyle w:val="FirstParagraph"/>
      </w:pPr>
      <w:r>
        <w:t xml:space="preserve">Delivering one omics analysis in a pharma translational-medicine department, a breeding institute, a clinical-testing laboratory, or a university core facility typically spans data intake, sample/metadata validation, pipeline execution, quality control, statistical interpretation, and report delivery across several human roles. Today this collaboration is mediated by chat tools, spreadsheets, ad-hoc scripts, and task systems, which produces five structural problems: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Fragmented entry points and error-prone submission.</w:t>
      </w:r>
      <w:r>
        <w:t xml:space="preserve"> </w:t>
      </w:r>
      <w:r>
        <w:t xml:space="preserve">One standard analysis requires manually preparing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samples.csv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contrasts.csv</w:t>
      </w:r>
      <w:r>
        <w:t xml:space="preserve"> </w:t>
      </w:r>
      <w:r>
        <w:t xml:space="preserve">and submitting via the command line; errors surface only late in computation, wasting hours of compute.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Incremental requests depend on experts.</w:t>
      </w:r>
      <w:r>
        <w:t xml:space="preserve"> </w:t>
      </w:r>
      <w:r>
        <w:t xml:space="preserve">Follow-up questions on delivered results (a new contrast, an added enrichment analysis) must be re-parsed and re-designed by a bioinformatician; turnaround is measured in days.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High customization cost.</w:t>
      </w:r>
      <w:r>
        <w:t xml:space="preserve"> </w:t>
      </w:r>
      <w:r>
        <w:t xml:space="preserve">Swapping an aligner (STAR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HISAT2) or adding a QC step means rewriting and re-reviewing an entire pipeline, a multi-day to multi-week effort.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Untrustworthy AI artifacts.</w:t>
      </w:r>
      <w:r>
        <w:t xml:space="preserve"> </w:t>
      </w:r>
      <w:r>
        <w:t xml:space="preserve">Existing AI workbenches fully trust model-generated workflows and results; without reproducibility or traceability they cannot be accepted in compliance-heavy pharma and clinical-testing settings.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Organizational knowledge loss.</w:t>
      </w:r>
      <w:r>
        <w:t xml:space="preserve"> </w:t>
      </w:r>
      <w:r>
        <w:t xml:space="preserve">When analysts leave, their scripts and context are nearly impossible to reproduce; project archaeology from chat logs becomes the norm.</w:t>
      </w:r>
    </w:p>
    <w:p>
      <w:pPr>
        <w:pStyle w:val="FirstParagraph"/>
      </w:pPr>
      <w:r>
        <w:t xml:space="preserve">Problems 1–3 are efficiency issues, problem 4 is a trust issue, and problem 5 is an organizational-continuity issue. Existing tools each address one link; no mature commercial tool closes all three in one loop. The core engineering question is therefore:</w:t>
      </w:r>
      <w:r>
        <w:t xml:space="preserve"> </w:t>
      </w:r>
      <w:r>
        <w:rPr>
          <w:iCs/>
          <w:i/>
        </w:rPr>
        <w:t xml:space="preserve">how can LLM-based agents exploit their reasoning flexibility without ever becoming the source of truth for execution or quality decisions?</w:t>
      </w:r>
    </w:p>
    <w:bookmarkEnd w:id="21"/>
    <w:bookmarkStart w:id="22" w:name="objectives-and-scope"/>
    <w:p>
      <w:pPr>
        <w:pStyle w:val="Heading1"/>
      </w:pPr>
      <w:r>
        <w:t xml:space="preserve">Objectives and Scope</w:t>
      </w:r>
    </w:p>
    <w:p>
      <w:pPr>
        <w:numPr>
          <w:ilvl w:val="0"/>
          <w:numId w:val="1002"/>
        </w:numPr>
      </w:pPr>
      <w:r>
        <w:t xml:space="preserve">Primary objective: deliver a controlled omics-analysis platform in which domain agents decompose requirements, schedule</w:t>
      </w:r>
      <w:r>
        <w:t xml:space="preserve"> </w:t>
      </w:r>
      <w:r>
        <w:rPr>
          <w:iCs/>
          <w:i/>
        </w:rPr>
        <w:t xml:space="preserve">expert-audited and versioned</w:t>
      </w:r>
      <w:r>
        <w:t xml:space="preserve"> </w:t>
      </w:r>
      <w:r>
        <w:t xml:space="preserve">pipelines, and produce machine-verifiable evidence chains (versioned pipeline YAML, environment snapshots, MD5-verified artifacts, audit events) for every run.</w:t>
      </w:r>
    </w:p>
    <w:p>
      <w:pPr>
        <w:numPr>
          <w:ilvl w:val="0"/>
          <w:numId w:val="1002"/>
        </w:numPr>
      </w:pPr>
      <w:r>
        <w:t xml:space="preserve">Secondary objectives: (a) a governed Skill marketplace so incremental analysis needs are answered within declared capability boundaries without expert re-intervention; (b) module-level customization that inherits platform quality gates and delivery chains; (c) project-bound knowledge assets (AGENTS.md ledger, run-level README, artifact registry) that survive staff turnover.</w:t>
      </w:r>
    </w:p>
    <w:p>
      <w:pPr>
        <w:numPr>
          <w:ilvl w:val="0"/>
          <w:numId w:val="1002"/>
        </w:numPr>
      </w:pPr>
      <w:r>
        <w:t xml:space="preserve">Scope boundary: the platform is a research/development analysis tool. It does not issue clinical diagnostic reports; GxP electronic-records compliance (21 CFR Part 11) adaptation is on the roadmap, not claimed as delivered. The multi-role collaboration layer is an experimental preview (disabled by default) and is not part of the claimed core path. Metrics marked as engineering estimates are pending pilot measurement.</w:t>
      </w:r>
    </w:p>
    <w:bookmarkEnd w:id="22"/>
    <w:bookmarkStart w:id="23" w:name="technical-route"/>
    <w:p>
      <w:pPr>
        <w:pStyle w:val="Heading1"/>
      </w:pPr>
      <w:r>
        <w:t xml:space="preserve">Technical Route</w:t>
      </w:r>
    </w:p>
    <w:p>
      <w:pPr>
        <w:pStyle w:val="FirstParagraph"/>
      </w:pPr>
      <w:r>
        <w:t xml:space="preserve">The end-to-end route is: form-validated data intake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preflight check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approval-gated task submission to a controlled queue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expert-audited pipeline execution (RNAFlow/Snakemake-based)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rule-based quality gates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evidence and artifact registration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delivery README with MD5 verification.</w:t>
      </w:r>
    </w:p>
    <w:p>
      <w:pPr>
        <w:pStyle w:val="TableCaption"/>
      </w:pPr>
      <w:r>
        <w:t xml:space="preserve">Technical route summary.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echnical route summary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 /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FASTQ/BAM/sample sheets, project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forms with parameter whitelists; read-only preflight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Validated, project-bound input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 /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input + declared contrasts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Expert-audited pipelines (e.g.,</w:t>
            </w:r>
            <w:r>
              <w:t xml:space="preserve"> </w:t>
            </w:r>
            <w:r>
              <w:rPr>
                <w:rStyle w:val="VerbatimChar"/>
              </w:rPr>
              <w:t xml:space="preserve">rna_seq</w:t>
            </w:r>
            <w:r>
              <w:t xml:space="preserve"> </w:t>
            </w:r>
            <w:r>
              <w:t xml:space="preserve">v2.3.0); 38 governed Skills; domain agents (LangGraph)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Counts, DEG/enrichment results,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metrics,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gates (mapping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0.70</m:t>
              </m:r>
            </m:oMath>
            <w:r>
              <w:t xml:space="preserve">, Q30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0.80</m:t>
              </m:r>
            </m:oMath>
            <w:r>
              <w:t xml:space="preserve">); MD5 &amp; artifact-integrity checks; manual-review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Pass/fail/manual-review decisions + evidence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/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on-premise deployment; delivery README +</w:t>
            </w:r>
            <w:r>
              <w:t xml:space="preserve"> </w:t>
            </w:r>
            <w:r>
              <w:rPr>
                <w:rStyle w:val="VerbatimChar"/>
              </w:rPr>
              <w:t xml:space="preserve">environment.json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verification.tsv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delivery package</w:t>
            </w:r>
          </w:p>
        </w:tc>
      </w:tr>
    </w:tbl>
    <w:bookmarkEnd w:id="23"/>
    <w:bookmarkStart w:id="24" w:name="methods-and-implementation"/>
    <w:p>
      <w:pPr>
        <w:pStyle w:val="Heading1"/>
      </w:pPr>
      <w:r>
        <w:t xml:space="preserve">Methods and Implementation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Agent</w:t>
      </w:r>
      <w:r>
        <w:rPr>
          <w:bCs/>
          <w:b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Skill coupling.</w:t>
      </w:r>
      <w:r>
        <w:t xml:space="preserve"> </w:t>
      </w:r>
      <w:r>
        <w:t xml:space="preserve">Domain agents (e.g., RNA-seq analyst) understand requirements, decompose tasks, and explain results. Skills are stable business actions with explicit contracts: trigger condition + input schema + version + failure semantics + permission boundary (e.g.,</w:t>
      </w:r>
      <w:r>
        <w:t xml:space="preserve"> </w:t>
      </w:r>
      <w:r>
        <w:t xml:space="preserve">“</w:t>
      </w:r>
      <w:r>
        <w:t xml:space="preserve">differential expression analysis v1.0.0</w:t>
      </w:r>
      <w:r>
        <w:t xml:space="preserve">”</w:t>
      </w:r>
      <w:r>
        <w:t xml:space="preserve">). Agents are assembled declaratively (identity / prompt / tool packs / capability boundary in</w:t>
      </w:r>
      <w:r>
        <w:t xml:space="preserve"> </w:t>
      </w:r>
      <w:r>
        <w:rPr>
          <w:rStyle w:val="VerbatimChar"/>
        </w:rPr>
        <w:t xml:space="preserve">data/ai/*.yaml</w:t>
      </w:r>
      <w:r>
        <w:t xml:space="preserve">), never by ad-hoc prompt stitching. The built-in Skill marketplace currently ships 38 executable Skills (36 analysis, 2 platform-management).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Expert-audited pipelines as versioned assets.</w:t>
      </w:r>
      <w:r>
        <w:t xml:space="preserve"> </w:t>
      </w:r>
      <w:r>
        <w:t xml:space="preserve">Built-in pipelines are constructed and reviewed by domain experts and stored as declarative, version-controlled YAML. Agents have no shell, no pipeline-YAML write access, and no database write access; submissions require an</w:t>
      </w:r>
      <w:r>
        <w:t xml:space="preserve"> </w:t>
      </w:r>
      <w:r>
        <w:rPr>
          <w:rStyle w:val="VerbatimChar"/>
        </w:rPr>
        <w:t xml:space="preserve">approval_token</w:t>
      </w:r>
      <w:r>
        <w:t xml:space="preserve">, an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allowed_flow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Evidence chain.</w:t>
      </w:r>
      <w:r>
        <w:t xml:space="preserve"> </w:t>
      </w:r>
      <w:r>
        <w:t xml:space="preserve">Key calls and state transitions emit evidence events bound to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, rule version, artifact references, and decision rationale. The controlled-execution base implements DAG runs, a plan-confirmation gate, an Artifact Registry, PostgreSQL Outbox + Redis Stream eventing with idempotent consumption, quality gates, and human-in-the-loop approval.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Knowledge and context.</w:t>
      </w:r>
      <w:r>
        <w:t xml:space="preserve"> </w:t>
      </w:r>
      <w:r>
        <w:t xml:space="preserve">A project-scoped storage root (</w:t>
      </w:r>
      <w:r>
        <w:rPr>
          <w:rStyle w:val="VerbatimChar"/>
        </w:rPr>
        <w:t xml:space="preserve">projects/{slug}/runs/{task}-{timestamp}/</w:t>
      </w:r>
      <w:r>
        <w:t xml:space="preserve">) is enforced by platform code, not prompt convention. The AGENTS.md ledger and run-level delivery README (environment snapshot, dependency versions, file sizes, MD5 list) are auto-generated; a built-in verifier checks every delivered file (SUCCESS / MISSING / FAIL) and emits machine-readable</w:t>
      </w:r>
      <w:r>
        <w:t xml:space="preserve"> </w:t>
      </w:r>
      <w:r>
        <w:rPr>
          <w:rStyle w:val="VerbatimChar"/>
        </w:rPr>
        <w:t xml:space="preserve">verification.tsv</w:t>
      </w:r>
      <w:r>
        <w:t xml:space="preserve">. Knowledge-base RAG (PostgreSQL + pgvector, hybrid retrieval) serves domain SOPs with source- and version-attributed snippets.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Software environment.</w:t>
      </w:r>
      <w:r>
        <w:t xml:space="preserve"> </w:t>
      </w:r>
      <w:r>
        <w:t xml:space="preserve">Python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3.11 (FastAPI, SQLAlchemy 2 async, LangGraph), PostgreSQL (+pgvector), Redis, Vue 3 frontend, Snakemake-based RNAFlow pipelines in containerized execution; 29 application services and 227 backend Python modules under a strict DDD four-layer architecture; OpenTelemetry instrumentation for tracing.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Validation design.</w:t>
      </w:r>
      <w:r>
        <w:t xml:space="preserve"> </w:t>
      </w:r>
      <w:r>
        <w:t xml:space="preserve">Three end-to-end demonstration chains: (A) preflight-passed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approval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controlled submission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quality gate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delivery; (B) preflight-blocked (missing metadata stops before any compute is consumed); (C) quality-gate to manual review (below-threshold QC or missing rule version blocks delivery). Baseline comparison is the conventional manual workflow (command-line submission, expert-mediated re-analysis, full-pipeline rewrite).</w:t>
      </w:r>
    </w:p>
    <w:bookmarkEnd w:id="24"/>
    <w:bookmarkStart w:id="25" w:name="engineering-workflow-and-productization"/>
    <w:p>
      <w:pPr>
        <w:pStyle w:val="Heading1"/>
      </w:pPr>
      <w:r>
        <w:t xml:space="preserve">Engineering Workflow and Productization</w:t>
      </w:r>
    </w:p>
    <w:p>
      <w:pPr>
        <w:numPr>
          <w:ilvl w:val="0"/>
          <w:numId w:val="1004"/>
        </w:numPr>
      </w:pPr>
      <w:r>
        <w:t xml:space="preserve">Requirement analysis: target users are pharma translational-medicine/bioinformatics teams, breeding and agricultural research groups, clinical-testing and research-service providers, and university core facilities; success criteria are submission-time, incremental-response time, and reproducibility of handover.</w:t>
      </w:r>
    </w:p>
    <w:p>
      <w:pPr>
        <w:numPr>
          <w:ilvl w:val="0"/>
          <w:numId w:val="1004"/>
        </w:numPr>
      </w:pPr>
      <w:r>
        <w:t xml:space="preserve">Workflow design: four-layer architecture (workbench UI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Agent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Skill coupling layer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execution and knowledge base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infrastructure); a unified storage root shared by the tool pages, the AI assistant, and the agent workspace, so intermediate results flow by logical reference without physical copies.</w:t>
      </w:r>
    </w:p>
    <w:p>
      <w:pPr>
        <w:numPr>
          <w:ilvl w:val="0"/>
          <w:numId w:val="1004"/>
        </w:numPr>
      </w:pPr>
      <w:r>
        <w:t xml:space="preserve">Implementation process: single-repository development with version control, DDD module boundaries (domain / application / API / infrastructure), declarative configuration for agents, Skills, and pipelines.</w:t>
      </w:r>
    </w:p>
    <w:p>
      <w:pPr>
        <w:numPr>
          <w:ilvl w:val="0"/>
          <w:numId w:val="1004"/>
        </w:numPr>
      </w:pPr>
      <w:r>
        <w:t xml:space="preserve">Testing and iteration: unit and contract tests for the bridge/worker/MAS layers, idempotency and retry tests, preflight-block verification, and staging end-to-end acceptance runs; environment snapshots pin pipeline YAML versions and git commit SHAs.</w:t>
      </w:r>
    </w:p>
    <w:p>
      <w:pPr>
        <w:numPr>
          <w:ilvl w:val="0"/>
          <w:numId w:val="1004"/>
        </w:numPr>
      </w:pPr>
      <w:r>
        <w:t xml:space="preserve">Deployment and maintenance: private on-premise deployment (data never leaves the customer network); containerized execution; platform v0.1.0 in production use at HZAU; roadmap includes a one-click deployment package and an Apache-2.0 open-source community edition.</w:t>
      </w:r>
    </w:p>
    <w:p>
      <w:pPr>
        <w:pStyle w:val="TableCaption"/>
      </w:pPr>
      <w:r>
        <w:t xml:space="preserve">Engineering process summary.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ngineering process summary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Activities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User/scenario analysis in HZAU genomics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Pain-point list, role/use-case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Four-layer architecture; Skill/pipeline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diagram; module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DDD implementation; 29 services, 227 modules; 38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Repository, commit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v0.1.0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 / quality-gate / delivery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rule versions, verification.tsv, evidence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delivery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 deployment, delivery README, MD5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archive + environment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release</w:t>
            </w:r>
          </w:p>
        </w:tc>
      </w:tr>
    </w:tbl>
    <w:bookmarkEnd w:id="25"/>
    <w:bookmarkStart w:id="26" w:name="innovation-points"/>
    <w:p>
      <w:pPr>
        <w:pStyle w:val="Heading1"/>
      </w:pPr>
      <w:r>
        <w:t xml:space="preserve">Innovation Points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AI schedules, never generates.</w:t>
      </w:r>
      <w:r>
        <w:rPr>
          <w:bCs/>
          <w:b/>
        </w:rPr>
        <w:t xml:space="preserve">”</w:t>
      </w:r>
      <w:r>
        <w:t xml:space="preserve"> </w:t>
      </w:r>
      <w:r>
        <w:t xml:space="preserve">Pipelines come from expert review and version control, not from model output; agents are confined to decomposition, scheduling, and explanation. This is the fundamental difference from generative-AI workbenches.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Machine-verifiable evidence chain.</w:t>
      </w:r>
      <w:r>
        <w:t xml:space="preserve"> </w:t>
      </w:r>
      <w:r>
        <w:t xml:space="preserve">Approval records, idempotent submissions, evidence events, environment snapshots, and MD5 verification together make every conclusion auditable by a checker, not by human trust.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Governed Skill marketplace.</w:t>
      </w:r>
      <w:r>
        <w:t xml:space="preserve"> </w:t>
      </w:r>
      <w:r>
        <w:t xml:space="preserve">38 executable, contract-declared, version-managed Skills let agents answer incremental analysis needs within pre-declared capability boundaries (install-once, reuse-across-projects).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Code-enforced project memory.</w:t>
      </w:r>
      <w:r>
        <w:t xml:space="preserve"> </w:t>
      </w:r>
      <w:r>
        <w:t xml:space="preserve">Project-binding, ledgers, and delivery READMEs are generated by platform code rather than prompt convention, so organizational knowledge persists across staff turnover by construction.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Module-level customization.</w:t>
      </w:r>
      <w:r>
        <w:t xml:space="preserve"> </w:t>
      </w:r>
      <w:r>
        <w:t xml:space="preserve">Pipelines decompose into versioned modules (rule); a variant (STAR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HISAT2) inherits platform quality gates and delivery chains instead of re-validating the whole chain.</w:t>
      </w:r>
    </w:p>
    <w:bookmarkEnd w:id="26"/>
    <w:bookmarkStart w:id="27" w:name="results-and-evidence"/>
    <w:p>
      <w:pPr>
        <w:pStyle w:val="Heading1"/>
      </w:pPr>
      <w:r>
        <w:t xml:space="preserve">Results and Evidence</w:t>
      </w:r>
    </w:p>
    <w:p>
      <w:pPr>
        <w:numPr>
          <w:ilvl w:val="0"/>
          <w:numId w:val="1006"/>
        </w:numPr>
      </w:pPr>
      <w:r>
        <w:t xml:space="preserve">Result 1 (efficiency): in the reference bulk RNA-seq scenario, standard-analysis submission time drops from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 min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 min (</w:t>
      </w:r>
      <m:oMath>
        <m:r>
          <m:rPr>
            <m:sty m:val="p"/>
          </m:rPr>
          <m:t>−</m:t>
        </m:r>
        <m:r>
          <m:t>75</m:t>
        </m:r>
        <m:r>
          <m:rPr>
            <m:sty m:val="p"/>
          </m:rPr>
          <m:t>%</m:t>
        </m:r>
      </m:oMath>
      <w:r>
        <w:t xml:space="preserve">); expert-driven incremental re-analysis drops from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 day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30 min (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%</m:t>
        </m:r>
      </m:oMath>
      <w:r>
        <w:t xml:space="preserve">, within covered Skills); pipeline customization drops from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 days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 day (</w:t>
      </w:r>
      <m:oMath>
        <m:r>
          <m:rPr>
            <m:sty m:val="p"/>
          </m:rPr>
          <m:t>−</m:t>
        </m:r>
        <m:r>
          <m:t>80</m:t>
        </m:r>
        <m:r>
          <m:rPr>
            <m:sty m:val="p"/>
          </m:rPr>
          <m:t>%</m:t>
        </m:r>
      </m:oMath>
      <w:r>
        <w:t xml:space="preserve">). Measurement basis: human operation and waiting time, excluding compute runtime; pilot-measured calibration planned.</w:t>
      </w:r>
    </w:p>
    <w:p>
      <w:pPr>
        <w:numPr>
          <w:ilvl w:val="0"/>
          <w:numId w:val="1006"/>
        </w:numPr>
      </w:pPr>
      <w:r>
        <w:t xml:space="preserve">Result 2 (reproducibility): handover after staff turnover moves from</w:t>
      </w:r>
      <w:r>
        <w:t xml:space="preserve"> </w:t>
      </w:r>
      <w:r>
        <w:t xml:space="preserve">“</w:t>
      </w:r>
      <w:r>
        <w:t xml:space="preserve">not reproducible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reproducible</w:t>
      </w:r>
      <w:r>
        <w:t xml:space="preserve">”</w:t>
      </w:r>
      <w:r>
        <w:t xml:space="preserve"> </w:t>
      </w:r>
      <w:r>
        <w:t xml:space="preserve">via project context documents, run-level READMEs, MD5 checklists, and versioned pipeline YAML; a successor can reproduce an analysis and locate anomalies in about 10 minutes from the evidence chain.</w:t>
      </w:r>
    </w:p>
    <w:p>
      <w:pPr>
        <w:numPr>
          <w:ilvl w:val="0"/>
          <w:numId w:val="1006"/>
        </w:numPr>
      </w:pPr>
      <w:r>
        <w:t xml:space="preserve">Result 3 (prototype in production): platform v0.1.0 serves the HZAU genomics laboratory, covering users, permissions, pipelines, tasks, files, and AI conversation (29 application services, 227 backend modules); preflight blocking prevents wasted computation; idempotent keys eliminate duplicate queueing; the Skill marketplace ships 38 executable Skills.</w:t>
      </w:r>
    </w:p>
    <w:p>
      <w:pPr>
        <w:numPr>
          <w:ilvl w:val="0"/>
          <w:numId w:val="1006"/>
        </w:numPr>
      </w:pPr>
      <w:r>
        <w:t xml:space="preserve">Result 4 (controlled execution base): DAG orchestration, plan-confirmation gate, Artifact Registry, Outbox + Redis Stream eventing, quality gates, and HITL approval are implemented; the experimental multi-role collaboration layer is disabled by default and outside the core path.</w:t>
      </w:r>
    </w:p>
    <w:bookmarkEnd w:id="27"/>
    <w:bookmarkStart w:id="28" w:name="application-value-and-future-work"/>
    <w:p>
      <w:pPr>
        <w:pStyle w:val="Heading1"/>
      </w:pPr>
      <w:r>
        <w:t xml:space="preserve">Application Value and Future Work</w:t>
      </w:r>
    </w:p>
    <w:p>
      <w:pPr>
        <w:pStyle w:val="FirstParagraph"/>
      </w:pPr>
      <w:r>
        <w:t xml:space="preserve">Primary adopters are pharma translational-medicine departments, third-party clinical-testing and research-service providers, breeding/agriculture research teams, and university core facilities; the value proposition is standardized</w:t>
      </w:r>
      <w:r>
        <w:t xml:space="preserve"> </w:t>
      </w:r>
      <w:r>
        <w:t xml:space="preserve">“</w:t>
      </w:r>
      <w:r>
        <w:t xml:space="preserve">controlled task delivery</w:t>
      </w:r>
      <w:r>
        <w:t xml:space="preserve">”</w:t>
      </w:r>
      <w:r>
        <w:t xml:space="preserve"> </w:t>
      </w:r>
      <w:r>
        <w:t xml:space="preserve">with a complete evidence chain at private-deployment price points that replace outsourced-analysis budgets. The delivery model is horizontally transferable: preflight fields, allowed pipelines, artifact types, quality rules, and delivery templates are swappable configuration assets, so the same loop extends to ATAC-seq, single-cell, multi-omics, and eventually drug-screening or clinical-report-review tasks. Limitations: not all key parameters (e.g., aligner choice) are yet form-structured; quantified gains are engineering estimates pending pilot measurement; the structured SOP/QC rule vector store and data-flywheel auto-feedback are next-step enhancements. Next steps (12–18 months): three end-to-end demonstration chains at 2–3 pilot institutions, a one-click deployment package, the open-source community edition, and 2 software-copyright registrations plus 1 patent filing.</w:t>
      </w:r>
    </w:p>
    <w:bookmarkEnd w:id="28"/>
    <w:bookmarkStart w:id="29" w:name="ethics-safety-and-data-compliance"/>
    <w:p>
      <w:pPr>
        <w:pStyle w:val="Heading1"/>
      </w:pPr>
      <w:r>
        <w:t xml:space="preserve">Ethics, Safety, and Data Compliance</w:t>
      </w:r>
    </w:p>
    <w:p>
      <w:pPr>
        <w:numPr>
          <w:ilvl w:val="0"/>
          <w:numId w:val="1007"/>
        </w:numPr>
      </w:pPr>
      <w:r>
        <w:t xml:space="preserve">Data privacy and licensing: private on-premise deployment; customer data physically never leaves the local network. Demo materials use de-identified or synthetic data only.</w:t>
      </w:r>
    </w:p>
    <w:p>
      <w:pPr>
        <w:numPr>
          <w:ilvl w:val="0"/>
          <w:numId w:val="1007"/>
        </w:numPr>
      </w:pPr>
      <w:r>
        <w:t xml:space="preserve">Human genetic resources: services involving human genomic data comply with the PRC Regulations on the Administration of Human Genetic Resources and its 2023 Implementation Details (prior reporting, information backup, security review where applicable); the no-export architecture removes cross-border information-flow risk, and full audit logs/snapshots support customers’ compliance filings.</w:t>
      </w:r>
    </w:p>
    <w:p>
      <w:pPr>
        <w:numPr>
          <w:ilvl w:val="0"/>
          <w:numId w:val="1007"/>
        </w:numPr>
      </w:pPr>
      <w:r>
        <w:t xml:space="preserve">Clinical boundaries: the platform does not issue clinical diagnostic reports; it is scoped to research/development use, with customer obligations for clinical use written into commercial terms. GxP (21 CFR Part 11) adaptation is roadmap, with gap analysis scheduled for 2027; ISO 27001 program starts 2027.</w:t>
      </w:r>
    </w:p>
    <w:p>
      <w:pPr>
        <w:numPr>
          <w:ilvl w:val="0"/>
          <w:numId w:val="1007"/>
        </w:numPr>
      </w:pPr>
      <w:r>
        <w:t xml:space="preserve">Responsible use: high-risk actions require human approval tokens scoped to one action/case/expiry; quality-rule gaps force manual review; agents cannot bypass gates or fabricate conclusions; encryption in transit and at rest.</w:t>
      </w:r>
    </w:p>
    <w:bookmarkEnd w:id="29"/>
    <w:bookmarkStart w:id="30" w:name="published-outcomes"/>
    <w:p>
      <w:pPr>
        <w:pStyle w:val="Heading1"/>
      </w:pPr>
      <w:r>
        <w:t xml:space="preserve">Published Outcomes</w:t>
      </w:r>
    </w:p>
    <w:p>
      <w:pPr>
        <w:numPr>
          <w:ilvl w:val="0"/>
          <w:numId w:val="1008"/>
        </w:numPr>
      </w:pPr>
      <w:r>
        <w:t xml:space="preserve">Software release: OmicHub BioOps platform v0.1.0 (in production use at the genomics laboratory, College of Life Science and Technology, Huazhong Agricultural University); 38 built-in executable Skills and RNA-seq/ATAC-seq standard analysis pipelines.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[Add preprints, papers, patents, awards, or media reports if any; otherwise keep only the software release line.]</w:t>
      </w:r>
    </w:p>
    <w:bookmarkEnd w:id="30"/>
    <w:bookmarkStart w:id="34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9"/>
        </w:numPr>
      </w:pPr>
      <w:r>
        <w:t xml:space="preserve">BCC Research, China genomics sequencing market data (USD 1.339B in 2020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USD 4.235B in 2026E, CAGR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21.6%), as cited in Novogene 2024 Annual Report.</w:t>
      </w:r>
    </w:p>
    <w:p>
      <w:pPr>
        <w:numPr>
          <w:ilvl w:val="0"/>
          <w:numId w:val="1009"/>
        </w:numPr>
      </w:pPr>
      <w:r>
        <w:t xml:space="preserve">Novogene Co., Ltd. 2023 interim and 2024 annual reports (customer-base anchors).</w:t>
      </w:r>
    </w:p>
    <w:p>
      <w:pPr>
        <w:numPr>
          <w:ilvl w:val="0"/>
          <w:numId w:val="1009"/>
        </w:numPr>
      </w:pPr>
      <w:r>
        <w:t xml:space="preserve">DNANexus/Seqera: Nextflow and Seqera Platform documentation.</w:t>
      </w:r>
    </w:p>
    <w:p>
      <w:pPr>
        <w:numPr>
          <w:ilvl w:val="0"/>
          <w:numId w:val="1009"/>
        </w:numPr>
      </w:pPr>
      <w:r>
        <w:t xml:space="preserve">The Galaxy Project documentation,</w:t>
      </w:r>
      <w:r>
        <w:t xml:space="preserve"> </w:t>
      </w:r>
      <w:hyperlink r:id="rId31">
        <w:r>
          <w:rPr>
            <w:rStyle w:val="Hyperlink"/>
          </w:rPr>
          <w:t xml:space="preserve">https://galaxyproject.org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DNAnexus, Seven Bridges, Terra platform documentation.</w:t>
      </w:r>
    </w:p>
    <w:p>
      <w:pPr>
        <w:numPr>
          <w:ilvl w:val="0"/>
          <w:numId w:val="1009"/>
        </w:numPr>
      </w:pPr>
      <w:r>
        <w:t xml:space="preserve">LangGraph documentation,</w:t>
      </w:r>
      <w:r>
        <w:t xml:space="preserve"> </w:t>
      </w:r>
      <w:hyperlink r:id="rId32">
        <w:r>
          <w:rPr>
            <w:rStyle w:val="Hyperlink"/>
          </w:rPr>
          <w:t xml:space="preserve">https://langchain-ai.github.io/langgraph/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E. Jones et al.,</w:t>
      </w:r>
      <w:r>
        <w:t xml:space="preserve"> </w:t>
      </w:r>
      <w:r>
        <w:t xml:space="preserve">“</w:t>
      </w:r>
      <w:r>
        <w:t xml:space="preserve">pgvector: open-source vector similarity search for PostgreSQL,</w:t>
      </w:r>
      <w:r>
        <w:t xml:space="preserve">”</w:t>
      </w:r>
      <w:r>
        <w:t xml:space="preserve"> </w:t>
      </w:r>
      <w:hyperlink r:id="rId33">
        <w:r>
          <w:rPr>
            <w:rStyle w:val="Hyperlink"/>
          </w:rPr>
          <w:t xml:space="preserve">https://github.com/pgvector/pgvector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PRC State Council, Regulations on the Administration of Human Genetic Resources; MOST Implementation Details (effective 2023-07-01).</w:t>
      </w:r>
    </w:p>
    <w:p>
      <w:pPr>
        <w:numPr>
          <w:ilvl w:val="0"/>
          <w:numId w:val="1009"/>
        </w:numPr>
      </w:pPr>
      <w:r>
        <w:t xml:space="preserve">U.S. FDA 21 CFR Part 11, Electronic Records; Electronic Signatures.</w:t>
      </w:r>
    </w:p>
    <w:p>
      <w:pPr>
        <w:numPr>
          <w:ilvl w:val="0"/>
          <w:numId w:val="1009"/>
        </w:numPr>
      </w:pPr>
      <w:r>
        <w:t xml:space="preserve">Mendell et al. (Snakemake),</w:t>
      </w:r>
      <w:r>
        <w:t xml:space="preserve"> </w:t>
      </w:r>
      <w:r>
        <w:t xml:space="preserve">“</w:t>
      </w:r>
      <w:r>
        <w:t xml:space="preserve">Ten years of Snakemake,</w:t>
      </w:r>
      <w:r>
        <w:t xml:space="preserve">”</w:t>
      </w:r>
      <w:r>
        <w:t xml:space="preserve"> </w:t>
      </w:r>
      <w:r>
        <w:t xml:space="preserve">F1000Research 2024; RNAFlow internal pipeline suite.</w:t>
      </w:r>
    </w:p>
    <w:bookmarkEnd w:id="34"/>
    <w:bookmarkStart w:id="35" w:name="submission-checklist"/>
    <w:p>
      <w:pPr>
        <w:pStyle w:val="Heading1"/>
      </w:pPr>
      <w:r>
        <w:t xml:space="preserve">Submission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report is mainly written in English.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primary; Chinese notes omitted unless needed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Team ID is included on the title page and matches the submitted file names.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[TEAM-ID]</w:t>
            </w:r>
            <w:r>
              <w:t xml:space="preserve"> </w:t>
            </w:r>
            <w:r>
              <w:t xml:space="preserve">placeholder — fill and rename files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 figures and tables are numbered and explained.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1–2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 sources, code availability, and software environment are documented.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4–5; see Supplementary Materials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Engineering workflow, testing evidence, and deployment or delivery status are described.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5–7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Published outcomes are separated from external 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10–11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⊠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Claims match the technical abstract and supplementary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in drafting; re-check after edits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▫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final submitted file is exported as PDF.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</w:t>
            </w:r>
            <w:r>
              <w:t xml:space="preserve"> </w:t>
            </w:r>
            <w:r>
              <w:rPr>
                <w:rStyle w:val="VerbatimChar"/>
              </w:rPr>
              <w:t xml:space="preserve">.tex</w:t>
            </w:r>
            <w:r>
              <w:t xml:space="preserve"> </w:t>
            </w:r>
            <w:r>
              <w:t xml:space="preserve">with XeLaTeX, or export from Word</w:t>
            </w:r>
          </w:p>
        </w:tc>
      </w:tr>
    </w:tbl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galaxyproject.org" TargetMode="External" /><Relationship Type="http://schemas.openxmlformats.org/officeDocument/2006/relationships/hyperlink" Id="rId33" Target="https://github.com/pgvector/pgvector" TargetMode="External" /><Relationship Type="http://schemas.openxmlformats.org/officeDocument/2006/relationships/hyperlink" Id="rId32" Target="https://langchain-ai.github.io/langgrap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alaxyproject.org" TargetMode="External" /><Relationship Type="http://schemas.openxmlformats.org/officeDocument/2006/relationships/hyperlink" Id="rId33" Target="https://github.com/pgvector/pgvector" TargetMode="External" /><Relationship Type="http://schemas.openxmlformats.org/officeDocument/2006/relationships/hyperlink" Id="rId32" Target="https://langchain-ai.github.io/langgrap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2026-09-18T14:14:57Z</dcterms:created>
  <dcterms:modified xsi:type="dcterms:W3CDTF">2026-09-18T14:14:57Z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