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组长B部分答辩备课</w:t>
      </w:r>
    </w:p>
    <w:p>
      <w:pPr>
        <w:keepLines/>
      </w:pPr>
      <w:r>
        <w:t>覆盖主讲第8—13页。依据本项目已核对的Anthropic AAR公开研究和当前B稿整理，供组长理解、练习与查源。以下公司实验没有由本组复现，口头回答与260秒主讲预算也未真人计时。</w:t>
      </w:r>
    </w:p>
    <w:p>
      <w:pPr>
        <w:pStyle w:val="Heading1"/>
        <w:keepLines/>
      </w:pPr>
      <w:r>
        <w:t>先掌握整段答案</w:t>
      </w:r>
    </w:p>
    <w:p>
      <w:pPr>
        <w:keepLines/>
      </w:pPr>
      <w:r>
        <w:rPr>
          <w:b/>
        </w:rPr>
        <w:t>研究Agent提出并实现训练方法，训练工具更新目标模型，独立评测器检查安全改善与能力副作用。共享记录让下一轮继续研究，但不会自动更新研究Agent参数。在谄媚案例中，一条成功路线是用激活引导构造教师，再训练学生学习教师的输出分布。四条件实验表明，这个案例里训练目标与可用机制值得重视；它没有证明所有任务都如此，也没有完成基础模型的多代递归研发。</w:t>
      </w:r>
      <w:r>
        <w:t xml:space="preserve"> [4]§2—3、App.D.4。</w:t>
      </w:r>
    </w:p>
    <w:p>
      <w:pPr>
        <w:keepLines/>
      </w:pPr>
      <w:r>
        <w:t>第8页讲一轮交付，第9页讲外部记录，第10—11页解释临时干预与参数训练，第12页定义量尺，第13页才用这把量尺读真实结果。先读第1、4、6、8、9问，再补其余问答。</w:t>
      </w:r>
    </w:p>
    <w:p>
      <w:pPr>
        <w:pStyle w:val="Heading1"/>
        <w:keepLines/>
      </w:pPr>
      <w:r>
        <w:t>讲清两个阶段</w:t>
      </w:r>
    </w:p>
    <w:p>
      <w:pPr>
        <w:keepLines/>
      </w:pPr>
      <w:r>
        <w:t>激活引导作用于模型前向计算的隐藏状态，使输出更少迎合错误观点。图中的h′＝h＋αv只是一般教学写法，不指定原研究的精确层号、方向和系数。教师来自Qwen目标模型的引导版本，不是Claude研究Agent。[4]App.D.4。</w:t>
      </w:r>
    </w:p>
    <w:p>
      <w:pPr>
        <w:keepLines/>
      </w:pPr>
      <w:r>
        <w:t>蒸馏阶段让教师和学生对同一输入产生分布，以KL相关目标约束学生，更新学生参数。训练后用不带该临时引导的正常推理评测，才能检查变化是否保留及是否有副作用。教学短片帮助解释这条链，不能据此宣称完整复现了胜出配方。</w:t>
      </w:r>
    </w:p>
    <w:p>
      <w:pPr>
        <w:pStyle w:val="Heading1"/>
        <w:keepLines/>
      </w:pPr>
      <w:r>
        <w:t>数字先看比较条件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条件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共同前150个方法处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完整运行峰值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原样公共数据SFT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6.0%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6.0%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自由构造数据SFT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2.9%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4.5%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自由数据与SFT＋KL自蒸馏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16.5%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18.7%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不受限方法搜索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26.4%</w:t>
            </w:r>
          </w:p>
        </w:tc>
      </w:tr>
    </w:tbl>
    <w:p>
      <w:pPr>
        <w:keepLines/>
      </w:pPr>
    </w:p>
    <w:p>
      <w:pPr>
        <w:keepLines/>
      </w:pPr>
      <w:r>
        <w:t>均为Qwen3.5-2B谄媚任务的几何平均改善空间，每种条件一次搜索运行。主讲采用中列，末列仅用于区分取值口径；不能混在同一横轴比较。[4]Fig.20、App.D.4。</w:t>
      </w:r>
    </w:p>
    <w:p>
      <w:pPr>
        <w:pStyle w:val="Heading1"/>
        <w:keepLines/>
      </w:pPr>
      <w:r>
        <w:t>十个可能追问</w:t>
      </w:r>
    </w:p>
    <w:p>
      <w:pPr>
        <w:pStyle w:val="Heading2"/>
        <w:keepLines/>
      </w:pPr>
      <w:r>
        <w:t>1. AAR里谁在研究 谁被训练</w:t>
      </w:r>
    </w:p>
    <w:p>
      <w:pPr>
        <w:keepNext/>
        <w:keepLines/>
      </w:pPr>
      <w:r>
        <w:rPr>
          <w:b/>
        </w:rPr>
        <w:t>短答：Claude Opus 4.8驱动研究Agent，Qwen3.5-2B是本例被训练模型，评测器检查训练产物。</w:t>
      </w:r>
    </w:p>
    <w:p>
      <w:pPr>
        <w:keepLines/>
      </w:pPr>
      <w:r>
        <w:t>追问：研究Agent提出方法和代码，不代表把它自己的回答直接蒸馏给目标模型。训练结果需要单独提交评测。[4]§2、§3、Table1。</w:t>
      </w:r>
    </w:p>
    <w:p>
      <w:pPr>
        <w:pStyle w:val="Heading2"/>
        <w:keepLines/>
      </w:pPr>
      <w:r>
        <w:t>2. 为什么先冻结mini paper</w:t>
      </w:r>
    </w:p>
    <w:p>
      <w:pPr>
        <w:keepNext/>
        <w:keepLines/>
      </w:pPr>
      <w:r>
        <w:rPr>
          <w:b/>
        </w:rPr>
        <w:t>短答：先留下不含结果的方法说明，防止看到分数后倒写原来的假设。</w:t>
      </w:r>
    </w:p>
    <w:p>
      <w:pPr>
        <w:keepLines/>
      </w:pPr>
      <w:r>
        <w:t>追问：冻结说明与审查代码是两项检查；代码不能实质偏离说明，改变代码还需要重新批准。[4]§3.2、App.B.5。</w:t>
      </w:r>
    </w:p>
    <w:p>
      <w:pPr>
        <w:pStyle w:val="Heading2"/>
        <w:keepLines/>
      </w:pPr>
      <w:r>
        <w:t>3. 外部记录算不算模型学会了</w:t>
      </w:r>
    </w:p>
    <w:p>
      <w:pPr>
        <w:keepNext/>
        <w:keepLines/>
      </w:pPr>
      <w:r>
        <w:rPr>
          <w:b/>
        </w:rPr>
        <w:t>短答：记录提供下一轮可读的经验，参数是否改变要另外检查。</w:t>
      </w:r>
    </w:p>
    <w:p>
      <w:pPr>
        <w:keepLines/>
      </w:pPr>
      <w:r>
        <w:t>追问：AAR每轮开启新会话，持续性来自记忆文件、共享论坛和排行榜。第9页没有把这种接续当成研究Agent权重更新。[4]§3、§3.1。</w:t>
      </w:r>
    </w:p>
    <w:p>
      <w:pPr>
        <w:pStyle w:val="Heading2"/>
        <w:keepLines/>
      </w:pPr>
      <w:r>
        <w:t>4. 激活引导和训练参数有什么区别</w:t>
      </w:r>
    </w:p>
    <w:p>
      <w:pPr>
        <w:keepNext/>
        <w:keepLines/>
      </w:pPr>
      <w:r>
        <w:rPr>
          <w:b/>
        </w:rPr>
        <w:t>短答：前者干预当前前向计算的中间状态，后者改变以后推理要使用的参数。</w:t>
      </w:r>
    </w:p>
    <w:p>
      <w:pPr>
        <w:keepLines/>
      </w:pPr>
      <w:r>
        <w:t>追问：第10页临时改变教师输出，第11页才训练学生。公式只解释干预位置，不是原研究的完整配方。[4]App.D.4。</w:t>
      </w:r>
    </w:p>
    <w:p>
      <w:pPr>
        <w:pStyle w:val="Heading2"/>
        <w:keepLines/>
      </w:pPr>
      <w:r>
        <w:t>5. 不能用更强教师 为什么仍会改善</w:t>
      </w:r>
    </w:p>
    <w:p>
      <w:pPr>
        <w:keepNext/>
        <w:keepLines/>
      </w:pPr>
      <w:r>
        <w:rPr>
          <w:b/>
        </w:rPr>
        <w:t>短答：这项任务可以纠正模型表达已有能力的方式，不必把全面更强模型的知识灌进去。</w:t>
      </w:r>
    </w:p>
    <w:p>
      <w:pPr>
        <w:keepLines/>
      </w:pPr>
      <w:r>
        <w:t>追问：目标模型经引导后可以更少迎合错误观点，再提供训练信号。这不能推导为小模型凭空获得任意新能力。[4]§3.2、App.D.4。</w:t>
      </w:r>
    </w:p>
    <w:p>
      <w:pPr>
        <w:pStyle w:val="Heading2"/>
        <w:keepLines/>
      </w:pPr>
      <w:r>
        <w:t>6. KL变小就能证明更安全吗</w:t>
      </w:r>
    </w:p>
    <w:p>
      <w:pPr>
        <w:keepNext/>
        <w:keepLines/>
      </w:pPr>
      <w:r>
        <w:rPr>
          <w:b/>
        </w:rPr>
        <w:t>短答：不能。分布更接近只说明训练目标取得进展，行为与能力还要独立评测。</w:t>
      </w:r>
    </w:p>
    <w:p>
      <w:pPr>
        <w:keepLines/>
      </w:pPr>
      <w:r>
        <w:t>追问：KL两个方向通常不同。当前教学图不替胜出方法补写未完整公开的损失方向、数据或系数。教师提供目标，学生接受参数更新。[4]§2.3、App.D.4。</w:t>
      </w:r>
    </w:p>
    <w:p>
      <w:pPr>
        <w:pStyle w:val="Heading2"/>
        <w:keepLines/>
      </w:pPr>
      <w:r>
        <w:t>7. 40%为什么不是正确率</w:t>
      </w:r>
    </w:p>
    <w:p>
      <w:pPr>
        <w:keepNext/>
        <w:keepLines/>
      </w:pPr>
      <w:r>
        <w:rPr>
          <w:b/>
        </w:rPr>
        <w:t>短答：分母是基线到参考最优的差距，不是测试题数。</w:t>
      </w:r>
    </w:p>
    <w:p>
      <w:pPr>
        <w:keepLines/>
      </w:pPr>
      <w:r>
        <w:t>追问：教学例子中70−50＝20，100−50＝50，所以关闭40%的差距；训练后得分仍是70。论文再对多个基准的关闭比例取几何平均，汇总值不能代替分项表现。[4]§2.2。</w:t>
      </w:r>
    </w:p>
    <w:p>
      <w:pPr>
        <w:pStyle w:val="Heading2"/>
        <w:keepLines/>
      </w:pPr>
      <w:r>
        <w:t>8. 16.5%与18.7%哪个正确</w:t>
      </w:r>
    </w:p>
    <w:p>
      <w:pPr>
        <w:keepNext/>
        <w:keepLines/>
      </w:pPr>
      <w:r>
        <w:rPr>
          <w:b/>
        </w:rPr>
        <w:t>短答：两者取自不同位置；前150个方法处是16.5%，KL条件完整运行峰值是18.7%。</w:t>
      </w:r>
    </w:p>
    <w:p>
      <w:pPr>
        <w:keepLines/>
      </w:pPr>
      <w:r>
        <w:t>追问：四条路线分别搜索，不是一个模型依次加数据、加KL、加引导。受限KL条件禁止激活引导，不受限路线才可以构造引导教师，不能把这两种条件混成同一配方。[4]Fig.20、App.D.4。</w:t>
      </w:r>
    </w:p>
    <w:p>
      <w:pPr>
        <w:pStyle w:val="Heading2"/>
        <w:keepLines/>
      </w:pPr>
      <w:r>
        <w:t>9. 四项比较能证明什么</w:t>
      </w:r>
    </w:p>
    <w:p>
      <w:pPr>
        <w:keepNext/>
        <w:keepLines/>
      </w:pPr>
      <w:r>
        <w:rPr>
          <w:b/>
        </w:rPr>
        <w:t>短答：支持在这个任务中重视训练目标与可用机制，不能直接证明普遍规律。</w:t>
      </w:r>
    </w:p>
    <w:p>
      <w:pPr>
        <w:keepLines/>
      </w:pPr>
      <w:r>
        <w:t>追问：共同150个方法使尝试次数可比，不保证推理、失败等总成本完全相同。每条件一次运行，该消融没有重跑held-out或Petri，因此不是泛化结论。主研究为Petri选方法时，held-out承担验证集角色。[4]§2.3、App.D.4。</w:t>
      </w:r>
    </w:p>
    <w:p>
      <w:pPr>
        <w:pStyle w:val="Heading2"/>
        <w:keepLines/>
      </w:pPr>
      <w:r>
        <w:t>10. 这一段怎样接全场的RSI问题</w:t>
      </w:r>
    </w:p>
    <w:p>
      <w:pPr>
        <w:keepNext/>
        <w:keepLines/>
      </w:pPr>
      <w:r>
        <w:rPr>
          <w:b/>
        </w:rPr>
        <w:t>短答：它证明Agent可以参与一次真实模型改进，但尚未证明改进后的研究者能连续研发后继模型。</w:t>
      </w:r>
    </w:p>
    <w:p>
      <w:pPr>
        <w:keepLines/>
      </w:pPr>
      <w:r>
        <w:t>追问：A先定义三个角色；B跟踪目标模型怎样变；C再看评测流程和训练程序优化。到D才分别讨论记录、Agent版本和下一轮研发。不要把这些不同对象直接合成一个已实现的无限递归系统。</w:t>
      </w:r>
    </w:p>
    <w:p>
      <w:pPr>
        <w:pStyle w:val="Heading1"/>
        <w:keepLines/>
      </w:pPr>
      <w:r>
        <w:t>一手来源和现场定位</w:t>
      </w:r>
    </w:p>
    <w:p>
      <w:pPr>
        <w:keepLines/>
      </w:pPr>
      <w:r>
        <w:t>文献[4]：</w:t>
      </w:r>
      <w:hyperlink r:id="rId10">
        <w:r>
          <w:rPr>
            <w:rFonts w:eastAsia="Microsoft YaHei"/>
          </w:rPr>
          <w:t>研究正文与附录</w:t>
        </w:r>
      </w:hyperlink>
      <w:r>
        <w:t>。§2.2查指标，§2.3查评测，§3—3.2查研究规则，App.D.4及Fig.20存档查教师、KL和四条件。现场看主讲10—13、备份28—29页；其他追问查全场来源与答辩。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lignment.anthropic.com/2026/automated-alignment-research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