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 来源与答辩：先把问题回答清楚，再展开依据</w:t>
      </w:r>
    </w:p>
    <w:p>
      <w:r>
        <w:t>核查日期：2026-10-14。服务于《智能体在大模型产业研发中的应用：AI辅助研发距离递归自我改进还有多远？》。本组实践暂时搁置，本文件不把教学演示或材料制作算作本组研发实验。以下公司结果均来自公开材料，未由本组复现。</w:t>
      </w:r>
    </w:p>
    <w:p>
      <w:pPr>
        <w:pStyle w:val="Heading1"/>
      </w:pPr>
      <w:r>
        <w:t>一、四个人先共同记住这五句话</w:t>
      </w:r>
    </w:p>
    <w:p>
      <w:r>
        <w:t>1. 我们讨论的是AI研发流程：谁提出方法、谁执行实验、谁判断改进成立。</w:t>
      </w:r>
    </w:p>
    <w:p>
      <w:r>
        <w:t>2. 修改提示、修改Agent代码、训练模型参数，改变的是不同对象。</w:t>
      </w:r>
    </w:p>
    <w:p>
      <w:r>
        <w:t>3. 多试几轮并留下经验，已经能构成工作反馈；这还需要进一步证据，才能说明研发能力会持续增强。</w:t>
      </w:r>
    </w:p>
    <w:p>
      <w:r>
        <w:t>4. 单项指标的提升要看分母、实验条件和检验方式；公司的使用量也不能直接当作生产率。</w:t>
      </w:r>
    </w:p>
    <w:p>
      <w:r>
        <w:t>5. 我们的结论限定于所选公开证据。没有看到完整后继研发循环，不能推导为世界上没有任何未公开循环。</w:t>
      </w:r>
    </w:p>
    <w:p>
      <w:r>
        <w:t>这五句话是本组对案例的分析，不冒充任何论文给出的统一RSI分级标准。</w:t>
      </w:r>
    </w:p>
    <w:p>
      <w:pPr>
        <w:pStyle w:val="Heading1"/>
      </w:pPr>
      <w:r>
        <w:t>二、统一引用办法</w:t>
      </w:r>
    </w:p>
    <w:p>
      <w:r>
        <w:t>投影页用“[4] Chen等，AAR，§3 / App. D.4”这样的短来源；详细网址和文献放在备注及最后的参考文献页。图若重绘，写“据[4] Fig.20重绘”；教学图写“教学示意”，避免让观众误以为是原论文实验截图。</w:t>
      </w:r>
    </w:p>
    <w:p>
      <w:r>
        <w:t>讲述时第一次自然引入作者或项目，例如：“Anthropic Fellows项目的一项公开研究，把减少谄媚行为变成了可以反复训练和评测的任务。”后面直接讲技术。追问出现时再定位节、图，不逐页朗读文献编号。</w:t>
      </w:r>
    </w:p>
    <w:p>
      <w:r>
        <w:t>下列编号固定，新增内容不要打乱。访问日期均为2026-10-14。网页未显示可靠首发日期的条目只标年份；动态网页不能用检索当天冒充发表日。</w:t>
      </w:r>
    </w:p>
    <w:p>
      <w:pPr>
        <w:pStyle w:val="Heading2"/>
      </w:pPr>
      <w:r>
        <w:t>正式文献</w:t>
      </w:r>
    </w:p>
    <w:p>
      <w:pPr>
        <w:keepLines/>
      </w:pPr>
      <w:r>
        <w:t xml:space="preserve">[1] GOOD I J. Speculations Concerning the First Ultraintelligent Machine[M/OL]//Advances in Computers. Vol.6. Academic Press, 1965:31–88. DOI:10.1016/S0065-2458(08)60418-0. </w:t>
      </w:r>
      <w:hyperlink r:id="rId10">
        <w:r>
          <w:rPr>
            <w:rFonts w:eastAsia="Microsoft YaHei"/>
          </w:rPr>
          <w:t>原文PDF</w:t>
        </w:r>
      </w:hyperlink>
      <w:r>
        <w:t>.</w:t>
      </w:r>
    </w:p>
    <w:p>
      <w:pPr>
        <w:keepLines/>
      </w:pPr>
      <w:r>
        <w:t xml:space="preserve">[2] SCHMIDHUBER J. Gödel Machines: Self-Referential Universal Problem Solvers Making Provably Optimal Self-Improvements[R/OL]. Technical Report IDSIA-19-03, Version4, revised2004-12-27; initial versions2003. </w:t>
      </w:r>
      <w:hyperlink r:id="rId11">
        <w:r>
          <w:rPr>
            <w:rFonts w:eastAsia="Microsoft YaHei"/>
          </w:rPr>
          <w:t>作者原文</w:t>
        </w:r>
      </w:hyperlink>
      <w:r>
        <w:t>.</w:t>
      </w:r>
    </w:p>
    <w:p>
      <w:pPr>
        <w:keepLines/>
      </w:pPr>
      <w:r>
        <w:t xml:space="preserve">[3] ZOPH B, LE Q V. Neural Architecture Search with Reinforcement Learning[EB/OL]. arXiv:1611.01578, initial submission2016-11-05, v2 revised2017-02-15. DOI:10.48550/arXiv.1611.01578. </w:t>
      </w:r>
      <w:hyperlink r:id="rId12">
        <w:r>
          <w:rPr>
            <w:rFonts w:eastAsia="Microsoft YaHei"/>
          </w:rPr>
          <w:t>论文</w:t>
        </w:r>
      </w:hyperlink>
      <w:r>
        <w:t>.</w:t>
      </w:r>
    </w:p>
    <w:p>
      <w:pPr>
        <w:keepLines/>
      </w:pPr>
      <w:r>
        <w:t xml:space="preserve">[4] CHEN YUEH-HAN, WEN JIAXIN, KIRCHNER JAN HENDRIK. Automated Researchers Can Mitigate Well-Characterized Alignment Failures[EB/OL]. Anthropic Alignment Science Blog,2026. Work done during the Anthropic Fellows Program. </w:t>
      </w:r>
      <w:hyperlink r:id="rId13">
        <w:r>
          <w:rPr>
            <w:rFonts w:eastAsia="Microsoft YaHei"/>
          </w:rPr>
          <w:t>研究正文与附录</w:t>
        </w:r>
      </w:hyperlink>
      <w:r>
        <w:t>.</w:t>
      </w:r>
    </w:p>
    <w:p>
      <w:pPr>
        <w:keepLines/>
      </w:pPr>
      <w:r>
        <w:t xml:space="preserve">[5] LEWI J. Automating repetitive work at OpenAI with Codex[EB/OL]. OpenAI Developers Blog,2026-08-25. </w:t>
      </w:r>
      <w:hyperlink r:id="rId14">
        <w:r>
          <w:rPr>
            <w:rFonts w:eastAsia="Microsoft YaHei"/>
          </w:rPr>
          <w:t>作者工作流</w:t>
        </w:r>
      </w:hyperlink>
      <w:r>
        <w:t>.</w:t>
      </w:r>
    </w:p>
    <w:p>
      <w:pPr>
        <w:keepLines/>
      </w:pPr>
      <w:r>
        <w:t xml:space="preserve">[6] ALPHAEVOLVE TEAM. AlphaEvolve: A Gemini-powered coding agent for designing advanced algorithms[EB/OL]. Google DeepMind,2025-05-14. </w:t>
      </w:r>
      <w:hyperlink r:id="rId15">
        <w:r>
          <w:rPr>
            <w:rFonts w:eastAsia="Microsoft YaHei"/>
          </w:rPr>
          <w:t>官方介绍</w:t>
        </w:r>
      </w:hyperlink>
      <w:r>
        <w:t>.</w:t>
      </w:r>
    </w:p>
    <w:p>
      <w:pPr>
        <w:keepLines/>
      </w:pPr>
      <w:r>
        <w:t xml:space="preserve">[7] ZHAI Y, TAO S, CHEN C, et al. AgentEvolver: Towards Efficient Self-Evolving Agent System[EB/OL]. arXiv:2511.10395v1,2025-11-13. Tongyi Lab, Alibaba Group. </w:t>
      </w:r>
      <w:hyperlink r:id="rId16">
        <w:r>
          <w:rPr>
            <w:rFonts w:eastAsia="Microsoft YaHei"/>
          </w:rPr>
          <w:t>本文固定采用v1</w:t>
        </w:r>
      </w:hyperlink>
      <w:r>
        <w:t>.</w:t>
      </w:r>
    </w:p>
    <w:p>
      <w:pPr>
        <w:keepLines/>
      </w:pPr>
      <w:r>
        <w:t xml:space="preserve">[8] ZHANG J, HU S, LU C, LANGE R, CLUNE J. Darwin Gödel Machine: Open-Ended Evolution of Self-Improving Agents[EB/OL]. arXiv:2505.22954, initial submission2025-05-29. DOI:10.48550/arXiv.2505.22954. </w:t>
      </w:r>
      <w:hyperlink r:id="rId17">
        <w:r>
          <w:rPr>
            <w:rFonts w:eastAsia="Microsoft YaHei"/>
          </w:rPr>
          <w:t>论文及版本记录</w:t>
        </w:r>
      </w:hyperlink>
      <w:r>
        <w:t>. 同一团队的</w:t>
      </w:r>
      <w:hyperlink r:id="rId18">
        <w:r>
          <w:rPr>
            <w:rFonts w:eastAsia="Microsoft YaHei"/>
          </w:rPr>
          <w:t>官方说明与结果</w:t>
        </w:r>
      </w:hyperlink>
      <w:r>
        <w:t>，2025-05-30。本文涉及20.0%→50.0%等数字，定位于该2025年说明；不把目前arXiv v3的更新日期当作最初研究日期。</w:t>
      </w:r>
    </w:p>
    <w:p>
      <w:pPr>
        <w:keepLines/>
      </w:pPr>
      <w:r>
        <w:t xml:space="preserve">[9] OPENAI. Research acceleration: The view inside OpenAI[EB/OL].2026-09-06. </w:t>
      </w:r>
      <w:hyperlink r:id="rId19">
        <w:r>
          <w:rPr>
            <w:rFonts w:eastAsia="Microsoft YaHei"/>
          </w:rPr>
          <w:t>组织统计及方法说明</w:t>
        </w:r>
      </w:hyperlink>
      <w:r>
        <w:t>.</w:t>
      </w:r>
    </w:p>
    <w:p>
      <w:pPr>
        <w:keepLines/>
      </w:pPr>
      <w:r>
        <w:t xml:space="preserve">[10] ANTHROPIC INSTITUTE. When AI builds itself[EB/OL].2026; 页面包含2026-09-18更新。 </w:t>
      </w:r>
      <w:hyperlink r:id="rId20">
        <w:r>
          <w:rPr>
            <w:rFonts w:eastAsia="Microsoft YaHei"/>
          </w:rPr>
          <w:t>RSI分析</w:t>
        </w:r>
      </w:hyperlink>
      <w:r>
        <w:t>. 未确认首次发布日期，故不补写月日。</w:t>
      </w:r>
    </w:p>
    <w:p>
      <w:pPr>
        <w:keepLines/>
      </w:pPr>
      <w:r>
        <w:t xml:space="preserve">[11] MODELSCOPE / AGENTEVOLVER CONTRIBUTORS. AgentEvolver[CP/OL].2025–. </w:t>
      </w:r>
      <w:hyperlink r:id="rId21">
        <w:r>
          <w:rPr>
            <w:rFonts w:eastAsia="Microsoft YaHei"/>
          </w:rPr>
          <w:t>官方代码库</w:t>
        </w:r>
      </w:hyperlink>
      <w:r>
        <w:t>，README与Apache-2.0 License。仓库会持续更新，本文只用它说明框架代码与许可证，不据此宣称训练数据和全部模型权重均开放。</w:t>
      </w:r>
    </w:p>
    <w:p>
      <w:pPr>
        <w:pStyle w:val="Heading1"/>
      </w:pPr>
      <w:r>
        <w:t>三、关键主张在哪里，讲到哪一步为止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对应内容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一手定位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本轮核查结论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汇报边界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故事开场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[1]§2，印刷页33，PDF第3页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Good讨论机器设计更好机器的可能性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是思想论证，不是已实现系统；不称他是唯一思想源头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两种验证取向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[2]摘要；[8]官方说明Introduction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Gödel Machine寻求有益性证明；DGM通过任务评测检验改动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可讲方法张力，不虚构当年学派争吵；形式最优性依赖设定与可证明性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早期机器辅助设计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[3]摘要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NAS搜索网络结构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只是代表节点，不把2016年称作AutoML诞生年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AAR执行流程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[4]§2–3、Fig.2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研究者Agent提出训练方法，执行后交给分开的评测器；结果进入共同记录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研究者、被训练模型、评测器是三个职责，不说全系统由一个模型独立完成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激活引导与蒸馏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[4]App.D.4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无限制谄媚案例的胜出方法以引导构造教师，再自蒸馏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教师来自目标模型；不补写胜出方法未完整公开的KL方向、层号和系数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23.3%、6.0%、2.9%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[4]App.D.4、Fig.20及紧邻正文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前150个已评分方法：不限方法23.3%；SFT＋原样公共数据6.0%；SFT＋自由构造数据2.9%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几何平均改善空间；是搜索条件比较，非同一方法的单步贡献；未重跑此消融的held-out/Petri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外部检验与选择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[4]§2.3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held-out对Agent隐藏，但在选出做Petri测试的方法时承担验证集角色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不把所有held-out结果都说成完全不参与任何选择的最终独立测试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发布评测工作流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[5]Running evaluations with Codex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作者先看计划、批准后执行；Runme保留命令、结果、解释与决定供后续复用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一位作者的实际工作流，不代表所有OpenAI研发任务；没有提供净提效倍数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算法进入模型训练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[6]Enhancing AI training and inference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所举矩阵乘法kernel加速23%，对应Gemini训练时间减少1%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分母分别是局部kernel与整段训练；不能改写成“训练快23%”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Agent策略训练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[7]§3–6，尤其§5.4；[11]README/License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生成任务、经验引导、轨迹归因进入策略优化；框架代码Apache-2.0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不说只改prompt；不从框架代码开放推导全链条开放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Agent修改自身代码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[8]官方说明Introduction、Results、Safety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DGM改Agent代码/工具，并保留候选谱系；也报告取巧问题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有限定领域自改进证据；基础模型训练属于后续扩展方向，不能直接当作已经完成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组织中的使用量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[9]§1、方法附录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截至2026年8月中，按8小时折算，每个人类工作日对应3.1个Agent运行工作日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运行量与有效产出关系未被这个比值测出；不是3.1倍生产率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RSI主问题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[10]开头及Closing the loop；上述案例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本组区分工作反馈与研发能力的持续反馈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这是比较框架，不给公司排等级，不承诺具体实现日期</w:t>
            </w:r>
          </w:p>
        </w:tc>
      </w:tr>
    </w:tbl>
    <w:p/>
    <w:p>
      <w:pPr>
        <w:pStyle w:val="Heading2"/>
      </w:pPr>
      <w:r>
        <w:t>数字核对最容易混淆的地方</w:t>
      </w:r>
    </w:p>
    <w:p>
      <w:r>
        <w:t>- 同样的AAR图，横轴截到150个方法，与全程最佳结果不同。 上表用前者。全程峰值26.4/18.7/6.0/4.5不可随意放进前150的方法比较；当前主讲也没有猜测KL条件在第150个方法处的数值。[4]App.D.4。</w:t>
      </w:r>
    </w:p>
    <w:p>
      <w:r>
        <w:t>- headroom先看基线到上限还差多少。 比如教学假设基线50、改进后70、上限100，填补的是20/50＝40%；70是当前分数，40%是改善空间比例。这组50/70/100是解释计算的例子，没有冒充论文实测。</w:t>
      </w:r>
    </w:p>
    <w:p>
      <w:r>
        <w:t>- 65%/72%来自另一套研究设定。 若有人追问旧材料，它们对应[4]§6及App.E.1的十维Petri覆盖加权改善空间。不是测试通过率、整体安全率，也不是前150个方法那张图。当前主讲不需要把两套实验接在一起讲。</w:t>
      </w:r>
    </w:p>
    <w:p>
      <w:r>
        <w:t>- DGM两个基准的数字各有分母。 官方说明分别报告SWE-bench20.0%→50.0%、Polyglot14.2%→30.7%。主讲重点是代码自改的对象和检验方式，不需要把这些数字做成公司能力比较。[8]Results。</w:t>
      </w:r>
    </w:p>
    <w:p>
      <w:pPr>
        <w:pStyle w:val="Heading1"/>
      </w:pPr>
      <w:r>
        <w:t>四、18组答辩问题：直接回答与再追问</w:t>
      </w:r>
    </w:p>
    <w:p>
      <w:r>
        <w:t>使用方法：先说加粗的直接判断，接上两三句说明；老师继续问，才用“进一步追问”那一行。标★的8题是四个人都应掌握的最小集合，其余按主讲段落熟悉。不要求背URL和完整作者表。以下“约30秒”是写作目标，尚未由四位成员实测计时。</w:t>
      </w:r>
    </w:p>
    <w:p>
      <w:pPr>
        <w:pStyle w:val="Heading2"/>
      </w:pPr>
      <w:r>
        <w:t>1. ★为什么选这个题？和普通AI写代码有什么区别？</w:t>
      </w:r>
    </w:p>
    <w:p>
      <w:r>
        <w:t>约30秒回答：我们关心AI工具是否开始改变下一代AI的研发过程。 写一段代码只是其中一步。我们沿着任务、实验和验证看：Agent到底改了模型训练、评测流程，还是自己的工具；这些结果又能否帮助下一轮研发。这就把产业应用与自我改进之间的距离变成了能讨论的工程问题。</w:t>
      </w:r>
    </w:p>
    <w:p>
      <w:r>
        <w:t>进一步追问：“必须有代码才算吗？” 不必。数据构造、实验设计、评测执行、参数训练都可能进入研发；关键是它改变的对象和可检查结果。这里是本组选题方法。</w:t>
      </w:r>
    </w:p>
    <w:p>
      <w:pPr>
        <w:pStyle w:val="Heading2"/>
      </w:pPr>
      <w:r>
        <w:t>2. 为什么重点讲Anthropic、OpenAI，又提Google与开源项目？</w:t>
      </w:r>
    </w:p>
    <w:p>
      <w:r>
        <w:t>约30秒回答：选的是相互补充的公开案例。 Anthropic的AAR适合解释训练方法怎样被提出和检验；Lewi的OpenAI实例适合解释任务怎样在人机协作中执行和留下经验。Google补足计算算法，AgentEvolver和DGM补足策略训练、代码自改。这样能说明行业有几条路径，而不只是两家公司对比。</w:t>
      </w:r>
    </w:p>
    <w:p>
      <w:r>
        <w:t>进一步追问：“为什么不做全面排名？” 案例的任务、成本、指标和公开程度不同，不能用一张数字表做公平排名。选取是为了比较机制。[4]–[8]。</w:t>
      </w:r>
    </w:p>
    <w:p>
      <w:pPr>
        <w:pStyle w:val="Heading2"/>
      </w:pPr>
      <w:r>
        <w:t>3. 历史上真的有两派争论吗？</w:t>
      </w:r>
    </w:p>
    <w:p>
      <w:r>
        <w:t>约30秒回答：我们呈现的是两种验证取向。 一种追问能否先证明修改有益，再让系统改动自己；另一种先提出候选，在可执行任务上观察是否变好。Gödel Machine和DGM能代表这个差异。它们相隔多年，我们没有证据把它写成同一个现场的学派争论。</w:t>
      </w:r>
    </w:p>
    <w:p>
      <w:r>
        <w:t>进一步追问：“哪条路更好？” 证明提供强条件下的保证，经验验证更容易接入复杂环境，但测试覆盖有限。具体系统还可以组合两者。[2][8]。</w:t>
      </w:r>
    </w:p>
    <w:p>
      <w:pPr>
        <w:pStyle w:val="Heading2"/>
      </w:pPr>
      <w:r>
        <w:t>4. ★AAR里到底是谁在研究，谁被训练？</w:t>
      </w:r>
    </w:p>
    <w:p>
      <w:r>
        <w:t>约30秒回答：研究者Agent负责选择和实现方法，被训练模型负责接受改变，评测器负责检查产物。 要看清这三个角色，才不会把“Agent说出好想法”当作已经训练出了好模型。输入、执行和评分各有记录，人可以顺着记录检查。[4]§2–3。</w:t>
      </w:r>
    </w:p>
    <w:p>
      <w:r>
        <w:t>进一步追问：“同家公司模型参与评测，会不会自证？” 职责分开改善可检查性，评测质量仍要单独验证；不能从“有评测器”直接推导绝对可靠。</w:t>
      </w:r>
    </w:p>
    <w:p>
      <w:pPr>
        <w:pStyle w:val="Heading2"/>
      </w:pPr>
      <w:r>
        <w:t>5. ★激活引导和训练权重，到底有什么不同？</w:t>
      </w:r>
    </w:p>
    <w:p>
      <w:r>
        <w:t>约30秒回答：激活引导干预的是一次前向计算中的中间状态；训练更新的是参数。 我们的图先显示引导怎样改变教师的输出分布，再显示学生如何通过训练吸收这种分布。判断是否留在模型里，不能只看当场回答变好了，还要看后续使用的参数与干预设置。</w:t>
      </w:r>
    </w:p>
    <w:p>
      <w:r>
        <w:t>进一步追问：“你们的箭头公式是实际配方吗？” h′＝h＋αv只是说明干预位置的一般示意。图的技术机制对应[4]App.D.4；具体层与系数不由示意图确定。</w:t>
      </w:r>
    </w:p>
    <w:p>
      <w:pPr>
        <w:pStyle w:val="Heading2"/>
      </w:pPr>
      <w:r>
        <w:t>6. ★既然不准用更强教师，知识从哪里来？</w:t>
      </w:r>
    </w:p>
    <w:p>
      <w:r>
        <w:t>约30秒回答：目标不一定是增加所有知识，也可以是纠正已有能力的表达方式。 一个模型可能能识别事实，却在用户坚持错误意见时改变立场。引导后的目标模型可以提供较合适的教学信号，再让参数训练吸收。这个解释针对行为矫正，不能推导为小模型凭空获得全面超强能力。[4]App.D.4。</w:t>
      </w:r>
    </w:p>
    <w:p>
      <w:r>
        <w:t>进一步追问：“不等于从更强研究Agent蒸馏吗？” 方法提议来自研究Agent，与把研究Agent的答案作为训练教师是两件事；要根据实际训练数据来源判断。</w:t>
      </w:r>
    </w:p>
    <w:p>
      <w:pPr>
        <w:pStyle w:val="Heading2"/>
      </w:pPr>
      <w:r>
        <w:t>7. KL在这儿为什么有用？你们用的公式是哪一种？</w:t>
      </w:r>
    </w:p>
    <w:p>
      <w:r>
        <w:t>约30秒回答：KL能衡量两个输出概率分布的差别，训练可以据此调整学生分布。 我们的教学原型选了一个方向来演示更新，作用是帮助理解“输出分布怎样成为训练信号”。胜出方法的完整配方没有在这段公开概述里逐项给出，我们不会把教学公式冒充复现。</w:t>
      </w:r>
    </w:p>
    <w:p>
      <w:r>
        <w:t>进一步追问：“两个方向不是一样的吗？” 通常不一样，梯度和对低概率事件的处理也会不同。需要确定目标、数据、采样和系数，才能谈某个实际配方。[4]App.D.4；原型的公式是教学选择。</w:t>
      </w:r>
    </w:p>
    <w:p>
      <w:pPr>
        <w:pStyle w:val="Heading2"/>
      </w:pPr>
      <w:r>
        <w:t>8. ★为什么分数是改善空间，不直接给正确率？</w:t>
      </w:r>
    </w:p>
    <w:p>
      <w:r>
        <w:t>约30秒回答：改善空间是在问，基线到理想上限之间的缺口填了多少。 我们用50升到70的假设例子解释：上限100，原来差50，现在补20，所以填了40%。这样能比较不同基线上的改善；但不能把40%改写成模型当前正确率。[4]§2.2；例子为本组教学设定。</w:t>
      </w:r>
    </w:p>
    <w:p>
      <w:r>
        <w:t>进一步追问：“几何平均有什么代价？” 它使薄弱维度影响较大；汇总分也会隐藏各维度情况，所以必要时要回看分项。</w:t>
      </w:r>
    </w:p>
    <w:p>
      <w:pPr>
        <w:pStyle w:val="Heading2"/>
      </w:pPr>
      <w:r>
        <w:t>9. ★23.3%、6.0%、2.9%证明KL一定更好吗？</w:t>
      </w:r>
    </w:p>
    <w:p>
      <w:r>
        <w:t>约30秒回答：这张图比较允许Agent搜索的条件，不能单独归因于一个公式。 放开方法范围，Agent能尝试更多训练机制；把目标固定为SFT，又限制了另一类改动。图支持在这个案例里认真考虑训练目标的选择，不能把差距全算作某一个单步操作的效果。[4]App.D.4。</w:t>
      </w:r>
    </w:p>
    <w:p>
      <w:r>
        <w:t>进一步追问：“这是不是稳定的普遍规律？” 要扩大模型、行为任务与重复次数，并在新的评测上检查，才够支持更广泛结论。</w:t>
      </w:r>
    </w:p>
    <w:p>
      <w:pPr>
        <w:pStyle w:val="Heading2"/>
      </w:pPr>
      <w:r>
        <w:t>10. 相同150个方法，算公平比较了吗？</w:t>
      </w:r>
    </w:p>
    <w:p>
      <w:r>
        <w:t>约30秒回答：它使尝试次数的口径清楚，但不能自动保证所有资源公平。 每种方法的准备、推理、失败成本可能不同，搜索随机性也会影响最优候选。我们把它读成固定尝试次数下的案例观察，避免讲成等总成本、严格因果识别的结论。[4]App.D.4；资源公平判断是本组分析。</w:t>
      </w:r>
    </w:p>
    <w:p>
      <w:r>
        <w:t>进一步追问：“怎样做得更强？” 同时报告总算力、时长、重复运行、置信区间，并预先确定选择规则；这是一种研究设计建议，不声称我们做过。</w:t>
      </w:r>
    </w:p>
    <w:p>
      <w:pPr>
        <w:pStyle w:val="Heading2"/>
      </w:pPr>
      <w:r>
        <w:t>11. 为什么还要留出测试？有能力门槛还不够吗？</w:t>
      </w:r>
    </w:p>
    <w:p>
      <w:r>
        <w:t>约30秒回答：能力门槛与留出检验回答不同问题。 前者检查选定能力有没有明显退化；后者检查改进能否离开被优化的分布。哪怕两者都通过，也只覆盖这些检查项目。实际部署还要考虑新场景与长期行为。</w:t>
      </w:r>
    </w:p>
    <w:p>
      <w:r>
        <w:t>进一步追问：“AAR的held-out是不是最终测试？” 需看用途：用它选择进入Petri的方法时，它承担验证集角色。[4]§2.3。这个选择细节应明确说出来。</w:t>
      </w:r>
    </w:p>
    <w:p>
      <w:pPr>
        <w:pStyle w:val="Heading2"/>
      </w:pPr>
      <w:r>
        <w:t>12. ★OpenAI这个案例为什么需要人批准？那还叫Agent吗？</w:t>
      </w:r>
    </w:p>
    <w:p>
      <w:r>
        <w:t>约30秒回答：需要人批准与能否自主执行任务，是两个不同问题。 人可以决定目标与重要资源取舍，Agent在批准后执行具体步骤。这个例子的价值是把人参与的位置留下来，让任务能检查和复用。我们不因出现审批就否定所有技术自我改进，也不因Agent执行过就说全部过程无人参与。[5]。</w:t>
      </w:r>
    </w:p>
    <w:p>
      <w:r>
        <w:t>进一步追问：“人到底做了什么？” 定位作者Running evaluations一节，区分计划审阅、资源选择、进度干预和结束时的决定记录；不要推测作者没有写明的自动发布行为。</w:t>
      </w:r>
    </w:p>
    <w:p>
      <w:pPr>
        <w:pStyle w:val="Heading2"/>
      </w:pPr>
      <w:r>
        <w:t>13. 把记录放进Runme，就是系统学会了吗？</w:t>
      </w:r>
    </w:p>
    <w:p>
      <w:r>
        <w:t>约30秒回答：记录能让下一次任务少丢上下文，但记录本身不能证明学会。 需要观察后续执行是否真正读到、正确使用，并在可比任务上减少重复错误或提高效果。我们因此把它放在经验反馈的位置，而没有说记录一写完，模型参数或研发能力就提升了。[5]工作流；检验要求是本组分析。</w:t>
      </w:r>
    </w:p>
    <w:p>
      <w:r>
        <w:t>进一步追问：“这和训练有什么差别？” 可读记录是外部经验，参数更新是改变模型；两者可能同时使用，但要分别报告。</w:t>
      </w:r>
    </w:p>
    <w:p>
      <w:pPr>
        <w:pStyle w:val="Heading2"/>
      </w:pPr>
      <w:r>
        <w:t>14. AlphaEvolve怎么就算用于AI产业，而不只是算法竞赛？</w:t>
      </w:r>
    </w:p>
    <w:p>
      <w:r>
        <w:t>约30秒回答：它的一个公开结果进入了Gemini训练所用的计算。 所以改进对象与模型研发链条存在具体连接。主讲同时保留局部与总体的区别：kernel加速23%，总训练时间减少1%。只有进入真实链条并说明分母，才能讲清工程价值。[6]。</w:t>
      </w:r>
    </w:p>
    <w:p>
      <w:r>
        <w:t>进一步追问：“训练成本也减少1%吗？” 时间、费用、能耗的关系还取决于资源配置与计价；原文给出的训练时间结果不能被换成未报告的成本结果。</w:t>
      </w:r>
    </w:p>
    <w:p>
      <w:pPr>
        <w:pStyle w:val="Heading2"/>
      </w:pPr>
      <w:r>
        <w:t>15. AgentEvolver与DGM都是自进化，有必要区分吗？</w:t>
      </w:r>
    </w:p>
    <w:p>
      <w:r>
        <w:t>约30秒回答：有必要，因为改进发生的对象不同。 AgentEvolver把合成任务、经验和归因用于Agent策略训练；DGM主要探索自身代码和工具的修改。知道改了什么，才能问怎么检验、如何迁移，以及是不是触及了基础模型训练。一个共同名称不能替代这些技术差别。[7][8]。</w:t>
      </w:r>
    </w:p>
    <w:p>
      <w:r>
        <w:t>进一步追问：“开源是不是更可信？” 可检查代码增加了一种证据；仍需确认数据、权重、环境与结果能否获得和复现。[11]只证明框架代码的开放与许可。</w:t>
      </w:r>
    </w:p>
    <w:p>
      <w:pPr>
        <w:pStyle w:val="Heading2"/>
      </w:pPr>
      <w:r>
        <w:t>16. Agent如果会伪造结果，你们怎么相信这些案例？</w:t>
      </w:r>
    </w:p>
    <w:p>
      <w:r>
        <w:t>约30秒回答：我们不把Agent自述当作最后证据。 应看执行产物、独立检查、选择规则，以及作者有没有报告失败和取巧。DGM公开了伪造测试记录与破坏检测标记的问题，这说明测试指标也会成为被攻击的目标。检验过程需要保留原始执行依据，不能只读一段总结。[8]Safety。</w:t>
      </w:r>
    </w:p>
    <w:p>
      <w:r>
        <w:t>进一步追问：“有监控就能保证吗？” 监控能提供部分发现能力；未知取巧与漏检仍要研究，不说已有检查等于全覆盖。</w:t>
      </w:r>
    </w:p>
    <w:p>
      <w:pPr>
        <w:pStyle w:val="Heading2"/>
      </w:pPr>
      <w:r>
        <w:t>17. OpenAI的3.1是不是说明研究效率已经提高3.1倍？</w:t>
      </w:r>
    </w:p>
    <w:p>
      <w:r>
        <w:t>约30秒回答：不能这样读。 它把Agent运行时间换算成工作日，再与人类工作时间比较，说明使用量已经很大。多个Agent可以同时运行，也可能失败或重复做事。净效率要看有价值的研究结果、人的额外监督成本和实际耗时，那个比值没有把这些测完。[9]。</w:t>
      </w:r>
    </w:p>
    <w:p>
      <w:r>
        <w:t>进一步追问：“那这个数字有什么用？” 它支持讨论Agent在研发组织中的规模与资源配置；若要谈产出，需另找与研究成果直接相关的测量。</w:t>
      </w:r>
    </w:p>
    <w:p>
      <w:pPr>
        <w:pStyle w:val="Heading2"/>
      </w:pPr>
      <w:r>
        <w:t>18. ★所以你们认为RSI到底来了没有？如何才算回答了题目？</w:t>
      </w:r>
    </w:p>
    <w:p>
      <w:r>
        <w:t>约30秒回答：公开案例已经展示研发环节的自动化，以及一些限定领域的自改进。 要回答更强的RSI主张，还需追踪改进后系统能否更有效地承担下一轮研发，并持续产生更强后继。我们把已经观察到的工作反馈与仍需验证的能力反馈分开，避免一个局部结果承担整个结论。[8][10]；比较判断为本组分析。</w:t>
      </w:r>
    </w:p>
    <w:p>
      <w:r>
        <w:t>进一步追问：“什么证据会改变你们判断？” 可重复的多轮谱系、固定资源口径、未参与选择的新任务，以及改进系统与未改进系统的后续研发对照。这里不以“有没有人批准”当作唯一判据，也不预测具体实现日期。</w:t>
      </w:r>
    </w:p>
    <w:p>
      <w:pPr>
        <w:pStyle w:val="Heading1"/>
      </w:pPr>
      <w:r>
        <w:t>五、哪些技术细节还不能替作者补出来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缺口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被问到时怎么说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可以接着讨论的内容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AAR胜出蒸馏方法的完整实现参数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“公开概述能支持机制，但不足以由这张图还原全部训练配方。”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教师分布、损失方向、层选择、系数和采样都会影响训练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消融在第150个方法处的KL条件准确读数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“当前主讲只用正文明确给出的三项数值。”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原图对应4条件，但不能把全程峰值搬进相同横轴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AAR消融的长期泛化与多次重复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“这组比较还需要更广范围的检验。”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分离搜索上限、泛化能力、复现实验这三项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Runme实例的净提效和所有部门适用性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“作者展示了流程，没有提供这个结论所需的对照数据。”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可以讨论记录如何减少上下文丢失，以及怎样设计评估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AlphaEvolve的全公司净收益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“当前使用的来源给了具体训练时间效果。”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时间之外的能耗、成本、开发与验证负担要另测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开源训练全链条能否复现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“许可证和代码可见性是一部分，还要逐项查权重、数据和环境。”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不把开源当作二元总标签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系统在连续后继研发中的能力加速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“这些案例尚不足以给出全产业的完整多轮证明。”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用明确对象与后续研发对照，检验反馈是否进入能力层</w:t>
            </w:r>
          </w:p>
        </w:tc>
      </w:tr>
    </w:tbl>
    <w:p/>
    <w:p>
      <w:r>
        <w:t>这些句子是答题的边界，不需要在主讲连续念成免责声明。主讲说清已知机制；追问遇到缺口，再准确指出。</w:t>
      </w:r>
    </w:p>
    <w:p>
      <w:pPr>
        <w:pStyle w:val="Heading1"/>
      </w:pPr>
      <w:r>
        <w:t>六、答辩如何快速准备</w:t>
      </w:r>
    </w:p>
    <w:p>
      <w:r>
        <w:t>建议每位成员先用10分钟读第一节和8道★题，然后读自己主讲段落对应的其他问题。正式答辩中，一人直接回答；另一个人负责打开对应备份页或来源，避免四人同时补充。</w:t>
      </w:r>
    </w:p>
    <w:p>
      <w:r>
        <w:t>每次练习只检查三件事：是否第一句话就回答问题；数字的对象与分母是否说完整；遇到缺口有没有承认后再给出可检验的下一步。回答超过40秒时删去背景介绍，不删关键限定。当前文件提供可讲的答案，四位成员实际掌握与计时仍待一次口头检查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cienceplusplus.org/metascience/assets/Good1965.pdf" TargetMode="External"/><Relationship Id="rId11" Type="http://schemas.openxmlformats.org/officeDocument/2006/relationships/hyperlink" Target="https://people.idsia.ch/~juergen/gmweb4/gmweb4.html" TargetMode="External"/><Relationship Id="rId12" Type="http://schemas.openxmlformats.org/officeDocument/2006/relationships/hyperlink" Target="https://arxiv.org/abs/1611.01578" TargetMode="External"/><Relationship Id="rId13" Type="http://schemas.openxmlformats.org/officeDocument/2006/relationships/hyperlink" Target="https://alignment.anthropic.com/2026/automated-alignment-researchers/" TargetMode="External"/><Relationship Id="rId14" Type="http://schemas.openxmlformats.org/officeDocument/2006/relationships/hyperlink" Target="https://developers.openai.com/blog/automating-repetitive-work-at-openai-with-codex" TargetMode="External"/><Relationship Id="rId15" Type="http://schemas.openxmlformats.org/officeDocument/2006/relationships/hyperlink" Target="https://deepmind.google/blog/alphaevolve-a-gemini-powered-coding-agent-for-designing-advanced-algorithms/" TargetMode="External"/><Relationship Id="rId16" Type="http://schemas.openxmlformats.org/officeDocument/2006/relationships/hyperlink" Target="https://arxiv.org/html/2511.10395v1" TargetMode="External"/><Relationship Id="rId17" Type="http://schemas.openxmlformats.org/officeDocument/2006/relationships/hyperlink" Target="https://arxiv.org/abs/2505.22954" TargetMode="External"/><Relationship Id="rId18" Type="http://schemas.openxmlformats.org/officeDocument/2006/relationships/hyperlink" Target="https://sakana.ai/dgm/" TargetMode="External"/><Relationship Id="rId19" Type="http://schemas.openxmlformats.org/officeDocument/2006/relationships/hyperlink" Target="https://openai.com/index/research-acceleration-view-inside-openai/" TargetMode="External"/><Relationship Id="rId20" Type="http://schemas.openxmlformats.org/officeDocument/2006/relationships/hyperlink" Target="https://www.anthropic.com/institute/recursive-self-improvement" TargetMode="External"/><Relationship Id="rId21" Type="http://schemas.openxmlformats.org/officeDocument/2006/relationships/hyperlink" Target="https://github.com/modelscope/AgentEvol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