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Proposal: Buckling Analysis of Cylindrical Shells Using Bogner-Fox-Schmit (BFS) Elements</w:t>
      </w:r>
    </w:p>
    <w:p>
      <w:pPr/>
      <w:r>
        <w:t xml:space="preserve">Sep 20, 2026</w:t>
      </w:r>
      <w:r>
        <w:t xml:space="preserve"> · </w:t>
      </w:r>
      <w:r>
        <w:t xml:space="preserve">@Someone</w:t>
      </w:r>
    </w:p>
    <w:p>
      <w:pPr>
        <w:pStyle w:val="Heading2"/>
      </w:pPr>
      <w:r>
        <w:t xml:space="preserve">1. Introductory Paragraph</w:t>
      </w:r>
    </w:p>
    <w:p>
      <w:pPr/>
      <w:r>
        <w:t xml:space="preserve">Thin-walled cylindrical shells are core load-bearing components in aerospace structures — fuselage barrels, engine casings, launch-vehicle skins — precisely because their high stiffness-to-weight ratio makes buckling, rather than material strength, the governing failure mode. Predicting the critical buckling load accurately and efficiently is therefore central to lightweight structural design. Conventional shell finite elements achieve the required C1 continuity (matching displacement slopes across element edges) only through comparatively complex formulations, such as triangular macro-elements or isogeometric NURBS discretizations [Kiendl et al. 2009, cited in Eisenträger et al. 2022]. The Bogner-Fox-Schmit (BFS) element offers a simpler alternative: by taking tensor products of one-dimensional cubic Hermite interpolation polynomials, it achieves exact C1 continuity with a comparatively small number of degrees of freedom, and is recognized as one of the most accurate and efficient rectangular elements for thin-plate and thin-shell analysis [Bogner, Fox &amp; Schmit 1965; Zienkiewicz &amp; Taylor, cited in Eisenträger et al. 2022].</w:t>
      </w:r>
    </w:p>
    <w:p>
      <w:pPr/>
      <w:r>
        <w:t xml:space="preserve">This project develops and validates a BFS-element-based buckling analysis of </w:t>
      </w:r>
      <w:r>
        <w:rPr>
          <w:b/>
        </w:rPr>
        <w:t xml:space="preserve">cylindrical shells without cutouts</w:t>
      </w:r>
      <w:r>
        <w:t xml:space="preserve">. The scope is deliberately narrow: (i) formulate the BFS shell element for cylindrical geometry, (ii) assemble the elastic and geometric stiffness matrices needed for a linear eigenvalue buckling analysis, (iii) implement this in MATLAB, and (iv) validate the critical buckling loads against both classical analytical solutions and a commercial finite element model built in ANSYS. Cutouts, the finite cell method, and isogeometric benchmarking are explicitly out of scope for this project. The BFS shell element formulated and validated here is intended to serve as the basis for future work extending it to shells with multiple cutouts using cut BFS (CutBFS) elements and the finite cell method.</w:t>
      </w:r>
    </w:p>
    <w:p>
      <w:pPr/>
      <w:r>
        <w:t xml:space="preserve">[image: Journal-style schematic of an isotropic cylindrical shell under uniform axial compression, showing the loaded edge at the top (axial displacement free, radial/circumferential restrained), the fixed base at the bottom (radial, circumferential, and axial displacement restrained), the axial load N, the geometric dimensions L and R, and a local (x, theta) coordinate system]</w:t>
      </w:r>
    </w:p>
    <w:p>
      <w:pPr/>
      <w:r>
        <w:rPr>
          <w:i/>
        </w:rPr>
        <w:t xml:space="preserve">Figure 1: Isotropic cylindrical shell under uniform axial compression. The load N is a uniformly distributed axial edge load applied at the top edge, which is free to displace axially but restrained radially and circumferentially. The bottom edge is a fixed base: radial, circumferential, and axial displacement are all restrained there, so it reacts the applied load. L denotes the shell length and R the shell radius.</w:t>
      </w:r>
    </w:p>
    <w:p>
      <w:pPr/>
      <w:r>
        <w:t xml:space="preserve">This single-edge-loaded, fixed-base arrangement follows the convention used for the classical analytical cylinder benchmark [Timoshenko &amp; Gere 1961; Brush &amp; Almroth 1975] and for the stochastic-imperfection shell study of Li, Pasternak &amp; Geißler (2022), and it differs deliberately from the loading convention used for the flat-plate benchmark in the main precedent paper. There, Eisenträger et al. (2022) apply a self-equilibrated pair of compressive edge tractions on two opposite straight edges of the plate, with only enough kinematic restraint (three degrees of freedom) to remove rigid-body motion — a convention well suited to a flat, rectangular domain. For a prismatic shell under pure axial compression, the two conventions are statically equivalent: whether the compressive stress resultant is imposed by loading both edges symmetrically or by loading one edge against a fixed reaction at the other, the resulting internal axial membrane stress — and hence the critical buckling load — is the same. The single-edge/fixed-base form is adopted here because it is the form used throughout the classical shell-buckling literature and is the natural way to define axial edge loading on a curved (circular) edge in ANSYS.</w:t>
      </w:r>
    </w:p>
    <w:p>
      <w:pPr>
        <w:pStyle w:val="Heading2"/>
      </w:pPr>
      <w:r>
        <w:t xml:space="preserve">2. Brief State of the Art (Literature Review)</w:t>
      </w:r>
    </w:p>
    <w:p>
      <w:pPr/>
      <w:r>
        <w:t xml:space="preserve">The BFS element originates with Bogner, Fox and Schmit's 1965 conference paper, which introduced interelement-compatible stiffness and mass matrices built from products of one-dimensional Hermite interpolation polynomials [Bogner, Fox &amp; Schmit 1965]. The same authors extended the concept directly to curved geometry in "A Cylindrical Shell Discrete Element" (AIAA Journal, 1967), and then to geometrically nonlinear analysis — including elastic postbuckling — of both flat-plate and cylindrical-shell panels in Schmit, Bogner &amp; Fox (1968). That 1968 study, which reports a postbuckling load-vs-end-shortening analysis for a 48-degree-of-freedom cylindrical shell discrete element under axial compression, is the closest prior work to this project's topic. The only other application of the cylindrical BFS element found in the literature is a short technical note by Ashwell and Sabir (1973), which corrects an earlier assessment of the element when applied to arches [Ashwell &amp; Sabir 1973] — after which the element appears not to have been revisited again until the present project.</w:t>
      </w:r>
    </w:p>
    <w:p>
      <w:pPr/>
      <w:r>
        <w:t xml:space="preserve">A long-standing limitation of the BFS element is that C1 continuity is only guaranteed on regular, tensor-product (rectangular) meshes, which restricts its practical use for complex geometries [Burman, Hansbo &amp; Larson 2020]. Two independent lines of work have addressed this: Burman, Hansbo and Larson (2020) developed a cut finite element formulation ("cut BFS") using Nitsche's method for weak boundary enforcement, allowing the element to handle curved boundaries cut arbitrarily through a Cartesian mesh, and proved optimal-order convergence for the static plate bending problem. Building on this and on a preceding master's thesis at TU Wien [Duy 2021], Eisenträger et al. (2022) combined cut BFS elements with the finite cell method (FCM) to perform buckling analysis of rectangular plates with one or more circular cutouts, validating results against Abaqus and an in-house isogeometric analysis (IGA) model, and additionally showing that cutout position can be optimized to increase the critical buckling load [Eisenträger et al. 2022]. This work is the direct methodological precedent for the present project. Its cut-element approach also provides a natural template for future work extending the cylindrical BFS element to shells with cutouts.</w:t>
      </w:r>
    </w:p>
    <w:p>
      <w:pPr/>
      <w:r>
        <w:t xml:space="preserve">On the implementation side, Valdman (2020) provides a vectorized MATLAB construction of BFS basis functions and their derivatives, together with numerical integration routines for energy-type functionals — a practical reference for the shape-function and quadrature layer of the present MATLAB code [Valdman 2020]. For validation, isogeometric approaches offer an alternative high-fidelity benchmark: Qiu et al. (2024) study dynamic buckling of composite cylindrical shells with cutouts using isogeometric Kirchhoff-Love shell elements, validating against ABAQUS S4R shell models — illustrating the kind of numerical-vs-commercial-FE comparison this project will also perform, albeit for the static linear buckling case [Qiu et al. 2024].</w:t>
      </w:r>
    </w:p>
    <w:p>
      <w:pPr/>
      <w:r>
        <w:t xml:space="preserve">A separate line of work addresses the same rectangular-mesh limitation of the BFS element without cutting or the finite cell method: Dobronets and Shaydurov (2016) pair standard BFS rectangles with specially constructed trapezoidal Hermitian elements along curvilinear boundaries, preserving C1 continuity without cut elements [Dobronets &amp; Shaydurov 2016]. This is a useful point of comparison for the cut-element approach adopted in this project.</w:t>
      </w:r>
    </w:p>
    <w:p>
      <w:pPr/>
      <w:r>
        <w:t xml:space="preserve">Separately, the buckling literature on cylindrical shells under axial compression has long grappled with a persistent gap between theoretical and experimental critical loads, attributed to imperfection sensitivity [Li, Pasternak &amp; Geißler 2022]. That paper's own review traces the field back to Donnell's nonlinear shell theory (1934) and situates Brush and Almroth's </w:t>
      </w:r>
      <w:r>
        <w:rPr>
          <w:i/>
        </w:rPr>
        <w:t xml:space="preserve">Buckling of Bars, Plates, and Shells</w:t>
      </w:r>
      <w:r>
        <w:t xml:space="preserve"> (1975) as the standard reference for closed-form buckling formulas — both of which supply the classical benchmark this project needs for validating the BFS-MATLAB critical load.</w:t>
      </w:r>
    </w:p>
    <w:p>
      <w:pPr/>
      <w:r>
        <w:t xml:space="preserve">Three families of method recur in this literature: (i) classical C1 rectangular elements (BFS and its cut/spectral variants), prized for simplicity and excellent convergence but limited to structured meshes; (ii) isogeometric analysis (IGA) using NURBS, which achieves higher-order continuity and exact geometry representation at the cost of more involved implementation, especially for trimmed/cutout geometries; and (iii) conventional low-order commercial shell elements (e.g., ANSYS/Abaqus shell elements), which handle arbitrary geometry robustly but converge more slowly and are not C1-continuous across element edges. BFS-based approaches trade geometric flexibility for simplicity and accuracy on regular domains; the FCM/CutFEM extensions exist precisely to recover flexibility without abandoning that accuracy.</w:t>
      </w:r>
    </w:p>
    <w:p>
      <w:pPr/>
      <w:r>
        <w:t xml:space="preserve">The literature on cut/enhanced BFS elements to date has concentrated on </w:t>
      </w:r>
      <w:r>
        <w:rPr>
          <w:b/>
        </w:rPr>
        <w:t xml:space="preserve">flat plates</w:t>
      </w:r>
      <w:r>
        <w:t xml:space="preserve"> [Burman, Hansbo &amp; Larson 2020; Eisenträger et al. 2022]. The original cylindrical-shell BFS formulation and its buckling application [Schmit, Bogner &amp; Fox 1968] predate these cut-element and eigenvalue-buckling techniques by over five decades and, to my knowledge, have not been revisited with modern implementation practices or systematically validated against a current commercial FE code. There is consequently no readily available, verified BFS-based MATLAB implementation for cylindrical shell buckling to build on when extending cut BFS elements from plates (Eisenträger et al. 2022) to shells. Closing this gap is the specific aim of the present project.</w:t>
      </w:r>
    </w:p>
    <w:p>
      <w:pPr>
        <w:pStyle w:val="Heading2"/>
      </w:pPr>
      <w:r>
        <w:t xml:space="preserve">3. Open Research Question</w:t>
      </w:r>
    </w:p>
    <w:p>
      <w:pPr/>
      <w:r>
        <w:t xml:space="preserve">Can a modern, verifiable implementation of the Bogner-Fox-Schmit cylindrical shell element reproduce classical and commercial-FE buckling predictions for axially loaded cylindrical shells with an accuracy and convergence rate competitive with standard low-order shell elements, using substantially fewer degrees of freedom? This question has not been re-examined since Schmit, Bogner &amp; Fox (1968), and no BFS-based cylindrical shell buckling code has been benchmarked against a current commercial solver such as ANSYS.</w:t>
      </w:r>
    </w:p>
    <w:p>
      <w:pPr/>
      <w:r>
        <w:t xml:space="preserve">Several aspects of the original formulation remain to be re-established under current numerical practice. First, formulating the geometric (initial-stress) stiffness matrix for the curved BFS shell element and assembling it consistently with the elastic stiffness matrix for a generalized eigenvalue buckling problem requires care, since the 1968 formulation was derived for a nonlinear energy-minimization postbuckling scheme rather than a linear eigenvalue buckling analysis. Second, boundary condition enforcement (simply supported vs. clamped edges) must be mapped correctly onto the BFS element's nodal degrees of freedom (displacement, two slopes, and the mixed second derivative), mirroring the treatment given for plates in Eisenträger et al. (2022). Third, meaningful comparison against ANSYS requires matching element density, aspect ratio, and boundary conditions closely enough that any discrepancy can be attributed to the element formulation rather than to modeling differences.</w:t>
      </w:r>
    </w:p>
    <w:p>
      <w:pPr>
        <w:pStyle w:val="Heading2"/>
      </w:pPr>
      <w:r>
        <w:t xml:space="preserve">4. Methodology</w:t>
      </w:r>
    </w:p>
    <w:p>
      <w:pPr>
        <w:pStyle w:val="Heading3"/>
      </w:pPr>
      <w:r>
        <w:t xml:space="preserve">4.1 Objectives and Techniques</w:t>
      </w:r>
    </w:p>
    <w:p>
      <w:pPr>
        <w:pStyle w:val="ListParagraph"/>
        <w:numPr>
          <w:ilvl w:val="0"/>
          <w:numId w:val="2"/>
        </w:numPr>
      </w:pPr>
      <w:r>
        <w:rPr>
          <w:b/>
        </w:rPr>
        <w:t xml:space="preserve">Formulate</w:t>
      </w:r>
      <w:r>
        <w:t xml:space="preserve"> the BFS shell element for cylindrical geometry, following the displacement approximation and strain-energy derivation approach of Bogner, Fox &amp; Schmit (1967) and Schmit, Bogner &amp; Fox (1968), adapted to the plate-based strain energy and geometric stiffness formulation set out for BFS elements by Eisenträger et al. (2022).</w:t>
      </w:r>
    </w:p>
    <w:p>
      <w:pPr>
        <w:pStyle w:val="ListParagraph"/>
        <w:numPr>
          <w:ilvl w:val="0"/>
          <w:numId w:val="2"/>
        </w:numPr>
      </w:pPr>
      <w:r>
        <w:rPr>
          <w:b/>
        </w:rPr>
        <w:t xml:space="preserve">Implement</w:t>
      </w:r>
      <w:r>
        <w:t xml:space="preserve"> the element shape functions, derivatives, and quadrature in MATLAB, using the vectorized construction approach of Valdman (2020) as the base for the shape-function and numerical-integration layer.</w:t>
      </w:r>
    </w:p>
    <w:p>
      <w:pPr>
        <w:pStyle w:val="ListParagraph"/>
        <w:numPr>
          <w:ilvl w:val="0"/>
          <w:numId w:val="2"/>
        </w:numPr>
      </w:pPr>
      <w:r>
        <w:rPr>
          <w:b/>
        </w:rPr>
        <w:t xml:space="preserve">Assemble</w:t>
      </w:r>
      <w:r>
        <w:t xml:space="preserve"> the global elastic stiffness matrix K and geometric (initial-stress) stiffness matrix K_G, and solve the generalized eigenvalue problem (K + λK_G)q = 0 for the critical load factor λ, following the linear buckling formulation used for BFS plate elements in Eisenträger et al. (2022). The geometric stiffness matrix formulation draws on the von Kármán plate buckling theory in Vetyukov (2014) and the original generalized eigenvalue formulation for plate/shell stability in Anderson, Irons &amp; Zienkiewicz (1968); the classical plate bending equations underlying the BFS derivation follow Timoshenko &amp; Woinowsky-Krieger (1959).</w:t>
      </w:r>
    </w:p>
    <w:p>
      <w:pPr>
        <w:pStyle w:val="ListParagraph"/>
        <w:numPr>
          <w:ilvl w:val="0"/>
          <w:numId w:val="2"/>
        </w:numPr>
      </w:pPr>
      <w:r>
        <w:rPr>
          <w:b/>
        </w:rPr>
        <w:t xml:space="preserve">Validate</w:t>
      </w:r>
      <w:r>
        <w:t xml:space="preserve"> the resulting critical buckling loads for an isotropic, simply supported cylindrical shell under axial compression against (i) a classical analytical solution [Timoshenko &amp; Gere 1961] and (ii) a commercial finite element model built independently in ANSYS, checking convergence of both models under mesh refinement.</w:t>
      </w:r>
    </w:p>
    <w:p>
      <w:pPr>
        <w:pStyle w:val="Heading3"/>
      </w:pPr>
      <w:r>
        <w:t xml:space="preserve">4.2 Simulation Tools</w:t>
      </w:r>
    </w:p>
    <w:p>
      <w:pPr>
        <w:pStyle w:val="ListParagraph"/>
        <w:numPr>
          <w:ilvl w:val="0"/>
          <w:numId w:val="3"/>
        </w:numPr>
      </w:pPr>
      <w:r>
        <w:rPr>
          <w:b/>
        </w:rPr>
        <w:t xml:space="preserve">MATLAB</w:t>
      </w:r>
      <w:r>
        <w:t xml:space="preserve">: chosen for direct control over the element formulation, stiffness matrix assembly, and eigenvalue solver — necessary since BFS shell elements are not available in commercial packages and must be implemented from first principles; also the language used in the precedent implementation of Valdman (2020) and in Eisenträger et al.'s own in-house code.</w:t>
      </w:r>
    </w:p>
    <w:p>
      <w:pPr>
        <w:pStyle w:val="ListParagraph"/>
        <w:numPr>
          <w:ilvl w:val="0"/>
          <w:numId w:val="3"/>
        </w:numPr>
      </w:pPr>
      <w:r>
        <w:rPr>
          <w:b/>
        </w:rPr>
        <w:t xml:space="preserve">ANSYS</w:t>
      </w:r>
      <w:r>
        <w:t xml:space="preserve">: chosen as the commercial-FE benchmark because standard shell elements (e.g., SHELL281) are well established for shell buckling analysis and give an independent, non-BFS cross-check of the critical load and mode shape.</w:t>
      </w:r>
    </w:p>
    <w:p>
      <w:pPr>
        <w:pStyle w:val="Heading3"/>
      </w:pPr>
      <w:r>
        <w:t xml:space="preserve">4.3 Anticipated Limitations</w:t>
      </w:r>
    </w:p>
    <w:p>
      <w:pPr>
        <w:pStyle w:val="ListParagraph"/>
        <w:numPr>
          <w:ilvl w:val="0"/>
          <w:numId w:val="4"/>
        </w:numPr>
      </w:pPr>
      <w:r>
        <w:t xml:space="preserve">The BFS element's requirement for a regular, structured mesh restricts the cylindrical shell model to relatively simple boundary conditions at this stage (no cutouts, no irregular geometry) — consistent with the project's defined scope.</w:t>
      </w:r>
    </w:p>
    <w:p>
      <w:pPr>
        <w:pStyle w:val="ListParagraph"/>
        <w:numPr>
          <w:ilvl w:val="0"/>
          <w:numId w:val="4"/>
        </w:numPr>
      </w:pPr>
      <w:r>
        <w:t xml:space="preserve">Eigenvalue buckling analyses of C1-continuous elements can be sensitive to boundary condition implementation at the nodal derivative degrees of freedom; discrepancies with ANSYS will need to be diagnosed carefully to distinguish element-formulation effects from meshing or boundary-condition mismatches, an issue also flagged for the plate case in Eisenträger et al. (2022).</w:t>
      </w:r>
    </w:p>
    <w:p>
      <w:pPr>
        <w:pStyle w:val="ListParagraph"/>
        <w:numPr>
          <w:ilvl w:val="0"/>
          <w:numId w:val="4"/>
        </w:numPr>
      </w:pPr>
      <w:r>
        <w:t xml:space="preserve">Classical analytical buckling formulas assume idealized simply supported boundary conditions and linear, small-deflection behavior; deviations from these idealizations in either the MATLAB or ANSYS model will need to be documented rather than treated as implementation error.</w:t>
      </w:r>
    </w:p>
    <w:p>
      <w:pPr>
        <w:pStyle w:val="Heading3"/>
      </w:pPr>
      <w:r>
        <w:t xml:space="preserve">4.4 Resource Requirements</w:t>
      </w:r>
    </w:p>
    <w:p>
      <w:pPr>
        <w:pStyle w:val="ListParagraph"/>
        <w:numPr>
          <w:ilvl w:val="0"/>
          <w:numId w:val="5"/>
        </w:numPr>
      </w:pPr>
      <w:r>
        <w:t xml:space="preserve">MATLAB with standard linear algebra and eigenvalue-solver toolboxes (no specialized toolbox anticipated for the linear buckling case).</w:t>
      </w:r>
    </w:p>
    <w:p>
      <w:pPr>
        <w:pStyle w:val="ListParagraph"/>
        <w:numPr>
          <w:ilvl w:val="0"/>
          <w:numId w:val="5"/>
        </w:numPr>
      </w:pPr>
      <w:r>
        <w:t xml:space="preserve">An ANSYS license and shell-element modeling capability (available through OvGU).</w:t>
      </w:r>
    </w:p>
    <w:p>
      <w:pPr>
        <w:pStyle w:val="ListParagraph"/>
        <w:numPr>
          <w:ilvl w:val="0"/>
          <w:numId w:val="5"/>
        </w:numPr>
      </w:pPr>
      <w:r>
        <w:t xml:space="preserve">Access to Timoshenko &amp; Gere's </w:t>
      </w:r>
      <w:r>
        <w:rPr>
          <w:i/>
        </w:rPr>
        <w:t xml:space="preserve">Theory of Elastic Stability</w:t>
      </w:r>
      <w:r>
        <w:t xml:space="preserve"> for the closed-form Donnell-type axial-compression buckling formula used in validation (reference copy still to be obtained).</w:t>
      </w:r>
    </w:p>
    <w:p>
      <w:pPr>
        <w:pStyle w:val="Heading2"/>
      </w:pPr>
      <w:r>
        <w:t xml:space="preserve">5. Outcome</w:t>
      </w:r>
    </w:p>
    <w:p>
      <w:pPr/>
      <w:r>
        <w:t xml:space="preserve">The project will deliver a working, documented MATLAB implementation of the BFS cylindrical shell element for linear buckling analysis, together with a validation study comparing critical buckling loads and mode shapes against (i) the classical analytical solution and (ii) an ANSYS shell-element model, across a mesh-refinement (convergence) study. The expected result is that the BFS-based model converges to the analytical and ANSYS reference values, ideally at a comparable or faster rate per degree of freedom, consistent with the convergence properties reported for BFS plate elements in Eisenträger et al. (2022) and Burman, Hansbo &amp; Larson (2020).</w:t>
      </w:r>
    </w:p>
    <w:p>
      <w:pPr/>
      <w:r>
        <w:t xml:space="preserve">This project re-establishes the cylindrical shell BFS element — last used for postbuckling analysis in Schmit, Bogner &amp; Fox (1968) — as a validated, modern MATLAB tool for linear eigenvalue buckling of cylindrical shells. The resulting implementation is intended to provide the numerical and implementation foundation for future work extending this element to shells with multiple cutouts using cut BFS (CutBFS) elements and the finite cell method, following the plate-based precedent set by Eisenträger et al. (2022).</w:t>
      </w:r>
    </w:p>
    <w:p>
      <w:pPr>
        <w:pStyle w:val="Heading2"/>
      </w:pPr>
      <w:r>
        <w:t xml:space="preserve">6. Conclusion</w:t>
      </w:r>
    </w:p>
    <w:p>
      <w:pPr/>
      <w:r>
        <w:t xml:space="preserve">This project develops and validates a BFS-element-based MATLAB implementation for the linear buckling analysis of cylindrical shells, benchmarked against classical theory and an ANSYS shell model. Immediate next steps: (1) obtain the original 1967 cylindrical-shell BFS paper and the closed-form analytical buckling benchmark from Timoshenko &amp; Gere; (2) derive and code the elastic and geometric stiffness matrices for the cylindrical BFS element; (3) build the parallel ANSYS model; and (4) run the convergence and validation study. The validated element formulation developed here is intended to serve as the basis for future work extending the approach to cylindrical shells with multiple cutouts using cut BFS (CutBFS) elements.</w:t>
      </w:r>
    </w:p>
    <w:p>
      <w:pPr>
        <w:pStyle w:val="Heading2"/>
      </w:pPr>
      <w:r>
        <w:t xml:space="preserve">References</w:t>
      </w:r>
    </w:p>
    <w:p>
      <w:pPr>
        <w:pStyle w:val="ListParagraph"/>
        <w:numPr>
          <w:ilvl w:val="0"/>
          <w:numId w:val="6"/>
        </w:numPr>
      </w:pPr>
      <w:r>
        <w:t xml:space="preserve">Bogner, F.K., Fox, R.L., Schmit, L.A. (1965). "The Generation of Interelement Compatible Stiffness and Mass Matrices by the Use of Interpolation Formulae." </w:t>
      </w:r>
      <w:r>
        <w:rPr>
          <w:i/>
        </w:rPr>
        <w:t xml:space="preserve">Proc. 1st Conference on Matrix Methods in Structural Mechanics</w:t>
      </w:r>
      <w:r>
        <w:t xml:space="preserve">, Wright-Patterson AFB.</w:t>
      </w:r>
    </w:p>
    <w:p>
      <w:pPr>
        <w:pStyle w:val="ListParagraph"/>
        <w:numPr>
          <w:ilvl w:val="0"/>
          <w:numId w:val="6"/>
        </w:numPr>
      </w:pPr>
      <w:r>
        <w:t xml:space="preserve">Bogner, F.K., Fox, R.L., Schmit, L.A. (1967). "A Cylindrical Shell Discrete Element." </w:t>
      </w:r>
      <w:r>
        <w:rPr>
          <w:i/>
        </w:rPr>
        <w:t xml:space="preserve">AIAA Journal</w:t>
      </w:r>
      <w:r>
        <w:t xml:space="preserve">, 5(4), 745–750. — to be obtained.</w:t>
      </w:r>
    </w:p>
    <w:p>
      <w:pPr>
        <w:pStyle w:val="ListParagraph"/>
        <w:numPr>
          <w:ilvl w:val="0"/>
          <w:numId w:val="6"/>
        </w:numPr>
      </w:pPr>
      <w:r>
        <w:t xml:space="preserve">Schmit, L.A., Bogner, F.K., Fox, R.L. (1968). "Finite Deflection Structural Analysis Using Plate and Shell Discrete Elements." </w:t>
      </w:r>
      <w:r>
        <w:rPr>
          <w:i/>
        </w:rPr>
        <w:t xml:space="preserve">AIAA Journal</w:t>
      </w:r>
      <w:r>
        <w:t xml:space="preserve">, 6(5), 781–791. </w:t>
      </w:r>
      <w:hyperlink r:id="rId3" w:history="1">
        <w:r>
          <w:rPr>
            <w:rStyle w:val="Hyperlink"/>
          </w:rPr>
          <w:t xml:space="preserve">DOI: 10.2514/3.4599</w:t>
        </w:r>
      </w:hyperlink>
    </w:p>
    <w:p>
      <w:pPr>
        <w:pStyle w:val="ListParagraph"/>
        <w:numPr>
          <w:ilvl w:val="0"/>
          <w:numId w:val="6"/>
        </w:numPr>
      </w:pPr>
      <w:r>
        <w:t xml:space="preserve">Burman, E., Hansbo, P., Larson, M.G. (2020). "Cut Bogner-Fox-Schmit elements for plates." </w:t>
      </w:r>
      <w:r>
        <w:rPr>
          <w:i/>
        </w:rPr>
        <w:t xml:space="preserve">Advances in Modeling and Simulation in Engineering Sciences</w:t>
      </w:r>
      <w:r>
        <w:t xml:space="preserve">, 7:27. </w:t>
      </w:r>
      <w:hyperlink r:id="rId4" w:history="1">
        <w:r>
          <w:rPr>
            <w:rStyle w:val="Hyperlink"/>
          </w:rPr>
          <w:t xml:space="preserve">DOI: 10.1186/s40323-020-00164-3</w:t>
        </w:r>
      </w:hyperlink>
    </w:p>
    <w:p>
      <w:pPr>
        <w:pStyle w:val="ListParagraph"/>
        <w:numPr>
          <w:ilvl w:val="0"/>
          <w:numId w:val="6"/>
        </w:numPr>
      </w:pPr>
      <w:r>
        <w:t xml:space="preserve">Eisenträger, S., Kiendl, J., Michaloudis, G., Duy, R., Vetyukov, Y. (2022). "Stability analysis of plates using cut Bogner-Fox-Schmit elements." </w:t>
      </w:r>
      <w:r>
        <w:rPr>
          <w:i/>
        </w:rPr>
        <w:t xml:space="preserve">Computers &amp; Structures</w:t>
      </w:r>
      <w:r>
        <w:t xml:space="preserve">, 270:106854. </w:t>
      </w:r>
      <w:hyperlink r:id="rId5" w:history="1">
        <w:r>
          <w:rPr>
            <w:rStyle w:val="Hyperlink"/>
          </w:rPr>
          <w:t xml:space="preserve">DOI: 10.1016/j.compstruc.2022.106854</w:t>
        </w:r>
      </w:hyperlink>
    </w:p>
    <w:p>
      <w:pPr>
        <w:pStyle w:val="ListParagraph"/>
        <w:numPr>
          <w:ilvl w:val="0"/>
          <w:numId w:val="6"/>
        </w:numPr>
      </w:pPr>
      <w:r>
        <w:t xml:space="preserve">Duy, R. (2021). "Fictitious domain approach for optimizing stability boundaries of plates with cutouts." Master's thesis, TU Wien. </w:t>
      </w:r>
      <w:hyperlink r:id="rId6" w:history="1">
        <w:r>
          <w:rPr>
            <w:rStyle w:val="Hyperlink"/>
          </w:rPr>
          <w:t xml:space="preserve">DOI: 10.34726/hss.2021.70501</w:t>
        </w:r>
      </w:hyperlink>
    </w:p>
    <w:p>
      <w:pPr>
        <w:pStyle w:val="ListParagraph"/>
        <w:numPr>
          <w:ilvl w:val="0"/>
          <w:numId w:val="6"/>
        </w:numPr>
      </w:pPr>
      <w:r>
        <w:t xml:space="preserve">Valdman, J. (2020). "MATLAB Implementation of C1 Finite Elements: Bogner-Fox-Schmit Rectangle." In </w:t>
      </w:r>
      <w:r>
        <w:rPr>
          <w:i/>
        </w:rPr>
        <w:t xml:space="preserve">PPAM 2019, LNCS 12044</w:t>
      </w:r>
      <w:r>
        <w:t xml:space="preserve">, 256–266. </w:t>
      </w:r>
      <w:hyperlink r:id="rId7" w:history="1">
        <w:r>
          <w:rPr>
            <w:rStyle w:val="Hyperlink"/>
          </w:rPr>
          <w:t xml:space="preserve">DOI: 10.1007/978-3-030-43222-5_22</w:t>
        </w:r>
      </w:hyperlink>
    </w:p>
    <w:p>
      <w:pPr>
        <w:pStyle w:val="ListParagraph"/>
        <w:numPr>
          <w:ilvl w:val="0"/>
          <w:numId w:val="6"/>
        </w:numPr>
      </w:pPr>
      <w:r>
        <w:t xml:space="preserve">Timoshenko, S., Gere, J.M. (1961). </w:t>
      </w:r>
      <w:r>
        <w:rPr>
          <w:i/>
        </w:rPr>
        <w:t xml:space="preserve">Theory of Elastic Stability</w:t>
      </w:r>
      <w:r>
        <w:t xml:space="preserve">, 2nd ed. McGraw-Hill. — specific closed-form cylinder buckling formula.</w:t>
      </w:r>
    </w:p>
    <w:p>
      <w:pPr>
        <w:pStyle w:val="ListParagraph"/>
        <w:numPr>
          <w:ilvl w:val="0"/>
          <w:numId w:val="6"/>
        </w:numPr>
      </w:pPr>
      <w:r>
        <w:t xml:space="preserve">Donnell, L.H. (1934). </w:t>
      </w:r>
      <w:r>
        <w:rPr>
          <w:i/>
        </w:rPr>
        <w:t xml:space="preserve">Stability of Thin-Walled Tubes Under Torsion</w:t>
      </w:r>
      <w:r>
        <w:t xml:space="preserve">. Report, National Advisory Committee for Aeronautics.</w:t>
      </w:r>
    </w:p>
    <w:p>
      <w:pPr>
        <w:pStyle w:val="ListParagraph"/>
        <w:numPr>
          <w:ilvl w:val="0"/>
          <w:numId w:val="6"/>
        </w:numPr>
      </w:pPr>
      <w:r>
        <w:t xml:space="preserve">Brush, D.O., Almroth, B.O. (1975). </w:t>
      </w:r>
      <w:r>
        <w:rPr>
          <w:i/>
        </w:rPr>
        <w:t xml:space="preserve">Buckling of Bars, Plates, and Shells</w:t>
      </w:r>
      <w:r>
        <w:t xml:space="preserve">. McGraw-Hill.</w:t>
      </w:r>
    </w:p>
    <w:p>
      <w:pPr>
        <w:pStyle w:val="ListParagraph"/>
        <w:numPr>
          <w:ilvl w:val="0"/>
          <w:numId w:val="6"/>
        </w:numPr>
      </w:pPr>
      <w:r>
        <w:t xml:space="preserve">Li, Z., Pasternak, H., Geißler, K. (2022). "Buckling Analysis of Cylindrical Shells using Stochastic Finite Element Method with Random Geometric Imperfections." </w:t>
      </w:r>
      <w:r>
        <w:rPr>
          <w:i/>
        </w:rPr>
        <w:t xml:space="preserve">ce/papers</w:t>
      </w:r>
      <w:r>
        <w:t xml:space="preserve">, 5(4), 653–658.</w:t>
      </w:r>
    </w:p>
    <w:p>
      <w:pPr>
        <w:pStyle w:val="ListParagraph"/>
        <w:numPr>
          <w:ilvl w:val="0"/>
          <w:numId w:val="6"/>
        </w:numPr>
      </w:pPr>
      <w:r>
        <w:t xml:space="preserve">Dobronets, B., Shaydurov, V. (2016). "Hermitian Finite Element Complementing the Bogner–Fox–Schmit Rectangle Near Curvilinear Boundary." </w:t>
      </w:r>
      <w:r>
        <w:rPr>
          <w:i/>
        </w:rPr>
        <w:t xml:space="preserve">Lobachevskii Journal of Mathematics</w:t>
      </w:r>
      <w:r>
        <w:t xml:space="preserve">, 37(5), 527–533.</w:t>
      </w:r>
    </w:p>
    <w:p>
      <w:pPr>
        <w:pStyle w:val="ListParagraph"/>
        <w:numPr>
          <w:ilvl w:val="0"/>
          <w:numId w:val="6"/>
        </w:numPr>
      </w:pPr>
      <w:r>
        <w:t xml:space="preserve">Zienkiewicz, O.C., Taylor, R.L. (2013). </w:t>
      </w:r>
      <w:r>
        <w:rPr>
          <w:i/>
        </w:rPr>
        <w:t xml:space="preserve">The Finite Element Method: Its Basis and Fundamentals</w:t>
      </w:r>
      <w:r>
        <w:t xml:space="preserve">, 7th ed. Elsevier.</w:t>
      </w:r>
    </w:p>
    <w:p>
      <w:pPr>
        <w:pStyle w:val="ListParagraph"/>
        <w:numPr>
          <w:ilvl w:val="0"/>
          <w:numId w:val="6"/>
        </w:numPr>
      </w:pPr>
      <w:r>
        <w:t xml:space="preserve">Vetyukov, Y. (2014). </w:t>
      </w:r>
      <w:r>
        <w:rPr>
          <w:i/>
        </w:rPr>
        <w:t xml:space="preserve">Nonlinear Mechanics of Thin-Walled Structures: Asymptotics, Direct Approach and Numerical Analysis</w:t>
      </w:r>
      <w:r>
        <w:t xml:space="preserve">. Springer, Vienna.</w:t>
      </w:r>
    </w:p>
    <w:p>
      <w:pPr>
        <w:pStyle w:val="ListParagraph"/>
        <w:numPr>
          <w:ilvl w:val="0"/>
          <w:numId w:val="6"/>
        </w:numPr>
      </w:pPr>
      <w:r>
        <w:t xml:space="preserve">Timoshenko, S., Woinowsky-Krieger, S. (1959). </w:t>
      </w:r>
      <w:r>
        <w:rPr>
          <w:i/>
        </w:rPr>
        <w:t xml:space="preserve">Theory of Plates and Shells</w:t>
      </w:r>
      <w:r>
        <w:t xml:space="preserve">. McGraw-Hill.</w:t>
      </w:r>
    </w:p>
    <w:p>
      <w:pPr>
        <w:pStyle w:val="ListParagraph"/>
        <w:numPr>
          <w:ilvl w:val="0"/>
          <w:numId w:val="6"/>
        </w:numPr>
      </w:pPr>
      <w:r>
        <w:t xml:space="preserve">Anderson, R., Irons, B., Zienkiewicz, O.C. (1968). "Vibration and stability of plates using finite elements." </w:t>
      </w:r>
      <w:r>
        <w:rPr>
          <w:i/>
        </w:rPr>
        <w:t xml:space="preserve">International Journal of Solids and Structures</w:t>
      </w:r>
      <w:r>
        <w:t xml:space="preserve">, 4(10), 1031–1055.</w:t>
      </w:r>
    </w:p>
    <w:p>
      <w:pPr>
        <w:pStyle w:val="ListParagraph"/>
        <w:numPr>
          <w:ilvl w:val="0"/>
          <w:numId w:val="6"/>
        </w:numPr>
      </w:pPr>
      <w:r>
        <w:t xml:space="preserve">Qiu, H., Guo, Y., Guan, Z., Zhu, H., Pan, Y. (2024). "Dynamic Buckling Analysis of Thin-Shell Composite Structures Based on Isogeometric Analysis." </w:t>
      </w:r>
      <w:r>
        <w:rPr>
          <w:i/>
        </w:rPr>
        <w:t xml:space="preserve">ICAS 2024</w:t>
      </w:r>
      <w:r>
        <w:t xml:space="preserve">, Paper 0389.</w:t>
      </w:r>
    </w:p>
    <w:p>
      <w:pPr>
        <w:pStyle w:val="ListParagraph"/>
        <w:numPr>
          <w:ilvl w:val="0"/>
          <w:numId w:val="6"/>
        </w:numPr>
      </w:pPr>
      <w:r>
        <w:t xml:space="preserve">Ashwell, D.G., Sabir, A.B. (1973). "A Corrected Assessment of the Cylindrical Shell Finite Element of Bogner, Fox and Schmit When Applied to Arches." </w:t>
      </w:r>
      <w:r>
        <w:rPr>
          <w:i/>
        </w:rPr>
        <w:t xml:space="preserve">International Journal of Mechanical Sciences</w:t>
      </w:r>
      <w:r>
        <w:t xml:space="preserve">, 15(4), 325–327. </w:t>
      </w:r>
      <w:hyperlink r:id="rId8" w:history="1">
        <w:r>
          <w:rPr>
            <w:rStyle w:val="Hyperlink"/>
          </w:rPr>
          <w:t xml:space="preserve">DOI: 10.1016/0020-7403(73)90013-1</w:t>
        </w:r>
      </w:hyperlink>
      <w:r>
        <w:t xml:space="preserve"> — reference copy not yet obtained.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i.org/10.2514/3.4599" TargetMode="External"/><Relationship Id="rId4" Type="http://schemas.openxmlformats.org/officeDocument/2006/relationships/hyperlink" Target="https://doi.org/10.1186/s40323-020-00164-3" TargetMode="External"/><Relationship Id="rId5" Type="http://schemas.openxmlformats.org/officeDocument/2006/relationships/hyperlink" Target="https://doi.org/10.1016/j.compstruc.2022.106854" TargetMode="External"/><Relationship Id="rId6" Type="http://schemas.openxmlformats.org/officeDocument/2006/relationships/hyperlink" Target="https://doi.org/10.34726/hss.2021.70501" TargetMode="External"/><Relationship Id="rId7" Type="http://schemas.openxmlformats.org/officeDocument/2006/relationships/hyperlink" Target="https://doi.org/10.1007/978-3-030-43222-5_22" TargetMode="External"/><Relationship Id="rId8" Type="http://schemas.openxmlformats.org/officeDocument/2006/relationships/hyperlink" Target="https://doi.org/10.1016/0020-7403(73)90013-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Proposal Buckling Analysis of Cylindrical Shells Using Bogner-Fox-Schmit</dc:title>
  <dc:description>Claude Docs node/a6d844ba-693a@27 docx-w5</dc:description>
  <cp:revision>27</cp:revision>
</cp:coreProperties>
</file>