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7"/>
        <w:gridCol w:w="2516"/>
        <w:gridCol w:w="4670"/>
      </w:tblGrid>
      <w:tr w:rsidR="008622A1" w:rsidRPr="00E869CF" w14:paraId="09188C87" w14:textId="77777777" w:rsidTr="0029444C">
        <w:trPr>
          <w:trHeight w:val="516"/>
        </w:trPr>
        <w:tc>
          <w:tcPr>
            <w:tcW w:w="1242" w:type="dxa"/>
          </w:tcPr>
          <w:p w14:paraId="7CC9F872" w14:textId="77777777" w:rsidR="008622A1" w:rsidRPr="007A2781" w:rsidRDefault="001B0919" w:rsidP="00943BC1">
            <w:pPr>
              <w:pStyle w:val="MainText"/>
              <w:spacing w:after="60"/>
              <w:ind w:firstLine="6"/>
              <w:jc w:val="left"/>
            </w:pPr>
            <w:r w:rsidRPr="007A2781">
              <w:rPr>
                <w:noProof/>
                <w:lang w:val="ru-RU" w:eastAsia="ru-RU"/>
              </w:rPr>
              <w:drawing>
                <wp:inline distT="0" distB="0" distL="0" distR="0" wp14:anchorId="6BEEE3CF" wp14:editId="46A6665F">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vAlign w:val="center"/>
          </w:tcPr>
          <w:p w14:paraId="6B4D21DA" w14:textId="77777777" w:rsidR="008622A1" w:rsidRPr="007A2781" w:rsidRDefault="0029444C" w:rsidP="0029444C">
            <w:pPr>
              <w:pStyle w:val="11"/>
            </w:pPr>
            <w:bookmarkStart w:id="0" w:name="_Hlk164098875"/>
            <w:r w:rsidRPr="007A2781">
              <w:t xml:space="preserve">Solubility Study of </w:t>
            </w:r>
            <w:r w:rsidR="00A575E5" w:rsidRPr="007A2781">
              <w:t xml:space="preserve">a </w:t>
            </w:r>
            <w:r w:rsidRPr="007A2781">
              <w:t>Ladder-like Polyphenylsilsesquioxane</w:t>
            </w:r>
            <w:bookmarkEnd w:id="0"/>
            <w:r w:rsidR="00943BC1" w:rsidRPr="007A2781">
              <w:t xml:space="preserve"> </w:t>
            </w:r>
            <w:r w:rsidR="00035206" w:rsidRPr="007A2781">
              <w:br/>
            </w:r>
            <w:r w:rsidRPr="007A2781">
              <w:t>for Membrane Application</w:t>
            </w:r>
          </w:p>
        </w:tc>
      </w:tr>
      <w:tr w:rsidR="00D71473" w:rsidRPr="00E869CF" w14:paraId="1367A4DE" w14:textId="77777777" w:rsidTr="00DF4999">
        <w:trPr>
          <w:trHeight w:val="516"/>
        </w:trPr>
        <w:tc>
          <w:tcPr>
            <w:tcW w:w="2410" w:type="dxa"/>
            <w:gridSpan w:val="2"/>
            <w:vMerge w:val="restart"/>
          </w:tcPr>
          <w:p w14:paraId="0DD3D2EA" w14:textId="77777777" w:rsidR="000E1B06" w:rsidRPr="007A2781" w:rsidRDefault="00D71473" w:rsidP="007516EA">
            <w:pPr>
              <w:pStyle w:val="MainText"/>
              <w:ind w:firstLine="0"/>
              <w:jc w:val="left"/>
            </w:pPr>
            <w:r w:rsidRPr="007A2781">
              <w:t xml:space="preserve">Cite this: </w:t>
            </w:r>
            <w:r w:rsidR="00DF4999" w:rsidRPr="007A2781">
              <w:rPr>
                <w:i/>
              </w:rPr>
              <w:t>INEOS</w:t>
            </w:r>
            <w:r w:rsidR="00DF4999" w:rsidRPr="007A2781">
              <w:rPr>
                <w:rFonts w:ascii="Times New Roman CYR" w:hAnsi="Times New Roman CYR" w:cs="Times New Roman CYR"/>
                <w:i/>
              </w:rPr>
              <w:t xml:space="preserve"> OPEN</w:t>
            </w:r>
            <w:r w:rsidR="00DF4999" w:rsidRPr="007A2781">
              <w:t>,</w:t>
            </w:r>
          </w:p>
          <w:p w14:paraId="124F1382" w14:textId="77777777" w:rsidR="00D71473" w:rsidRPr="007A2781" w:rsidRDefault="00DF4999" w:rsidP="007516EA">
            <w:pPr>
              <w:pStyle w:val="MainText"/>
              <w:ind w:firstLine="0"/>
              <w:jc w:val="left"/>
            </w:pPr>
            <w:r w:rsidRPr="007A2781">
              <w:rPr>
                <w:b/>
              </w:rPr>
              <w:t>20</w:t>
            </w:r>
            <w:r w:rsidR="00CB4473" w:rsidRPr="007A2781">
              <w:rPr>
                <w:b/>
              </w:rPr>
              <w:t>24</w:t>
            </w:r>
            <w:r w:rsidRPr="007A2781">
              <w:t xml:space="preserve">, </w:t>
            </w:r>
            <w:r w:rsidR="00F91655">
              <w:rPr>
                <w:i/>
                <w:iCs/>
              </w:rPr>
              <w:t>7</w:t>
            </w:r>
            <w:r w:rsidRPr="007A2781">
              <w:rPr>
                <w:i/>
                <w:iCs/>
              </w:rPr>
              <w:t xml:space="preserve"> (</w:t>
            </w:r>
            <w:r w:rsidR="00E869CF">
              <w:rPr>
                <w:i/>
                <w:iCs/>
              </w:rPr>
              <w:t>1</w:t>
            </w:r>
            <w:r w:rsidR="00E869CF" w:rsidRPr="00E869CF">
              <w:rPr>
                <w:i/>
              </w:rPr>
              <w:t>–3</w:t>
            </w:r>
            <w:r w:rsidRPr="007A2781">
              <w:rPr>
                <w:i/>
                <w:iCs/>
              </w:rPr>
              <w:t>)</w:t>
            </w:r>
            <w:r w:rsidRPr="007A2781">
              <w:t xml:space="preserve">, </w:t>
            </w:r>
            <w:r w:rsidR="00F91655">
              <w:t>1</w:t>
            </w:r>
            <w:r w:rsidRPr="007A2781">
              <w:t>–</w:t>
            </w:r>
            <w:r w:rsidR="00F91655">
              <w:t>2</w:t>
            </w:r>
          </w:p>
          <w:p w14:paraId="7EAC140D" w14:textId="77777777" w:rsidR="007516EA" w:rsidRPr="007A2781" w:rsidRDefault="007516EA" w:rsidP="007516EA">
            <w:pPr>
              <w:pStyle w:val="MainText"/>
              <w:ind w:firstLine="0"/>
              <w:jc w:val="left"/>
            </w:pPr>
            <w:r w:rsidRPr="007A2781">
              <w:t>DOI: 10.32931/io</w:t>
            </w:r>
            <w:r w:rsidR="00842775">
              <w:t>2401a</w:t>
            </w:r>
          </w:p>
          <w:p w14:paraId="2A8A2EE9" w14:textId="77777777" w:rsidR="00BE4FEF" w:rsidRPr="007A2781" w:rsidRDefault="00BE4FEF" w:rsidP="007516EA">
            <w:pPr>
              <w:pStyle w:val="MainText"/>
              <w:ind w:firstLine="0"/>
              <w:jc w:val="left"/>
            </w:pPr>
          </w:p>
          <w:p w14:paraId="1236619C" w14:textId="77777777" w:rsidR="00D71473" w:rsidRPr="007A2781" w:rsidRDefault="00D71473" w:rsidP="007516EA">
            <w:pPr>
              <w:pStyle w:val="MainText"/>
              <w:ind w:firstLine="0"/>
              <w:rPr>
                <w:i/>
                <w:szCs w:val="14"/>
              </w:rPr>
            </w:pPr>
            <w:r w:rsidRPr="007A2781">
              <w:rPr>
                <w:i/>
                <w:szCs w:val="14"/>
              </w:rPr>
              <w:t xml:space="preserve">Received </w:t>
            </w:r>
            <w:r w:rsidR="007A2781" w:rsidRPr="007A2781">
              <w:rPr>
                <w:i/>
                <w:szCs w:val="14"/>
              </w:rPr>
              <w:t>10</w:t>
            </w:r>
            <w:r w:rsidR="00CB4473" w:rsidRPr="007A2781">
              <w:rPr>
                <w:i/>
                <w:szCs w:val="14"/>
              </w:rPr>
              <w:t xml:space="preserve"> </w:t>
            </w:r>
            <w:r w:rsidR="00D67E31" w:rsidRPr="007A2781">
              <w:rPr>
                <w:i/>
                <w:szCs w:val="14"/>
              </w:rPr>
              <w:t>M</w:t>
            </w:r>
            <w:r w:rsidR="007A2781" w:rsidRPr="007A2781">
              <w:rPr>
                <w:i/>
                <w:szCs w:val="14"/>
              </w:rPr>
              <w:t>ay</w:t>
            </w:r>
            <w:r w:rsidRPr="007A2781">
              <w:rPr>
                <w:i/>
                <w:szCs w:val="14"/>
              </w:rPr>
              <w:t xml:space="preserve"> 2</w:t>
            </w:r>
            <w:r w:rsidR="008E062B" w:rsidRPr="007A2781">
              <w:rPr>
                <w:i/>
                <w:szCs w:val="14"/>
              </w:rPr>
              <w:t>0</w:t>
            </w:r>
            <w:r w:rsidR="00CB4473" w:rsidRPr="007A2781">
              <w:rPr>
                <w:i/>
                <w:szCs w:val="14"/>
              </w:rPr>
              <w:t>24</w:t>
            </w:r>
            <w:r w:rsidRPr="007A2781">
              <w:rPr>
                <w:i/>
                <w:szCs w:val="14"/>
              </w:rPr>
              <w:t>,</w:t>
            </w:r>
          </w:p>
          <w:p w14:paraId="4B4B63A8" w14:textId="77777777" w:rsidR="00D71473" w:rsidRPr="007A2781" w:rsidRDefault="00D71473" w:rsidP="007516EA">
            <w:pPr>
              <w:pStyle w:val="MainText"/>
              <w:ind w:firstLine="0"/>
              <w:rPr>
                <w:i/>
                <w:szCs w:val="14"/>
              </w:rPr>
            </w:pPr>
            <w:r w:rsidRPr="007A2781">
              <w:rPr>
                <w:i/>
                <w:szCs w:val="14"/>
              </w:rPr>
              <w:t xml:space="preserve">Accepted </w:t>
            </w:r>
            <w:r w:rsidR="00CB4473" w:rsidRPr="007A2781">
              <w:rPr>
                <w:i/>
                <w:szCs w:val="14"/>
              </w:rPr>
              <w:t>24 June</w:t>
            </w:r>
            <w:r w:rsidR="008E062B" w:rsidRPr="007A2781">
              <w:rPr>
                <w:i/>
                <w:szCs w:val="14"/>
              </w:rPr>
              <w:t xml:space="preserve"> 20</w:t>
            </w:r>
            <w:r w:rsidR="00CB4473" w:rsidRPr="007A2781">
              <w:rPr>
                <w:i/>
                <w:szCs w:val="14"/>
              </w:rPr>
              <w:t>24</w:t>
            </w:r>
          </w:p>
          <w:p w14:paraId="263AF089" w14:textId="77777777" w:rsidR="00820A77" w:rsidRPr="007A2781" w:rsidRDefault="00820A77" w:rsidP="007516EA">
            <w:pPr>
              <w:pStyle w:val="MainText"/>
              <w:ind w:firstLine="0"/>
              <w:rPr>
                <w:szCs w:val="14"/>
              </w:rPr>
            </w:pPr>
          </w:p>
          <w:p w14:paraId="3E2A7CB4" w14:textId="77777777" w:rsidR="00D71473" w:rsidRPr="007A2781" w:rsidRDefault="00440577" w:rsidP="007516EA">
            <w:pPr>
              <w:pStyle w:val="MainText"/>
              <w:ind w:firstLine="0"/>
            </w:pPr>
            <w:r w:rsidRPr="007A2781">
              <w:rPr>
                <w:szCs w:val="14"/>
              </w:rPr>
              <w:t>http://</w:t>
            </w:r>
            <w:r w:rsidR="00D71473" w:rsidRPr="007A2781">
              <w:rPr>
                <w:szCs w:val="14"/>
              </w:rPr>
              <w:t>ineosopen.org</w:t>
            </w:r>
          </w:p>
        </w:tc>
        <w:tc>
          <w:tcPr>
            <w:tcW w:w="7229" w:type="dxa"/>
            <w:gridSpan w:val="2"/>
          </w:tcPr>
          <w:p w14:paraId="7EFEE36C" w14:textId="2996CE2A" w:rsidR="00D71473" w:rsidRPr="007A2781" w:rsidRDefault="0029661D" w:rsidP="00A4061B">
            <w:pPr>
              <w:pStyle w:val="AuthorNames"/>
              <w:ind w:left="0"/>
            </w:pPr>
            <w:r w:rsidRPr="007A2781">
              <w:t>T. S. Anokhina,</w:t>
            </w:r>
            <w:r w:rsidR="00D60F30">
              <w:t>*</w:t>
            </w:r>
            <w:r w:rsidRPr="007A2781">
              <w:rPr>
                <w:i/>
                <w:iCs/>
                <w:vertAlign w:val="superscript"/>
              </w:rPr>
              <w:t>a</w:t>
            </w:r>
            <w:r w:rsidRPr="007A2781">
              <w:t xml:space="preserve"> E. V. Bashkova,</w:t>
            </w:r>
            <w:r w:rsidRPr="007A2781">
              <w:rPr>
                <w:i/>
                <w:iCs/>
                <w:vertAlign w:val="superscript"/>
              </w:rPr>
              <w:t>a,b,c</w:t>
            </w:r>
            <w:r w:rsidRPr="007A2781">
              <w:t xml:space="preserve"> O. L. Grishkov,</w:t>
            </w:r>
            <w:r w:rsidRPr="007A2781">
              <w:rPr>
                <w:i/>
                <w:iCs/>
                <w:vertAlign w:val="superscript"/>
                <w:lang w:val="ru-RU"/>
              </w:rPr>
              <w:t>а</w:t>
            </w:r>
            <w:r w:rsidRPr="007A2781">
              <w:t xml:space="preserve"> T. O. Ershova,</w:t>
            </w:r>
            <w:r w:rsidRPr="007A2781">
              <w:rPr>
                <w:i/>
                <w:iCs/>
                <w:vertAlign w:val="superscript"/>
              </w:rPr>
              <w:t>a,b</w:t>
            </w:r>
            <w:r w:rsidRPr="007A2781">
              <w:rPr>
                <w:i/>
                <w:iCs/>
                <w:vertAlign w:val="superscript"/>
              </w:rPr>
              <w:br/>
            </w:r>
            <w:r w:rsidRPr="007A2781">
              <w:t>D. S. Bakhtin,</w:t>
            </w:r>
            <w:r w:rsidRPr="007A2781">
              <w:rPr>
                <w:i/>
                <w:iCs/>
                <w:vertAlign w:val="superscript"/>
              </w:rPr>
              <w:t>a</w:t>
            </w:r>
            <w:r w:rsidRPr="007A2781">
              <w:t xml:space="preserve"> A. A. Anisimov,</w:t>
            </w:r>
            <w:r w:rsidRPr="007A2781">
              <w:rPr>
                <w:i/>
                <w:iCs/>
                <w:vertAlign w:val="superscript"/>
              </w:rPr>
              <w:t>b,c</w:t>
            </w:r>
            <w:r w:rsidRPr="007A2781">
              <w:t xml:space="preserve"> O. I. Shchegolikhina,</w:t>
            </w:r>
            <w:r w:rsidRPr="007A2781">
              <w:rPr>
                <w:i/>
                <w:iCs/>
                <w:vertAlign w:val="superscript"/>
              </w:rPr>
              <w:t>a,b</w:t>
            </w:r>
            <w:r w:rsidR="00A4061B" w:rsidRPr="007A2781">
              <w:rPr>
                <w:i/>
                <w:iCs/>
                <w:vertAlign w:val="superscript"/>
              </w:rPr>
              <w:br/>
            </w:r>
            <w:r w:rsidRPr="007A2781">
              <w:t>A. V. Volkov,</w:t>
            </w:r>
            <w:r w:rsidRPr="007A2781">
              <w:rPr>
                <w:i/>
                <w:iCs/>
                <w:vertAlign w:val="superscript"/>
              </w:rPr>
              <w:t>a</w:t>
            </w:r>
            <w:r w:rsidRPr="007A2781">
              <w:t xml:space="preserve"> and A. M. Muzafarov</w:t>
            </w:r>
            <w:r w:rsidRPr="007A2781">
              <w:rPr>
                <w:i/>
                <w:iCs/>
                <w:vertAlign w:val="superscript"/>
              </w:rPr>
              <w:t>b,d</w:t>
            </w:r>
          </w:p>
        </w:tc>
      </w:tr>
      <w:tr w:rsidR="00D71473" w:rsidRPr="007A2781" w14:paraId="78760BC0" w14:textId="77777777" w:rsidTr="00DF4999">
        <w:trPr>
          <w:trHeight w:val="263"/>
        </w:trPr>
        <w:tc>
          <w:tcPr>
            <w:tcW w:w="2410" w:type="dxa"/>
            <w:gridSpan w:val="2"/>
            <w:vMerge/>
          </w:tcPr>
          <w:p w14:paraId="0A2C8B3B" w14:textId="77777777" w:rsidR="00D71473" w:rsidRPr="007A2781" w:rsidRDefault="00D71473" w:rsidP="00D71473">
            <w:pPr>
              <w:pStyle w:val="AuthorNames"/>
            </w:pPr>
          </w:p>
        </w:tc>
        <w:tc>
          <w:tcPr>
            <w:tcW w:w="7229" w:type="dxa"/>
            <w:gridSpan w:val="2"/>
          </w:tcPr>
          <w:p w14:paraId="69E5FAD9" w14:textId="77777777" w:rsidR="0015778A" w:rsidRPr="007A2781" w:rsidRDefault="0015778A" w:rsidP="001A2D0C">
            <w:pPr>
              <w:pStyle w:val="Affiliations"/>
              <w:spacing w:before="120"/>
              <w:ind w:left="0"/>
              <w:rPr>
                <w:lang w:val="en-US"/>
              </w:rPr>
            </w:pPr>
            <w:r w:rsidRPr="007A2781">
              <w:rPr>
                <w:vertAlign w:val="superscript"/>
              </w:rPr>
              <w:t>a</w:t>
            </w:r>
            <w:r w:rsidRPr="007A2781">
              <w:t xml:space="preserve"> </w:t>
            </w:r>
            <w:r w:rsidRPr="007A2781">
              <w:rPr>
                <w:rFonts w:cs="Times New Roman"/>
              </w:rPr>
              <w:t xml:space="preserve">Topchiev Institute of Petrochemical Synthesis, Russian Academy of Sciences, Leninskii pr. </w:t>
            </w:r>
            <w:r w:rsidR="00BD5A4D" w:rsidRPr="007A2781">
              <w:rPr>
                <w:rFonts w:cs="Times New Roman"/>
              </w:rPr>
              <w:t xml:space="preserve">29, </w:t>
            </w:r>
            <w:r w:rsidRPr="007A2781">
              <w:rPr>
                <w:rFonts w:cs="Times New Roman"/>
              </w:rPr>
              <w:t>Moscow, 119991 Russia</w:t>
            </w:r>
          </w:p>
          <w:p w14:paraId="36D53B50" w14:textId="77777777" w:rsidR="0015778A" w:rsidRPr="007A2781" w:rsidRDefault="0015778A" w:rsidP="001A2D0C">
            <w:pPr>
              <w:pStyle w:val="Affiliations"/>
              <w:ind w:left="0"/>
              <w:rPr>
                <w:rFonts w:cs="Times New Roman"/>
              </w:rPr>
            </w:pPr>
            <w:r w:rsidRPr="007A2781">
              <w:rPr>
                <w:vertAlign w:val="superscript"/>
              </w:rPr>
              <w:t>b</w:t>
            </w:r>
            <w:r w:rsidRPr="007A2781">
              <w:t xml:space="preserve"> </w:t>
            </w:r>
            <w:r w:rsidRPr="007A2781">
              <w:rPr>
                <w:rFonts w:cs="Times New Roman"/>
              </w:rPr>
              <w:t>Nesmeyanov Institute of Organoelement Compounds, Russian Academy of Sciences, ul. Vavilova 28, str. 1, Moscow, 119334 Russia</w:t>
            </w:r>
          </w:p>
          <w:p w14:paraId="2D5135CB" w14:textId="77777777" w:rsidR="0015778A" w:rsidRPr="007A2781" w:rsidRDefault="0015778A" w:rsidP="001A2D0C">
            <w:pPr>
              <w:pStyle w:val="Affiliations"/>
              <w:ind w:left="0"/>
              <w:rPr>
                <w:lang w:val="en-US"/>
              </w:rPr>
            </w:pPr>
            <w:r w:rsidRPr="007A2781">
              <w:rPr>
                <w:vertAlign w:val="superscript"/>
              </w:rPr>
              <w:t>c</w:t>
            </w:r>
            <w:r w:rsidRPr="007A2781">
              <w:rPr>
                <w:lang w:val="en-US"/>
              </w:rPr>
              <w:t xml:space="preserve"> Faculty of Electronics, Photonics and Molecular Physics,</w:t>
            </w:r>
            <w:r w:rsidR="00BD5A4D" w:rsidRPr="007A2781">
              <w:rPr>
                <w:lang w:val="en-US"/>
              </w:rPr>
              <w:br/>
            </w:r>
            <w:r w:rsidRPr="007A2781">
              <w:rPr>
                <w:lang w:val="en-US"/>
              </w:rPr>
              <w:t xml:space="preserve">Moscow Institute of Physics and Technology (National Research University), </w:t>
            </w:r>
            <w:r w:rsidR="00BD5A4D" w:rsidRPr="007A2781">
              <w:rPr>
                <w:lang w:val="en-US"/>
              </w:rPr>
              <w:t xml:space="preserve">Institutskiy per. 9, </w:t>
            </w:r>
            <w:r w:rsidRPr="007A2781">
              <w:rPr>
                <w:lang w:val="en-US"/>
              </w:rPr>
              <w:t>Dolgoprudny,</w:t>
            </w:r>
            <w:r w:rsidR="007F11BD" w:rsidRPr="007A2781">
              <w:rPr>
                <w:lang w:val="en-US"/>
              </w:rPr>
              <w:t xml:space="preserve"> Moscow Oblast,</w:t>
            </w:r>
            <w:r w:rsidRPr="007A2781">
              <w:rPr>
                <w:lang w:val="en-US"/>
              </w:rPr>
              <w:t xml:space="preserve"> 141700 Russia</w:t>
            </w:r>
          </w:p>
          <w:p w14:paraId="1F897C66" w14:textId="77777777" w:rsidR="0015778A" w:rsidRPr="007A2781" w:rsidRDefault="0015778A" w:rsidP="001A2D0C">
            <w:pPr>
              <w:pStyle w:val="Affiliations"/>
              <w:ind w:left="0"/>
              <w:rPr>
                <w:lang w:val="en-US"/>
              </w:rPr>
            </w:pPr>
            <w:r w:rsidRPr="007A2781">
              <w:rPr>
                <w:vertAlign w:val="superscript"/>
                <w:lang w:val="en-US"/>
              </w:rPr>
              <w:t>d</w:t>
            </w:r>
            <w:r w:rsidRPr="007A2781">
              <w:rPr>
                <w:lang w:val="en-US"/>
              </w:rPr>
              <w:t xml:space="preserve"> Enikolopov Institute of Synthetic Polymer</w:t>
            </w:r>
            <w:r w:rsidR="007F11BD" w:rsidRPr="007A2781">
              <w:rPr>
                <w:lang w:val="en-US"/>
              </w:rPr>
              <w:t>ic</w:t>
            </w:r>
            <w:r w:rsidRPr="007A2781">
              <w:rPr>
                <w:lang w:val="en-US"/>
              </w:rPr>
              <w:t xml:space="preserve"> Materials, Russian Academy of Sciences</w:t>
            </w:r>
            <w:r w:rsidR="007F11BD" w:rsidRPr="007A2781">
              <w:rPr>
                <w:lang w:val="en-US"/>
              </w:rPr>
              <w:t>, ul. Profsoyuznaya</w:t>
            </w:r>
            <w:r w:rsidR="00BD5A4D" w:rsidRPr="007A2781">
              <w:rPr>
                <w:lang w:val="en-US"/>
              </w:rPr>
              <w:t xml:space="preserve"> 70</w:t>
            </w:r>
            <w:r w:rsidR="007F11BD" w:rsidRPr="007A2781">
              <w:rPr>
                <w:lang w:val="en-US"/>
              </w:rPr>
              <w:t xml:space="preserve">, </w:t>
            </w:r>
            <w:r w:rsidRPr="007A2781">
              <w:rPr>
                <w:lang w:val="en-US"/>
              </w:rPr>
              <w:t>Moscow,</w:t>
            </w:r>
            <w:r w:rsidR="007F11BD" w:rsidRPr="007A2781">
              <w:rPr>
                <w:lang w:val="en-US"/>
              </w:rPr>
              <w:t xml:space="preserve"> 117393 </w:t>
            </w:r>
            <w:r w:rsidRPr="007A2781">
              <w:rPr>
                <w:lang w:val="en-US"/>
              </w:rPr>
              <w:t>Russia</w:t>
            </w:r>
          </w:p>
        </w:tc>
      </w:tr>
      <w:tr w:rsidR="00CD6FAC" w:rsidRPr="007A2781" w14:paraId="166A947D" w14:textId="77777777" w:rsidTr="00DF4999">
        <w:tc>
          <w:tcPr>
            <w:tcW w:w="4962" w:type="dxa"/>
            <w:gridSpan w:val="3"/>
          </w:tcPr>
          <w:p w14:paraId="63ADB584" w14:textId="77777777" w:rsidR="00D71473" w:rsidRPr="007A2781" w:rsidRDefault="00D71473" w:rsidP="009667F3">
            <w:pPr>
              <w:pStyle w:val="Header1"/>
            </w:pPr>
            <w:r w:rsidRPr="007A2781">
              <w:t>Abstract</w:t>
            </w:r>
          </w:p>
          <w:p w14:paraId="1A197108" w14:textId="77777777" w:rsidR="00CD6FAC" w:rsidRPr="007A2781" w:rsidRDefault="004F3502" w:rsidP="006063C2">
            <w:pPr>
              <w:pStyle w:val="MainText"/>
              <w:ind w:firstLine="284"/>
            </w:pPr>
            <w:r w:rsidRPr="007A2781">
              <w:t>In this work, t</w:t>
            </w:r>
            <w:r w:rsidR="006063C2" w:rsidRPr="007A2781">
              <w:t xml:space="preserve">he solubility of a high-molecular-weight homopolymer, </w:t>
            </w:r>
            <w:r w:rsidR="00AE7286" w:rsidRPr="007A2781">
              <w:t xml:space="preserve">a </w:t>
            </w:r>
            <w:r w:rsidR="006063C2" w:rsidRPr="007A2781">
              <w:t>ladder polyphenylsilsesquioxan</w:t>
            </w:r>
            <w:r w:rsidR="00A83F0D" w:rsidRPr="007A2781">
              <w:t>e</w:t>
            </w:r>
            <w:r w:rsidR="006063C2" w:rsidRPr="007A2781">
              <w:t xml:space="preserve">, was studied in </w:t>
            </w:r>
            <w:r w:rsidRPr="007A2781">
              <w:t>different</w:t>
            </w:r>
            <w:r w:rsidR="006063C2" w:rsidRPr="007A2781">
              <w:t xml:space="preserve"> classes of solvents</w:t>
            </w:r>
            <w:r w:rsidR="00F70027" w:rsidRPr="007A2781">
              <w:t>, inclu</w:t>
            </w:r>
            <w:r w:rsidR="00BD5A4D" w:rsidRPr="007A2781">
              <w:t>ding</w:t>
            </w:r>
            <w:r w:rsidR="006063C2" w:rsidRPr="007A2781">
              <w:t xml:space="preserve"> alcohols, aprotic solvents, ketones, alkanes, and aromatic hydrocarbons. The Hansen parameters and the parameter of </w:t>
            </w:r>
            <w:r w:rsidR="006A7920" w:rsidRPr="007A2781">
              <w:t>long-range</w:t>
            </w:r>
            <w:r w:rsidR="006063C2" w:rsidRPr="007A2781">
              <w:t xml:space="preserve"> interaction between the polymer and </w:t>
            </w:r>
            <w:r w:rsidR="006A7920" w:rsidRPr="007A2781">
              <w:t>the</w:t>
            </w:r>
            <w:r w:rsidR="006063C2" w:rsidRPr="007A2781">
              <w:t xml:space="preserve"> solvent </w:t>
            </w:r>
            <w:r w:rsidRPr="007A2781">
              <w:t>we</w:t>
            </w:r>
            <w:r w:rsidR="006063C2" w:rsidRPr="007A2781">
              <w:t xml:space="preserve">re analyzed. The insolubility of L-PPSQ in a wide range of solvents allows </w:t>
            </w:r>
            <w:r w:rsidR="00F70027" w:rsidRPr="007A2781">
              <w:t>for</w:t>
            </w:r>
            <w:r w:rsidR="006063C2" w:rsidRPr="007A2781">
              <w:t xml:space="preserve"> expect</w:t>
            </w:r>
            <w:r w:rsidR="00F70027" w:rsidRPr="007A2781">
              <w:t>ing</w:t>
            </w:r>
            <w:r w:rsidR="006063C2" w:rsidRPr="007A2781">
              <w:t xml:space="preserve"> that the properties of a membrane </w:t>
            </w:r>
            <w:r w:rsidR="00BD5A4D" w:rsidRPr="007A2781">
              <w:t xml:space="preserve">on its basis </w:t>
            </w:r>
            <w:r w:rsidR="006063C2" w:rsidRPr="007A2781">
              <w:t xml:space="preserve">would be stable </w:t>
            </w:r>
            <w:r w:rsidRPr="007A2781">
              <w:t>during operation i</w:t>
            </w:r>
            <w:r w:rsidR="006063C2" w:rsidRPr="007A2781">
              <w:t>n these media. At the same time, aprotic solvents are well suited for the preparation of membranes based on L-PPSQ by the solution phase inversion method</w:t>
            </w:r>
            <w:r w:rsidR="00F94740" w:rsidRPr="007A2781">
              <w:t>.</w:t>
            </w:r>
          </w:p>
        </w:tc>
        <w:tc>
          <w:tcPr>
            <w:tcW w:w="4677" w:type="dxa"/>
            <w:vAlign w:val="center"/>
          </w:tcPr>
          <w:p w14:paraId="5D11FED8" w14:textId="77777777" w:rsidR="00CD6FAC" w:rsidRPr="007A2781" w:rsidRDefault="007A2781" w:rsidP="005C7369">
            <w:pPr>
              <w:pStyle w:val="MainText"/>
              <w:ind w:firstLine="0"/>
              <w:jc w:val="center"/>
            </w:pPr>
            <w:r w:rsidRPr="007A2781">
              <w:rPr>
                <w:noProof/>
                <w:lang w:val="ru-RU" w:eastAsia="ru-RU"/>
              </w:rPr>
              <w:drawing>
                <wp:inline distT="0" distB="0" distL="0" distR="0" wp14:anchorId="78B2332F" wp14:editId="676288C2">
                  <wp:extent cx="2275205" cy="1426210"/>
                  <wp:effectExtent l="19050" t="0" r="0" b="0"/>
                  <wp:docPr id="1" name="Рисунок 1" descr="E:\Rinat\доки\журнал\статьи\2024\1\01ac\2024-09-20_16-24-34_Graphical abst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nat\доки\журнал\статьи\2024\1\01ac\2024-09-20_16-24-34_Graphical abstract.png"/>
                          <pic:cNvPicPr>
                            <a:picLocks noChangeAspect="1" noChangeArrowheads="1"/>
                          </pic:cNvPicPr>
                        </pic:nvPicPr>
                        <pic:blipFill>
                          <a:blip r:embed="rId9" cstate="print"/>
                          <a:srcRect/>
                          <a:stretch>
                            <a:fillRect/>
                          </a:stretch>
                        </pic:blipFill>
                        <pic:spPr bwMode="auto">
                          <a:xfrm>
                            <a:off x="0" y="0"/>
                            <a:ext cx="2275205" cy="1426210"/>
                          </a:xfrm>
                          <a:prstGeom prst="rect">
                            <a:avLst/>
                          </a:prstGeom>
                          <a:noFill/>
                          <a:ln w="9525">
                            <a:noFill/>
                            <a:miter lim="800000"/>
                            <a:headEnd/>
                            <a:tailEnd/>
                          </a:ln>
                        </pic:spPr>
                      </pic:pic>
                    </a:graphicData>
                  </a:graphic>
                </wp:inline>
              </w:drawing>
            </w:r>
          </w:p>
        </w:tc>
      </w:tr>
      <w:tr w:rsidR="0065245B" w:rsidRPr="00E869CF" w14:paraId="580D7B89" w14:textId="77777777" w:rsidTr="00DF4999">
        <w:tc>
          <w:tcPr>
            <w:tcW w:w="9639" w:type="dxa"/>
            <w:gridSpan w:val="4"/>
          </w:tcPr>
          <w:p w14:paraId="11CF4818" w14:textId="77777777" w:rsidR="0065245B" w:rsidRPr="007A2781" w:rsidRDefault="0065245B" w:rsidP="00930DA8">
            <w:pPr>
              <w:pStyle w:val="MainText"/>
              <w:spacing w:before="120" w:after="120"/>
              <w:ind w:firstLine="284"/>
            </w:pPr>
            <w:r w:rsidRPr="007A2781">
              <w:rPr>
                <w:b/>
              </w:rPr>
              <w:t>Key words:</w:t>
            </w:r>
            <w:r w:rsidRPr="007A2781">
              <w:t xml:space="preserve"> </w:t>
            </w:r>
            <w:r w:rsidR="006546C7" w:rsidRPr="007A2781">
              <w:t>polyphe</w:t>
            </w:r>
            <w:r w:rsidR="00BD5A4D" w:rsidRPr="007A2781">
              <w:t>n</w:t>
            </w:r>
            <w:r w:rsidR="006546C7" w:rsidRPr="007A2781">
              <w:t>ylsilsesquioxanes, solubility, Hansen parameters, membranes</w:t>
            </w:r>
            <w:r w:rsidRPr="007A2781">
              <w:t>.</w:t>
            </w:r>
          </w:p>
        </w:tc>
      </w:tr>
    </w:tbl>
    <w:p w14:paraId="1849272A" w14:textId="77777777" w:rsidR="00166162" w:rsidRPr="007A2781" w:rsidRDefault="00166162" w:rsidP="00427E5A">
      <w:pPr>
        <w:rPr>
          <w:sz w:val="20"/>
          <w:szCs w:val="20"/>
          <w:lang w:val="en-US"/>
        </w:rPr>
        <w:sectPr w:rsidR="00166162" w:rsidRPr="007A2781" w:rsidSect="007A3351">
          <w:headerReference w:type="default" r:id="rId10"/>
          <w:footerReference w:type="default" r:id="rId11"/>
          <w:endnotePr>
            <w:numFmt w:val="chicago"/>
          </w:endnotePr>
          <w:pgSz w:w="11906" w:h="16838" w:code="9"/>
          <w:pgMar w:top="1134" w:right="1134" w:bottom="1134" w:left="1134" w:header="709" w:footer="709" w:gutter="0"/>
          <w:cols w:space="282"/>
          <w:docGrid w:linePitch="360"/>
        </w:sectPr>
      </w:pPr>
    </w:p>
    <w:p w14:paraId="49703B6B" w14:textId="77777777" w:rsidR="00166162" w:rsidRPr="007A2781" w:rsidRDefault="00166162" w:rsidP="00427E5A">
      <w:pPr>
        <w:rPr>
          <w:sz w:val="20"/>
          <w:szCs w:val="20"/>
          <w:lang w:val="en-US"/>
        </w:rPr>
        <w:sectPr w:rsidR="00166162" w:rsidRPr="007A2781" w:rsidSect="00166162">
          <w:endnotePr>
            <w:numFmt w:val="chicago"/>
          </w:endnotePr>
          <w:type w:val="continuous"/>
          <w:pgSz w:w="11906" w:h="16838" w:code="9"/>
          <w:pgMar w:top="1134" w:right="1134" w:bottom="1134" w:left="1134" w:header="709" w:footer="709" w:gutter="0"/>
          <w:cols w:space="282"/>
          <w:docGrid w:linePitch="360"/>
        </w:sectPr>
      </w:pPr>
    </w:p>
    <w:p w14:paraId="71A44472" w14:textId="77777777" w:rsidR="00875175" w:rsidRPr="007A2781" w:rsidRDefault="00427E5A" w:rsidP="00791E67">
      <w:pPr>
        <w:spacing w:after="240"/>
        <w:rPr>
          <w:rFonts w:ascii="Arial" w:hAnsi="Arial" w:cs="Arial"/>
          <w:b/>
          <w:lang w:val="en-US"/>
        </w:rPr>
      </w:pPr>
      <w:r w:rsidRPr="007A2781">
        <w:rPr>
          <w:rFonts w:ascii="Arial" w:hAnsi="Arial" w:cs="Arial"/>
          <w:b/>
          <w:lang w:val="en-US"/>
        </w:rPr>
        <w:t>Introduction</w:t>
      </w:r>
    </w:p>
    <w:p w14:paraId="45E2BBAE" w14:textId="77777777" w:rsidR="009B6786" w:rsidRPr="007A2781" w:rsidRDefault="00F70027" w:rsidP="009B6786">
      <w:pPr>
        <w:pStyle w:val="MainText"/>
        <w:ind w:firstLine="284"/>
      </w:pPr>
      <w:r w:rsidRPr="007A2781">
        <w:t xml:space="preserve">Membrane separation processes </w:t>
      </w:r>
      <w:r w:rsidR="003C07DD" w:rsidRPr="007A2781">
        <w:t xml:space="preserve">hold great </w:t>
      </w:r>
      <w:r w:rsidRPr="007A2781">
        <w:t>promis</w:t>
      </w:r>
      <w:r w:rsidR="003C07DD" w:rsidRPr="007A2781">
        <w:t>e f</w:t>
      </w:r>
      <w:r w:rsidR="009B6786" w:rsidRPr="007A2781">
        <w:t>or CO</w:t>
      </w:r>
      <w:r w:rsidR="009B6786" w:rsidRPr="007A2781">
        <w:rPr>
          <w:vertAlign w:val="subscript"/>
        </w:rPr>
        <w:t>2</w:t>
      </w:r>
      <w:r w:rsidR="009B6786" w:rsidRPr="007A2781">
        <w:t xml:space="preserve"> separation and </w:t>
      </w:r>
      <w:r w:rsidR="003C07DD" w:rsidRPr="007A2781">
        <w:t xml:space="preserve">separation of </w:t>
      </w:r>
      <w:r w:rsidR="009B6786" w:rsidRPr="007A2781">
        <w:t>aromatic/aliphatic hydrocarbon</w:t>
      </w:r>
      <w:r w:rsidR="003C07DD" w:rsidRPr="007A2781">
        <w:t>s</w:t>
      </w:r>
      <w:r w:rsidR="009B6786" w:rsidRPr="007A2781">
        <w:t xml:space="preserve">. Membrane technologies can significantly reduce separation costs </w:t>
      </w:r>
      <w:r w:rsidR="003C07DD" w:rsidRPr="007A2781">
        <w:t>owing</w:t>
      </w:r>
      <w:r w:rsidR="009B6786" w:rsidRPr="007A2781">
        <w:t xml:space="preserve"> to compactness, modularity, greater separation efficiency</w:t>
      </w:r>
      <w:r w:rsidR="003C07DD" w:rsidRPr="007A2781">
        <w:t>,</w:t>
      </w:r>
      <w:r w:rsidR="009B6786" w:rsidRPr="007A2781">
        <w:t xml:space="preserve"> and reduced energy costs compared to </w:t>
      </w:r>
      <w:r w:rsidR="003E1FD8" w:rsidRPr="007A2781">
        <w:t xml:space="preserve">the </w:t>
      </w:r>
      <w:r w:rsidR="009B6786" w:rsidRPr="007A2781">
        <w:t xml:space="preserve">traditional processes. High permeability, selectivity, and stability at elevated temperatures are </w:t>
      </w:r>
      <w:r w:rsidR="003E1FD8" w:rsidRPr="007A2781">
        <w:t xml:space="preserve">the </w:t>
      </w:r>
      <w:r w:rsidR="009B6786" w:rsidRPr="007A2781">
        <w:t>key</w:t>
      </w:r>
      <w:r w:rsidR="003E1FD8" w:rsidRPr="007A2781">
        <w:t xml:space="preserve"> factors</w:t>
      </w:r>
      <w:r w:rsidR="009B6786" w:rsidRPr="007A2781">
        <w:t xml:space="preserve"> </w:t>
      </w:r>
      <w:r w:rsidR="00A83F0D" w:rsidRPr="007A2781">
        <w:t>in</w:t>
      </w:r>
      <w:r w:rsidR="009B6786" w:rsidRPr="007A2781">
        <w:t xml:space="preserve"> choosing membrane materials and developing membranes based on them.</w:t>
      </w:r>
    </w:p>
    <w:p w14:paraId="2646DC34" w14:textId="77777777" w:rsidR="009B6786" w:rsidRPr="007A2781" w:rsidRDefault="009B6786" w:rsidP="009B6786">
      <w:pPr>
        <w:pStyle w:val="MainText"/>
        <w:ind w:firstLine="284"/>
      </w:pPr>
      <w:r w:rsidRPr="007A2781">
        <w:t>A special place among polymers is occupied by ladder polyphenylsilsesquioxanes (L-PPSQ</w:t>
      </w:r>
      <w:r w:rsidR="00A83F0D" w:rsidRPr="007A2781">
        <w:t>s</w:t>
      </w:r>
      <w:r w:rsidRPr="007A2781">
        <w:t xml:space="preserve">) </w:t>
      </w:r>
      <w:r w:rsidR="00A83F0D" w:rsidRPr="007A2781">
        <w:t>that represent</w:t>
      </w:r>
      <w:r w:rsidRPr="007A2781">
        <w:t xml:space="preserve"> glassy polymers with high thermal stability (decomposition onset temperature 495</w:t>
      </w:r>
      <w:r w:rsidR="00A83F0D" w:rsidRPr="007A2781">
        <w:t xml:space="preserve"> </w:t>
      </w:r>
      <w:r w:rsidRPr="007A2781">
        <w:t xml:space="preserve">°C) even in the presence of water vapor. </w:t>
      </w:r>
      <w:r w:rsidR="00BD5A4D" w:rsidRPr="007A2781">
        <w:t>The</w:t>
      </w:r>
      <w:r w:rsidRPr="007A2781">
        <w:t xml:space="preserve"> recently developed original method for the synthesis of L-PPSQ</w:t>
      </w:r>
      <w:r w:rsidR="00066961" w:rsidRPr="007A2781">
        <w:t xml:space="preserve"> [1]</w:t>
      </w:r>
      <w:r w:rsidRPr="007A2781">
        <w:t xml:space="preserve"> </w:t>
      </w:r>
      <w:r w:rsidR="007C5850" w:rsidRPr="007A2781">
        <w:t xml:space="preserve">afforded the </w:t>
      </w:r>
      <w:r w:rsidRPr="007A2781">
        <w:t>polymer with a high molecular weight (1000000 g/mol) and, as a consequence, good mechanical (tensile strength 39 MPa and elongation at break 9%) and film-forming properties. The high thermal stability of L-PPSQ (</w:t>
      </w:r>
      <w:r w:rsidRPr="007A2781">
        <w:rPr>
          <w:i/>
          <w:iCs/>
        </w:rPr>
        <w:t>T</w:t>
      </w:r>
      <w:r w:rsidRPr="007A2781">
        <w:rPr>
          <w:vertAlign w:val="subscript"/>
        </w:rPr>
        <w:t>g</w:t>
      </w:r>
      <w:r w:rsidR="00211C14" w:rsidRPr="007A2781">
        <w:t> </w:t>
      </w:r>
      <w:r w:rsidRPr="007A2781">
        <w:t>&gt;</w:t>
      </w:r>
      <w:r w:rsidR="00211C14" w:rsidRPr="007A2781">
        <w:t> </w:t>
      </w:r>
      <w:r w:rsidRPr="007A2781">
        <w:rPr>
          <w:i/>
          <w:iCs/>
        </w:rPr>
        <w:t>T</w:t>
      </w:r>
      <w:r w:rsidRPr="007A2781">
        <w:rPr>
          <w:vertAlign w:val="subscript"/>
        </w:rPr>
        <w:t>d</w:t>
      </w:r>
      <w:r w:rsidR="00211C14" w:rsidRPr="007A2781">
        <w:t> </w:t>
      </w:r>
      <w:r w:rsidRPr="007A2781">
        <w:t>&gt;</w:t>
      </w:r>
      <w:r w:rsidR="00BD5A4D" w:rsidRPr="007A2781">
        <w:t xml:space="preserve"> </w:t>
      </w:r>
      <w:r w:rsidRPr="007A2781">
        <w:t>490</w:t>
      </w:r>
      <w:r w:rsidR="00211C14" w:rsidRPr="007A2781">
        <w:t> </w:t>
      </w:r>
      <w:r w:rsidRPr="007A2781">
        <w:t xml:space="preserve">°C) (even in the presence of water vapor) and high mechanical characteristics make this polymer unique among </w:t>
      </w:r>
      <w:r w:rsidR="007C5850" w:rsidRPr="007A2781">
        <w:t xml:space="preserve">the </w:t>
      </w:r>
      <w:r w:rsidRPr="007A2781">
        <w:t>existing membrane materials.</w:t>
      </w:r>
    </w:p>
    <w:p w14:paraId="077A7024" w14:textId="77777777" w:rsidR="00427E5A" w:rsidRPr="007A2781" w:rsidRDefault="009B6786" w:rsidP="009B6786">
      <w:pPr>
        <w:pStyle w:val="MainText"/>
        <w:ind w:firstLine="284"/>
      </w:pPr>
      <w:r w:rsidRPr="007A2781">
        <w:t>Despite the widespread use of L-PPSQ block copolymers in membrane science and technology, the solubility, mechanical and transport properties of L-PPSQ homopolymer</w:t>
      </w:r>
      <w:r w:rsidR="007C5850" w:rsidRPr="007A2781">
        <w:t>s</w:t>
      </w:r>
      <w:r w:rsidRPr="007A2781">
        <w:t xml:space="preserve"> have been largely unexplored. There is </w:t>
      </w:r>
      <w:r w:rsidR="00F0627B" w:rsidRPr="007A2781">
        <w:t xml:space="preserve">only </w:t>
      </w:r>
      <w:r w:rsidRPr="007A2781">
        <w:t xml:space="preserve">one </w:t>
      </w:r>
      <w:r w:rsidR="00F0627B" w:rsidRPr="007A2781">
        <w:t xml:space="preserve">report </w:t>
      </w:r>
      <w:r w:rsidRPr="007A2781">
        <w:t xml:space="preserve">from the early </w:t>
      </w:r>
      <w:r w:rsidR="007C5850" w:rsidRPr="007A2781">
        <w:t>19</w:t>
      </w:r>
      <w:r w:rsidRPr="007A2781">
        <w:t>90s</w:t>
      </w:r>
      <w:r w:rsidR="00F0627B" w:rsidRPr="007A2781">
        <w:t xml:space="preserve"> that deals with </w:t>
      </w:r>
      <w:r w:rsidRPr="007A2781">
        <w:t xml:space="preserve">the </w:t>
      </w:r>
      <w:r w:rsidR="00F0627B" w:rsidRPr="007A2781">
        <w:t xml:space="preserve">investigation of the </w:t>
      </w:r>
      <w:r w:rsidRPr="007A2781">
        <w:t xml:space="preserve">gas permeability of </w:t>
      </w:r>
      <w:r w:rsidR="007C5850" w:rsidRPr="007A2781">
        <w:t>L</w:t>
      </w:r>
      <w:r w:rsidRPr="007A2781">
        <w:t>-P</w:t>
      </w:r>
      <w:r w:rsidR="00F0627B" w:rsidRPr="007A2781">
        <w:t>PSQ</w:t>
      </w:r>
      <w:r w:rsidRPr="007A2781">
        <w:t xml:space="preserve"> </w:t>
      </w:r>
      <w:r w:rsidR="00066961" w:rsidRPr="007A2781">
        <w:t>[2]</w:t>
      </w:r>
      <w:r w:rsidR="00F0627B" w:rsidRPr="007A2781">
        <w:t>; h</w:t>
      </w:r>
      <w:r w:rsidRPr="007A2781">
        <w:t xml:space="preserve">owever, the structure of the polymer </w:t>
      </w:r>
      <w:r w:rsidR="007C5850" w:rsidRPr="007A2781">
        <w:t xml:space="preserve">practically </w:t>
      </w:r>
      <w:r w:rsidRPr="007A2781">
        <w:t xml:space="preserve">was not </w:t>
      </w:r>
      <w:r w:rsidR="00F0627B" w:rsidRPr="007A2781">
        <w:t>explored</w:t>
      </w:r>
      <w:r w:rsidRPr="007A2781">
        <w:t xml:space="preserve">. </w:t>
      </w:r>
      <w:r w:rsidR="00762D07" w:rsidRPr="007A2781">
        <w:t>Herein</w:t>
      </w:r>
      <w:r w:rsidR="007C5850" w:rsidRPr="007A2781">
        <w:t>,</w:t>
      </w:r>
      <w:r w:rsidRPr="007A2781">
        <w:t xml:space="preserve"> the solubility of the homopolymer in a number of organic solvents was </w:t>
      </w:r>
      <w:r w:rsidR="00AC25BB" w:rsidRPr="007A2781">
        <w:t>investigated</w:t>
      </w:r>
      <w:r w:rsidRPr="007A2781">
        <w:t xml:space="preserve">. This is necessary </w:t>
      </w:r>
      <w:r w:rsidR="00762D07" w:rsidRPr="007A2781">
        <w:t xml:space="preserve">for choosing </w:t>
      </w:r>
      <w:r w:rsidRPr="007A2781">
        <w:t>solvent</w:t>
      </w:r>
      <w:r w:rsidR="00762D07" w:rsidRPr="007A2781">
        <w:t>s</w:t>
      </w:r>
      <w:r w:rsidRPr="007A2781">
        <w:t xml:space="preserve"> </w:t>
      </w:r>
      <w:r w:rsidR="00762D07" w:rsidRPr="007A2781">
        <w:t xml:space="preserve">in the production of </w:t>
      </w:r>
      <w:r w:rsidRPr="007A2781">
        <w:t>membranes</w:t>
      </w:r>
      <w:r w:rsidR="005A3071" w:rsidRPr="005A3071">
        <w:t xml:space="preserve"> </w:t>
      </w:r>
      <w:r w:rsidRPr="007A2781">
        <w:t>as well as their application.</w:t>
      </w:r>
    </w:p>
    <w:p w14:paraId="7F2CBFDC" w14:textId="77777777" w:rsidR="00875175" w:rsidRPr="007A2781" w:rsidRDefault="00875175" w:rsidP="00943BC1">
      <w:pPr>
        <w:pStyle w:val="Header1"/>
        <w:spacing w:before="220" w:after="220"/>
      </w:pPr>
      <w:r w:rsidRPr="007A2781">
        <w:t>Results and discussion</w:t>
      </w:r>
    </w:p>
    <w:p w14:paraId="72C95042" w14:textId="77777777" w:rsidR="00075EFB" w:rsidRPr="007A2781" w:rsidRDefault="00075EFB" w:rsidP="00075EFB">
      <w:pPr>
        <w:pStyle w:val="MainText"/>
        <w:ind w:firstLine="284"/>
      </w:pPr>
      <w:r w:rsidRPr="007A2781">
        <w:t xml:space="preserve">At the first stage, the solubility of L-PPSQ in </w:t>
      </w:r>
      <w:r w:rsidR="005E6852" w:rsidRPr="007A2781">
        <w:t>seven</w:t>
      </w:r>
      <w:r w:rsidRPr="007A2781">
        <w:t xml:space="preserve"> organic solvents of various natures (chloroform, benzene, </w:t>
      </w:r>
      <w:r w:rsidR="00EC0AD4" w:rsidRPr="007A2781">
        <w:rPr>
          <w:i/>
          <w:iCs/>
        </w:rPr>
        <w:t>N</w:t>
      </w:r>
      <w:r w:rsidRPr="007A2781">
        <w:t>-methylpyrrolidone</w:t>
      </w:r>
      <w:r w:rsidR="00EC0AD4" w:rsidRPr="007A2781">
        <w:t xml:space="preserve"> (NMP)</w:t>
      </w:r>
      <w:r w:rsidRPr="007A2781">
        <w:t xml:space="preserve">, dimethylacetamide, hexane, acetone, </w:t>
      </w:r>
      <w:r w:rsidR="00066961" w:rsidRPr="007A2781">
        <w:t xml:space="preserve">and </w:t>
      </w:r>
      <w:r w:rsidRPr="007A2781">
        <w:t xml:space="preserve">ethanol) and two organic mixtures (benzene/ethanol of </w:t>
      </w:r>
      <w:r w:rsidR="00066961" w:rsidRPr="007A2781">
        <w:t xml:space="preserve">different </w:t>
      </w:r>
      <w:r w:rsidRPr="007A2781">
        <w:t>compositions) was studied and their Hansen solubility parameters were analyzed (Fig</w:t>
      </w:r>
      <w:r w:rsidR="00066961" w:rsidRPr="007A2781">
        <w:t>.</w:t>
      </w:r>
      <w:r w:rsidRPr="007A2781">
        <w:t xml:space="preserve"> 1)</w:t>
      </w:r>
      <w:r w:rsidR="00066961" w:rsidRPr="007A2781">
        <w:t xml:space="preserve"> [3]</w:t>
      </w:r>
      <w:r w:rsidRPr="007A2781">
        <w:t xml:space="preserve">. L-PPSQ </w:t>
      </w:r>
      <w:r w:rsidR="00762D07" w:rsidRPr="007A2781">
        <w:t xml:space="preserve">under investigation </w:t>
      </w:r>
      <w:r w:rsidRPr="007A2781">
        <w:t>ha</w:t>
      </w:r>
      <w:r w:rsidR="00762D07" w:rsidRPr="007A2781">
        <w:t>d</w:t>
      </w:r>
      <w:r w:rsidRPr="007A2781">
        <w:t xml:space="preserve"> the following molecular</w:t>
      </w:r>
      <w:r w:rsidR="00066961" w:rsidRPr="007A2781">
        <w:t>-</w:t>
      </w:r>
      <w:r w:rsidRPr="007A2781">
        <w:t xml:space="preserve">weight characteristics: </w:t>
      </w:r>
      <w:r w:rsidRPr="007A2781">
        <w:rPr>
          <w:i/>
        </w:rPr>
        <w:t>M</w:t>
      </w:r>
      <w:r w:rsidR="00066961" w:rsidRPr="007A2781">
        <w:rPr>
          <w:iCs/>
          <w:vertAlign w:val="subscript"/>
        </w:rPr>
        <w:t>w</w:t>
      </w:r>
      <w:r w:rsidRPr="007A2781">
        <w:t xml:space="preserve"> = 1057 kg/mol, </w:t>
      </w:r>
      <w:r w:rsidR="00066961" w:rsidRPr="007A2781">
        <w:rPr>
          <w:i/>
          <w:iCs/>
        </w:rPr>
        <w:t>M</w:t>
      </w:r>
      <w:r w:rsidR="00066961" w:rsidRPr="007A2781">
        <w:rPr>
          <w:vertAlign w:val="subscript"/>
        </w:rPr>
        <w:t>p</w:t>
      </w:r>
      <w:r w:rsidRPr="007A2781">
        <w:t xml:space="preserve"> = 1731 kg/mol, </w:t>
      </w:r>
      <w:r w:rsidR="00066961" w:rsidRPr="007A2781">
        <w:rPr>
          <w:i/>
          <w:iCs/>
        </w:rPr>
        <w:t>M</w:t>
      </w:r>
      <w:r w:rsidR="00066961" w:rsidRPr="007A2781">
        <w:rPr>
          <w:vertAlign w:val="subscript"/>
        </w:rPr>
        <w:t>n</w:t>
      </w:r>
      <w:r w:rsidRPr="007A2781">
        <w:t xml:space="preserve"> = 344 kg/mol. </w:t>
      </w:r>
      <w:r w:rsidR="00066961" w:rsidRPr="007A2781">
        <w:t>The s</w:t>
      </w:r>
      <w:r w:rsidRPr="007A2781">
        <w:t>olubility parameters (</w:t>
      </w:r>
      <w:r w:rsidRPr="007A2781">
        <w:rPr>
          <w:i/>
          <w:iCs/>
          <w:lang w:val="ru-RU"/>
        </w:rPr>
        <w:t>δ</w:t>
      </w:r>
      <w:r w:rsidRPr="007A2781">
        <w:t xml:space="preserve">) were calculated taking into account </w:t>
      </w:r>
      <w:r w:rsidR="00066961" w:rsidRPr="007A2781">
        <w:t xml:space="preserve">the </w:t>
      </w:r>
      <w:r w:rsidRPr="007A2781">
        <w:t>group contributions using equations (1</w:t>
      </w:r>
      <w:r w:rsidR="00066961" w:rsidRPr="007A2781">
        <w:t>–</w:t>
      </w:r>
      <w:r w:rsidRPr="007A2781">
        <w:t>3):</w:t>
      </w:r>
    </w:p>
    <w:p w14:paraId="3018DF33" w14:textId="77777777" w:rsidR="00075EFB" w:rsidRPr="007A2781" w:rsidRDefault="00075EFB" w:rsidP="00943BC1">
      <w:pPr>
        <w:pStyle w:val="MainText"/>
        <w:tabs>
          <w:tab w:val="left" w:pos="3686"/>
        </w:tabs>
        <w:spacing w:before="100"/>
        <w:ind w:firstLine="1418"/>
        <w:jc w:val="left"/>
      </w:pPr>
      <m:oMath>
        <m:r>
          <w:rPr>
            <w:rFonts w:ascii="Cambria Math" w:hAnsi="Cambria Math"/>
            <w:lang w:val="ru-RU"/>
          </w:rPr>
          <m:t>δ</m:t>
        </m:r>
        <m:r>
          <w:rPr>
            <w:rFonts w:ascii="Cambria Math" w:hAnsi="Cambria Math"/>
          </w:rPr>
          <m:t>=</m:t>
        </m:r>
        <m:rad>
          <m:radPr>
            <m:degHide m:val="1"/>
            <m:ctrlPr>
              <w:rPr>
                <w:rFonts w:ascii="Cambria Math" w:hAnsi="Cambria Math"/>
                <w:i/>
                <w:lang w:val="ru-RU"/>
              </w:rPr>
            </m:ctrlPr>
          </m:radPr>
          <m:deg/>
          <m:e>
            <m:f>
              <m:fPr>
                <m:ctrlPr>
                  <w:rPr>
                    <w:rFonts w:ascii="Cambria Math" w:hAnsi="Cambria Math"/>
                    <w:i/>
                    <w:lang w:val="ru-RU"/>
                  </w:rPr>
                </m:ctrlPr>
              </m:fPr>
              <m:num>
                <m:nary>
                  <m:naryPr>
                    <m:chr m:val="∑"/>
                    <m:limLoc m:val="undOvr"/>
                    <m:supHide m:val="1"/>
                    <m:ctrlPr>
                      <w:rPr>
                        <w:rFonts w:ascii="Cambria Math" w:hAnsi="Cambria Math"/>
                        <w:i/>
                        <w:lang w:val="ru-RU"/>
                      </w:rPr>
                    </m:ctrlPr>
                  </m:naryPr>
                  <m:sub>
                    <m:r>
                      <w:rPr>
                        <w:rFonts w:ascii="Cambria Math" w:hAnsi="Cambria Math"/>
                        <w:lang w:val="ru-RU"/>
                      </w:rPr>
                      <m:t>i</m:t>
                    </m:r>
                  </m:sub>
                  <m:sup/>
                  <m:e>
                    <m:sSubSup>
                      <m:sSubSupPr>
                        <m:ctrlPr>
                          <w:rPr>
                            <w:rFonts w:ascii="Cambria Math" w:hAnsi="Cambria Math"/>
                            <w:i/>
                            <w:lang w:val="ru-RU"/>
                          </w:rPr>
                        </m:ctrlPr>
                      </m:sSubSupPr>
                      <m:e>
                        <m:r>
                          <w:rPr>
                            <w:rFonts w:ascii="Cambria Math" w:hAnsi="Cambria Math"/>
                            <w:lang w:val="ru-RU"/>
                          </w:rPr>
                          <m:t>E</m:t>
                        </m:r>
                      </m:e>
                      <m:sub>
                        <m:r>
                          <w:rPr>
                            <w:rFonts w:ascii="Cambria Math" w:hAnsi="Cambria Math"/>
                            <w:lang w:val="ru-RU"/>
                          </w:rPr>
                          <m:t>co</m:t>
                        </m:r>
                        <m:r>
                          <w:rPr>
                            <w:rFonts w:ascii="Cambria Math" w:hAnsi="Cambria Math"/>
                          </w:rPr>
                          <m:t>h</m:t>
                        </m:r>
                      </m:sub>
                      <m:sup>
                        <m:r>
                          <w:rPr>
                            <w:rFonts w:ascii="Cambria Math" w:hAnsi="Cambria Math"/>
                            <w:lang w:val="ru-RU"/>
                          </w:rPr>
                          <m:t>i</m:t>
                        </m:r>
                      </m:sup>
                    </m:sSubSup>
                  </m:e>
                </m:nary>
              </m:num>
              <m:den>
                <m:nary>
                  <m:naryPr>
                    <m:chr m:val="∑"/>
                    <m:limLoc m:val="subSup"/>
                    <m:supHide m:val="1"/>
                    <m:ctrlPr>
                      <w:rPr>
                        <w:rFonts w:ascii="Cambria Math" w:hAnsi="Cambria Math"/>
                        <w:i/>
                        <w:lang w:val="ru-RU"/>
                      </w:rPr>
                    </m:ctrlPr>
                  </m:naryPr>
                  <m:sub>
                    <m:r>
                      <w:rPr>
                        <w:rFonts w:ascii="Cambria Math" w:hAnsi="Cambria Math"/>
                        <w:lang w:val="ru-RU"/>
                      </w:rPr>
                      <m:t>i</m:t>
                    </m:r>
                  </m:sub>
                  <m:sup/>
                  <m:e>
                    <m:sSubSup>
                      <m:sSubSupPr>
                        <m:ctrlPr>
                          <w:rPr>
                            <w:rFonts w:ascii="Cambria Math" w:hAnsi="Cambria Math"/>
                            <w:i/>
                            <w:lang w:val="ru-RU"/>
                          </w:rPr>
                        </m:ctrlPr>
                      </m:sSubSupPr>
                      <m:e>
                        <m:r>
                          <w:rPr>
                            <w:rFonts w:ascii="Cambria Math" w:hAnsi="Cambria Math"/>
                            <w:lang w:val="ru-RU"/>
                          </w:rPr>
                          <m:t>V</m:t>
                        </m:r>
                      </m:e>
                      <m:sub>
                        <m:r>
                          <w:rPr>
                            <w:rFonts w:ascii="Cambria Math" w:hAnsi="Cambria Math"/>
                            <w:lang w:val="ru-RU"/>
                          </w:rPr>
                          <m:t>m</m:t>
                        </m:r>
                      </m:sub>
                      <m:sup>
                        <m:r>
                          <w:rPr>
                            <w:rFonts w:ascii="Cambria Math" w:hAnsi="Cambria Math"/>
                            <w:lang w:val="ru-RU"/>
                          </w:rPr>
                          <m:t>i</m:t>
                        </m:r>
                      </m:sup>
                    </m:sSubSup>
                  </m:e>
                </m:nary>
              </m:den>
            </m:f>
          </m:e>
        </m:rad>
      </m:oMath>
      <w:r w:rsidRPr="007A2781">
        <w:tab/>
        <w:t>(1)</w:t>
      </w:r>
    </w:p>
    <w:p w14:paraId="45377EAB" w14:textId="77777777" w:rsidR="00075EFB" w:rsidRPr="007A2781" w:rsidRDefault="00000000" w:rsidP="009F3918">
      <w:pPr>
        <w:pStyle w:val="MainText"/>
        <w:tabs>
          <w:tab w:val="left" w:pos="3686"/>
        </w:tabs>
        <w:ind w:firstLine="1418"/>
        <w:jc w:val="left"/>
      </w:pPr>
      <m:oMath>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co</m:t>
            </m:r>
            <m:r>
              <w:rPr>
                <w:rFonts w:ascii="Cambria Math" w:hAnsi="Cambria Math"/>
              </w:rPr>
              <m:t>h</m:t>
            </m:r>
          </m:sub>
        </m:sSub>
        <m:r>
          <w:rPr>
            <w:rFonts w:ascii="Cambria Math" w:hAnsi="Cambria Math"/>
          </w:rPr>
          <m:t>=</m:t>
        </m:r>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d</m:t>
            </m:r>
          </m:sub>
        </m:sSub>
        <m:r>
          <w:rPr>
            <w:rFonts w:ascii="Cambria Math" w:hAnsi="Cambria Math"/>
          </w:rPr>
          <m:t>+</m:t>
        </m:r>
        <m:sSub>
          <m:sSubPr>
            <m:ctrlPr>
              <w:rPr>
                <w:rFonts w:ascii="Cambria Math" w:hAnsi="Cambria Math"/>
                <w:i/>
                <w:lang w:val="ru-RU"/>
              </w:rPr>
            </m:ctrlPr>
          </m:sSubPr>
          <m:e>
            <m:r>
              <w:rPr>
                <w:rFonts w:ascii="Cambria Math" w:hAnsi="Cambria Math"/>
                <w:lang w:val="ru-RU"/>
              </w:rPr>
              <m:t>E</m:t>
            </m:r>
          </m:e>
          <m:sub>
            <m:r>
              <w:rPr>
                <w:rFonts w:ascii="Cambria Math" w:hAnsi="Cambria Math"/>
                <w:lang w:val="ru-RU"/>
              </w:rPr>
              <m:t>p</m:t>
            </m:r>
          </m:sub>
        </m:sSub>
        <m:r>
          <w:rPr>
            <w:rFonts w:ascii="Cambria Math" w:hAnsi="Cambria Math"/>
          </w:rPr>
          <m:t>+</m:t>
        </m:r>
        <m:sSub>
          <m:sSubPr>
            <m:ctrlPr>
              <w:rPr>
                <w:rFonts w:ascii="Cambria Math" w:hAnsi="Cambria Math"/>
                <w:i/>
                <w:lang w:val="ru-RU"/>
              </w:rPr>
            </m:ctrlPr>
          </m:sSubPr>
          <m:e>
            <m:r>
              <w:rPr>
                <w:rFonts w:ascii="Cambria Math" w:hAnsi="Cambria Math"/>
                <w:lang w:val="ru-RU"/>
              </w:rPr>
              <m:t>E</m:t>
            </m:r>
          </m:e>
          <m:sub>
            <m:r>
              <w:rPr>
                <w:rFonts w:ascii="Cambria Math" w:hAnsi="Cambria Math"/>
              </w:rPr>
              <m:t>h</m:t>
            </m:r>
          </m:sub>
        </m:sSub>
      </m:oMath>
      <w:r w:rsidR="00075EFB" w:rsidRPr="007A2781">
        <w:tab/>
        <w:t>(2)</w:t>
      </w:r>
    </w:p>
    <w:p w14:paraId="7D034979" w14:textId="77777777" w:rsidR="00075EFB" w:rsidRPr="007A2781" w:rsidRDefault="00000000" w:rsidP="009F3918">
      <w:pPr>
        <w:pStyle w:val="MainText"/>
        <w:tabs>
          <w:tab w:val="left" w:pos="3686"/>
        </w:tabs>
        <w:spacing w:after="120"/>
        <w:ind w:firstLine="1418"/>
        <w:jc w:val="left"/>
      </w:pPr>
      <m:oMath>
        <m:sSup>
          <m:sSupPr>
            <m:ctrlPr>
              <w:rPr>
                <w:rFonts w:ascii="Cambria Math" w:hAnsi="Cambria Math"/>
                <w:i/>
                <w:lang w:val="ru-RU"/>
              </w:rPr>
            </m:ctrlPr>
          </m:sSupPr>
          <m:e>
            <m:r>
              <w:rPr>
                <w:rFonts w:ascii="Cambria Math" w:hAnsi="Cambria Math"/>
                <w:lang w:val="ru-RU"/>
              </w:rPr>
              <m:t>δ</m:t>
            </m:r>
          </m:e>
          <m:sup>
            <m:r>
              <w:rPr>
                <w:rFonts w:ascii="Cambria Math" w:hAnsi="Cambria Math"/>
              </w:rPr>
              <m:t>2</m:t>
            </m:r>
          </m:sup>
        </m:sSup>
        <m:r>
          <w:rPr>
            <w:rFonts w:ascii="Cambria Math" w:hAnsi="Cambria Math"/>
          </w:rPr>
          <m:t>=</m:t>
        </m:r>
        <m:sSubSup>
          <m:sSubSupPr>
            <m:ctrlPr>
              <w:rPr>
                <w:rFonts w:ascii="Cambria Math" w:hAnsi="Cambria Math"/>
                <w:i/>
                <w:lang w:val="ru-RU"/>
              </w:rPr>
            </m:ctrlPr>
          </m:sSubSupPr>
          <m:e>
            <m:r>
              <w:rPr>
                <w:rFonts w:ascii="Cambria Math" w:hAnsi="Cambria Math"/>
                <w:lang w:val="ru-RU"/>
              </w:rPr>
              <m:t>δ</m:t>
            </m:r>
          </m:e>
          <m:sub>
            <m:r>
              <w:rPr>
                <w:rFonts w:ascii="Cambria Math" w:hAnsi="Cambria Math"/>
                <w:lang w:val="ru-RU"/>
              </w:rPr>
              <m:t>d</m:t>
            </m:r>
          </m:sub>
          <m:sup>
            <m:r>
              <w:rPr>
                <w:rFonts w:ascii="Cambria Math" w:hAnsi="Cambria Math"/>
              </w:rPr>
              <m:t>2</m:t>
            </m:r>
          </m:sup>
        </m:sSubSup>
        <m:r>
          <w:rPr>
            <w:rFonts w:ascii="Cambria Math" w:hAnsi="Cambria Math"/>
          </w:rPr>
          <m:t>+</m:t>
        </m:r>
        <m:sSubSup>
          <m:sSubSupPr>
            <m:ctrlPr>
              <w:rPr>
                <w:rFonts w:ascii="Cambria Math" w:hAnsi="Cambria Math"/>
                <w:i/>
                <w:lang w:val="ru-RU"/>
              </w:rPr>
            </m:ctrlPr>
          </m:sSubSupPr>
          <m:e>
            <m:r>
              <w:rPr>
                <w:rFonts w:ascii="Cambria Math" w:hAnsi="Cambria Math"/>
                <w:lang w:val="ru-RU"/>
              </w:rPr>
              <m:t>δ</m:t>
            </m:r>
          </m:e>
          <m:sub>
            <m:r>
              <w:rPr>
                <w:rFonts w:ascii="Cambria Math" w:hAnsi="Cambria Math"/>
                <w:lang w:val="ru-RU"/>
              </w:rPr>
              <m:t>p</m:t>
            </m:r>
          </m:sub>
          <m:sup>
            <m:r>
              <w:rPr>
                <w:rFonts w:ascii="Cambria Math" w:hAnsi="Cambria Math"/>
              </w:rPr>
              <m:t>2</m:t>
            </m:r>
          </m:sup>
        </m:sSubSup>
        <m:r>
          <w:rPr>
            <w:rFonts w:ascii="Cambria Math" w:hAnsi="Cambria Math"/>
          </w:rPr>
          <m:t>+</m:t>
        </m:r>
        <m:sSubSup>
          <m:sSubSupPr>
            <m:ctrlPr>
              <w:rPr>
                <w:rFonts w:ascii="Cambria Math" w:hAnsi="Cambria Math"/>
                <w:i/>
                <w:lang w:val="ru-RU"/>
              </w:rPr>
            </m:ctrlPr>
          </m:sSubSupPr>
          <m:e>
            <m:r>
              <w:rPr>
                <w:rFonts w:ascii="Cambria Math" w:hAnsi="Cambria Math"/>
                <w:lang w:val="ru-RU"/>
              </w:rPr>
              <m:t>δ</m:t>
            </m:r>
          </m:e>
          <m:sub>
            <m:r>
              <w:rPr>
                <w:rFonts w:ascii="Cambria Math" w:hAnsi="Cambria Math"/>
              </w:rPr>
              <m:t>h</m:t>
            </m:r>
          </m:sub>
          <m:sup>
            <m:r>
              <w:rPr>
                <w:rFonts w:ascii="Cambria Math" w:hAnsi="Cambria Math"/>
              </w:rPr>
              <m:t>2</m:t>
            </m:r>
          </m:sup>
        </m:sSubSup>
      </m:oMath>
      <w:r w:rsidR="00DC478B" w:rsidRPr="007A2781">
        <w:rPr>
          <w:rFonts w:eastAsiaTheme="minorEastAsia"/>
        </w:rPr>
        <w:t>,</w:t>
      </w:r>
      <w:r w:rsidR="00075EFB" w:rsidRPr="007A2781">
        <w:tab/>
        <w:t>(3)</w:t>
      </w:r>
    </w:p>
    <w:p w14:paraId="0226A19E" w14:textId="77777777" w:rsidR="00075EFB" w:rsidRPr="007A2781" w:rsidRDefault="00066961" w:rsidP="00075EFB">
      <w:pPr>
        <w:pStyle w:val="MainText"/>
        <w:ind w:firstLine="0"/>
      </w:pPr>
      <w:r w:rsidRPr="007A2781">
        <w:t>w</w:t>
      </w:r>
      <w:r w:rsidR="00075EFB" w:rsidRPr="007A2781">
        <w:t>here</w:t>
      </w:r>
      <w:r w:rsidRPr="007A2781">
        <w:t xml:space="preserve"> </w:t>
      </w:r>
      <w:r w:rsidRPr="007A2781">
        <w:rPr>
          <w:i/>
          <w:iCs/>
        </w:rPr>
        <w:t>E</w:t>
      </w:r>
      <w:r w:rsidRPr="007A2781">
        <w:rPr>
          <w:vertAlign w:val="subscript"/>
        </w:rPr>
        <w:t>coh</w:t>
      </w:r>
      <w:r w:rsidRPr="007A2781">
        <w:t xml:space="preserve"> </w:t>
      </w:r>
      <w:r w:rsidR="00075EFB" w:rsidRPr="007A2781">
        <w:t>is the cohesion energy,</w:t>
      </w:r>
      <w:r w:rsidR="006159D4" w:rsidRPr="007A2781">
        <w:t xml:space="preserve"> </w:t>
      </w:r>
      <w:r w:rsidR="006159D4" w:rsidRPr="007A2781">
        <w:rPr>
          <w:i/>
          <w:iCs/>
        </w:rPr>
        <w:t>V</w:t>
      </w:r>
      <w:r w:rsidR="006159D4" w:rsidRPr="007A2781">
        <w:rPr>
          <w:vertAlign w:val="subscript"/>
        </w:rPr>
        <w:t>m</w:t>
      </w:r>
      <w:r w:rsidR="00075EFB" w:rsidRPr="007A2781">
        <w:t xml:space="preserve"> is the molar volume of the </w:t>
      </w:r>
      <w:r w:rsidR="00075EFB" w:rsidRPr="007A2781">
        <w:rPr>
          <w:i/>
          <w:iCs/>
        </w:rPr>
        <w:t>i</w:t>
      </w:r>
      <w:r w:rsidR="00075EFB" w:rsidRPr="007A2781">
        <w:t>-th functional group of the molecule,</w:t>
      </w:r>
      <w:r w:rsidR="006159D4" w:rsidRPr="007A2781">
        <w:t xml:space="preserve"> </w:t>
      </w:r>
      <w:r w:rsidR="006159D4" w:rsidRPr="007A2781">
        <w:rPr>
          <w:i/>
          <w:iCs/>
        </w:rPr>
        <w:t>E</w:t>
      </w:r>
      <w:r w:rsidR="006159D4" w:rsidRPr="007A2781">
        <w:rPr>
          <w:vertAlign w:val="subscript"/>
        </w:rPr>
        <w:t>d</w:t>
      </w:r>
      <w:r w:rsidR="00075EFB" w:rsidRPr="007A2781">
        <w:t xml:space="preserve"> is the dispersion component of energy,</w:t>
      </w:r>
      <w:r w:rsidR="006159D4" w:rsidRPr="007A2781">
        <w:t xml:space="preserve"> </w:t>
      </w:r>
      <w:r w:rsidR="006159D4" w:rsidRPr="007A2781">
        <w:rPr>
          <w:i/>
          <w:iCs/>
        </w:rPr>
        <w:t>E</w:t>
      </w:r>
      <w:r w:rsidR="006159D4" w:rsidRPr="007A2781">
        <w:rPr>
          <w:vertAlign w:val="subscript"/>
        </w:rPr>
        <w:t>p</w:t>
      </w:r>
      <w:r w:rsidR="006159D4" w:rsidRPr="007A2781">
        <w:t xml:space="preserve"> </w:t>
      </w:r>
      <w:r w:rsidR="00075EFB" w:rsidRPr="007A2781">
        <w:t>is the polar component of energy,</w:t>
      </w:r>
      <w:r w:rsidR="006159D4" w:rsidRPr="007A2781">
        <w:rPr>
          <w:rFonts w:eastAsiaTheme="minorEastAsia"/>
        </w:rPr>
        <w:t xml:space="preserve"> </w:t>
      </w:r>
      <w:r w:rsidR="006159D4" w:rsidRPr="007A2781">
        <w:rPr>
          <w:rFonts w:eastAsiaTheme="minorEastAsia"/>
          <w:i/>
          <w:iCs/>
        </w:rPr>
        <w:t>E</w:t>
      </w:r>
      <w:r w:rsidR="006159D4" w:rsidRPr="007A2781">
        <w:rPr>
          <w:rFonts w:eastAsiaTheme="minorEastAsia"/>
          <w:vertAlign w:val="subscript"/>
        </w:rPr>
        <w:t>h</w:t>
      </w:r>
      <w:r w:rsidR="00075EFB" w:rsidRPr="007A2781">
        <w:t xml:space="preserve"> is the energy of hydrogen bonds,</w:t>
      </w:r>
      <w:r w:rsidR="006159D4" w:rsidRPr="007A2781">
        <w:t xml:space="preserve"> </w:t>
      </w:r>
      <w:r w:rsidR="006159D4" w:rsidRPr="007A2781">
        <w:rPr>
          <w:i/>
          <w:iCs/>
        </w:rPr>
        <w:t>δ</w:t>
      </w:r>
      <w:r w:rsidR="006159D4" w:rsidRPr="007A2781">
        <w:rPr>
          <w:vertAlign w:val="subscript"/>
        </w:rPr>
        <w:t>d</w:t>
      </w:r>
      <w:r w:rsidR="00075EFB" w:rsidRPr="007A2781">
        <w:t xml:space="preserve"> is the contribution of </w:t>
      </w:r>
      <w:r w:rsidR="00075EFB" w:rsidRPr="007A2781">
        <w:lastRenderedPageBreak/>
        <w:t>dispersion interaction,</w:t>
      </w:r>
      <w:r w:rsidR="006159D4" w:rsidRPr="007A2781">
        <w:t xml:space="preserve"> </w:t>
      </w:r>
      <w:r w:rsidR="006159D4" w:rsidRPr="007A2781">
        <w:rPr>
          <w:i/>
          <w:iCs/>
        </w:rPr>
        <w:t>δ</w:t>
      </w:r>
      <w:r w:rsidR="006159D4" w:rsidRPr="007A2781">
        <w:rPr>
          <w:vertAlign w:val="subscript"/>
        </w:rPr>
        <w:t>p</w:t>
      </w:r>
      <w:r w:rsidR="006159D4" w:rsidRPr="007A2781">
        <w:t xml:space="preserve"> </w:t>
      </w:r>
      <w:r w:rsidR="00075EFB" w:rsidRPr="007A2781">
        <w:t>is the contribution of polar interaction, and</w:t>
      </w:r>
      <w:r w:rsidR="006159D4" w:rsidRPr="007A2781">
        <w:t xml:space="preserve"> </w:t>
      </w:r>
      <w:r w:rsidR="006159D4" w:rsidRPr="007A2781">
        <w:rPr>
          <w:i/>
          <w:iCs/>
        </w:rPr>
        <w:t>δ</w:t>
      </w:r>
      <w:r w:rsidR="006159D4" w:rsidRPr="007A2781">
        <w:rPr>
          <w:vertAlign w:val="subscript"/>
        </w:rPr>
        <w:t>h</w:t>
      </w:r>
      <w:r w:rsidR="00075EFB" w:rsidRPr="007A2781">
        <w:t xml:space="preserve"> is the contribution of hydrogen bonds.</w:t>
      </w:r>
    </w:p>
    <w:p w14:paraId="1F12EB37" w14:textId="77777777" w:rsidR="00075EFB" w:rsidRPr="007A2781" w:rsidRDefault="00075EFB" w:rsidP="009F3918">
      <w:pPr>
        <w:pStyle w:val="MainText"/>
        <w:spacing w:before="200"/>
        <w:ind w:firstLine="0"/>
        <w:jc w:val="center"/>
        <w:rPr>
          <w:lang w:val="ru-RU"/>
        </w:rPr>
      </w:pPr>
      <w:r w:rsidRPr="007A2781">
        <w:rPr>
          <w:noProof/>
          <w:lang w:val="ru-RU" w:eastAsia="ru-RU"/>
        </w:rPr>
        <w:drawing>
          <wp:inline distT="0" distB="0" distL="0" distR="0" wp14:anchorId="4A256FE4" wp14:editId="19424982">
            <wp:extent cx="2405743" cy="168951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3926" cy="1702286"/>
                    </a:xfrm>
                    <a:prstGeom prst="rect">
                      <a:avLst/>
                    </a:prstGeom>
                    <a:noFill/>
                  </pic:spPr>
                </pic:pic>
              </a:graphicData>
            </a:graphic>
          </wp:inline>
        </w:drawing>
      </w:r>
    </w:p>
    <w:p w14:paraId="33D65508" w14:textId="77777777" w:rsidR="00075EFB" w:rsidRPr="007A2781" w:rsidRDefault="00075EFB" w:rsidP="00075EFB">
      <w:pPr>
        <w:pStyle w:val="MainText"/>
        <w:spacing w:before="120" w:after="200"/>
        <w:ind w:firstLine="0"/>
        <w:rPr>
          <w:sz w:val="16"/>
          <w:szCs w:val="16"/>
        </w:rPr>
      </w:pPr>
      <w:r w:rsidRPr="007A2781">
        <w:rPr>
          <w:b/>
          <w:sz w:val="16"/>
          <w:szCs w:val="16"/>
        </w:rPr>
        <w:t>Figure 1</w:t>
      </w:r>
      <w:r w:rsidRPr="007A2781">
        <w:rPr>
          <w:sz w:val="16"/>
          <w:szCs w:val="16"/>
        </w:rPr>
        <w:t xml:space="preserve">. Comparison of </w:t>
      </w:r>
      <w:r w:rsidR="006159D4" w:rsidRPr="007A2781">
        <w:rPr>
          <w:sz w:val="16"/>
          <w:szCs w:val="16"/>
        </w:rPr>
        <w:t xml:space="preserve">the </w:t>
      </w:r>
      <w:r w:rsidRPr="007A2781">
        <w:rPr>
          <w:sz w:val="16"/>
          <w:szCs w:val="16"/>
        </w:rPr>
        <w:t>Hansen solubility parameters for L</w:t>
      </w:r>
      <w:r w:rsidR="006159D4" w:rsidRPr="007A2781">
        <w:rPr>
          <w:sz w:val="16"/>
          <w:szCs w:val="16"/>
        </w:rPr>
        <w:t>-</w:t>
      </w:r>
      <w:r w:rsidRPr="007A2781">
        <w:rPr>
          <w:sz w:val="16"/>
          <w:szCs w:val="16"/>
        </w:rPr>
        <w:t>PPSQ and its solvents.</w:t>
      </w:r>
    </w:p>
    <w:p w14:paraId="4088D94A" w14:textId="77777777" w:rsidR="00075EFB" w:rsidRPr="007A2781" w:rsidRDefault="00075EFB" w:rsidP="00075EFB">
      <w:pPr>
        <w:pStyle w:val="MainText"/>
        <w:ind w:firstLine="284"/>
      </w:pPr>
      <w:r w:rsidRPr="007A2781">
        <w:t>In Fig</w:t>
      </w:r>
      <w:r w:rsidR="00C06128" w:rsidRPr="007A2781">
        <w:t>.</w:t>
      </w:r>
      <w:r w:rsidRPr="007A2781">
        <w:t xml:space="preserve"> 1, the solvents (chloroform, benzene and polar aprotic amide solvents NMP and DMA) for L-PPSQ are highlighted in green. Solvents (hexane, acetone</w:t>
      </w:r>
      <w:r w:rsidR="00225F17">
        <w:t>,</w:t>
      </w:r>
      <w:r w:rsidRPr="007A2781">
        <w:t xml:space="preserve"> ethanol</w:t>
      </w:r>
      <w:r w:rsidR="00225F17">
        <w:t>,</w:t>
      </w:r>
      <w:r w:rsidRPr="007A2781">
        <w:t xml:space="preserve"> and mixtures of hexane and benzene) in which L-PPSQ is insoluble are highlighted in purple. This behavior is characteristic of PPSQ. </w:t>
      </w:r>
      <w:r w:rsidR="00C06128" w:rsidRPr="007A2781">
        <w:t xml:space="preserve">Different research </w:t>
      </w:r>
      <w:r w:rsidRPr="007A2781">
        <w:t xml:space="preserve">groups </w:t>
      </w:r>
      <w:r w:rsidR="00762D07" w:rsidRPr="007A2781">
        <w:t>reported</w:t>
      </w:r>
      <w:r w:rsidRPr="007A2781">
        <w:t xml:space="preserve"> the solubility of materials of this class in benzene, chloroform and aprotic solvents (THF, DMF) and their insolubility in ketones, alcohols, ether</w:t>
      </w:r>
      <w:r w:rsidR="00C06128" w:rsidRPr="007A2781">
        <w:t>s</w:t>
      </w:r>
      <w:r w:rsidRPr="007A2781">
        <w:t xml:space="preserve">, and saturated cyclic and aliphatic hydrocarbons [4]. The insolubility of L-PPSQ in a wide range of solvents allows </w:t>
      </w:r>
      <w:r w:rsidR="00C06128" w:rsidRPr="007A2781">
        <w:t xml:space="preserve">for </w:t>
      </w:r>
      <w:r w:rsidRPr="007A2781">
        <w:t>expect</w:t>
      </w:r>
      <w:r w:rsidR="00C06128" w:rsidRPr="007A2781">
        <w:t>ing</w:t>
      </w:r>
      <w:r w:rsidRPr="007A2781">
        <w:t xml:space="preserve"> that the properties of</w:t>
      </w:r>
      <w:r w:rsidR="006A7920" w:rsidRPr="007A2781">
        <w:t xml:space="preserve"> a</w:t>
      </w:r>
      <w:r w:rsidRPr="007A2781">
        <w:t xml:space="preserve"> membrane</w:t>
      </w:r>
      <w:r w:rsidR="006A7920" w:rsidRPr="007A2781">
        <w:t xml:space="preserve"> on its basis</w:t>
      </w:r>
      <w:r w:rsidRPr="007A2781">
        <w:t xml:space="preserve"> would be stab</w:t>
      </w:r>
      <w:r w:rsidR="00C06128" w:rsidRPr="007A2781">
        <w:t>l</w:t>
      </w:r>
      <w:r w:rsidRPr="007A2781">
        <w:t xml:space="preserve">e </w:t>
      </w:r>
      <w:r w:rsidR="00C06128" w:rsidRPr="007A2781">
        <w:t xml:space="preserve">during </w:t>
      </w:r>
      <w:r w:rsidR="006A7920" w:rsidRPr="007A2781">
        <w:t xml:space="preserve">the </w:t>
      </w:r>
      <w:r w:rsidRPr="007A2781">
        <w:t>operat</w:t>
      </w:r>
      <w:r w:rsidR="00C06128" w:rsidRPr="007A2781">
        <w:t xml:space="preserve">ion </w:t>
      </w:r>
      <w:r w:rsidRPr="007A2781">
        <w:t>in these media. Apparently, a</w:t>
      </w:r>
      <w:r w:rsidR="00C06128" w:rsidRPr="007A2781">
        <w:t xml:space="preserve"> definite </w:t>
      </w:r>
      <w:r w:rsidRPr="007A2781">
        <w:t xml:space="preserve">advantage of L-PPSQ is that it is soluble in solvents with various viscosities, which </w:t>
      </w:r>
      <w:r w:rsidR="006A7920" w:rsidRPr="007A2781">
        <w:t>ensures</w:t>
      </w:r>
      <w:r w:rsidRPr="007A2781">
        <w:t xml:space="preserve"> the development of membranes with good performance characteristics on its basis.</w:t>
      </w:r>
    </w:p>
    <w:p w14:paraId="5D04CD5D" w14:textId="77777777" w:rsidR="00075EFB" w:rsidRPr="007A2781" w:rsidRDefault="00075EFB" w:rsidP="00075EFB">
      <w:pPr>
        <w:pStyle w:val="MainText"/>
        <w:ind w:firstLine="284"/>
      </w:pPr>
      <w:r w:rsidRPr="007A2781">
        <w:t>One of the ways to predict the sorption affinity of a polymer</w:t>
      </w:r>
      <w:r w:rsidR="00C06128" w:rsidRPr="007A2781">
        <w:t>ic</w:t>
      </w:r>
      <w:r w:rsidRPr="007A2781">
        <w:t xml:space="preserve"> material and a solvent is to determine the parameter of their long-range interaction. To estimate such interaction, </w:t>
      </w:r>
      <w:r w:rsidR="00C06128" w:rsidRPr="007A2781">
        <w:t>a</w:t>
      </w:r>
      <w:r w:rsidRPr="007A2781">
        <w:t xml:space="preserve"> difference in the solubility parameters of the polymer and the solvent is used</w:t>
      </w:r>
      <w:r w:rsidR="00C06128" w:rsidRPr="007A2781">
        <w:t xml:space="preserve">, </w:t>
      </w:r>
      <w:r w:rsidRPr="007A2781">
        <w:t>taking into account the contributions of polar and dispersion interaction</w:t>
      </w:r>
      <w:r w:rsidR="00C06128" w:rsidRPr="007A2781">
        <w:t>s,</w:t>
      </w:r>
      <w:r w:rsidRPr="007A2781">
        <w:t xml:space="preserve"> as well as hydrogen bonds </w:t>
      </w:r>
      <w:r w:rsidR="00437844" w:rsidRPr="007A2781">
        <w:rPr>
          <w:lang w:val="ru-RU"/>
        </w:rPr>
        <w:fldChar w:fldCharType="begin" w:fldLock="1"/>
      </w:r>
      <w:r w:rsidRPr="007A2781">
        <w:instrText>ADDIN CSL_CITATION {"citationItems":[{"id":"ITEM-1","itemData":{"DOI":"10.1039/c0cp00230e","author":[{"dropping-particle":"Van Der","family":"Bruggen","given":"Bart","non-dropping-particle":"","parse-names":false,"suffix":""},{"dropping-particle":"","family":"Darvishmanesh","given":"Siavash","non-dropping-particle":"","parse-names":false,"suffix":""},{"dropping-particle":"","family":"Degre","given":"Jan","non-dropping-particle":"","parse-names":false,"suffix":""}],"id":"ITEM-1","issued":{"date-parts":[["2010"]]},"page":"13333-13342","title":"Mechanisms of solute rejection in solvent resistant nanofiltration : the effect of solvent on solute rejection","type":"article-journal"},"uris":["http://www.mendeley.com/documents/?uuid=27dd6641-ba73-40d0-97fc-5a2af08e18a6","http://www.mendeley.com/documents/?uuid=697d827a-1259-4436-974c-b4bb3e71eef6"]}],"mendeley":{"formattedCitation":"[49]","plainTextFormattedCitation":"[49]","previouslyFormattedCitation":"[46]"},"properties":{"noteIndex":0},"schema":"https://github.com/citation-style-language/schema/raw/master/csl-citation.json"}</w:instrText>
      </w:r>
      <w:r w:rsidR="00437844" w:rsidRPr="007A2781">
        <w:rPr>
          <w:lang w:val="ru-RU"/>
        </w:rPr>
        <w:fldChar w:fldCharType="separate"/>
      </w:r>
      <w:r w:rsidRPr="007A2781">
        <w:t>[5]</w:t>
      </w:r>
      <w:r w:rsidR="00437844" w:rsidRPr="007A2781">
        <w:fldChar w:fldCharType="end"/>
      </w:r>
      <w:r w:rsidRPr="007A2781">
        <w:t>.</w:t>
      </w:r>
    </w:p>
    <w:p w14:paraId="1C474EB1" w14:textId="77777777" w:rsidR="00075EFB" w:rsidRPr="007A2781" w:rsidRDefault="00075EFB" w:rsidP="00075EFB">
      <w:pPr>
        <w:pStyle w:val="MainText"/>
        <w:ind w:firstLine="284"/>
      </w:pPr>
      <w:r w:rsidRPr="007A2781">
        <w:t xml:space="preserve">The smaller the difference between the solubility parameters of </w:t>
      </w:r>
      <w:r w:rsidR="00F77A5C" w:rsidRPr="007A2781">
        <w:t>a</w:t>
      </w:r>
      <w:r w:rsidRPr="007A2781">
        <w:t xml:space="preserve"> polymer and </w:t>
      </w:r>
      <w:r w:rsidR="00F77A5C" w:rsidRPr="007A2781">
        <w:t>a</w:t>
      </w:r>
      <w:r w:rsidRPr="007A2781">
        <w:t xml:space="preserve"> solvent, the higher the affinity between them</w:t>
      </w:r>
      <w:r w:rsidR="00C06128" w:rsidRPr="007A2781">
        <w:t>. Therefore,</w:t>
      </w:r>
      <w:r w:rsidRPr="007A2781">
        <w:t xml:space="preserve"> one should expect </w:t>
      </w:r>
      <w:r w:rsidR="00C06128" w:rsidRPr="007A2781">
        <w:t>high</w:t>
      </w:r>
      <w:r w:rsidRPr="007A2781">
        <w:t xml:space="preserve"> values of solvent sorption in the polymer</w:t>
      </w:r>
      <w:r w:rsidR="00C06128" w:rsidRPr="007A2781">
        <w:t>ic</w:t>
      </w:r>
      <w:r w:rsidRPr="007A2781">
        <w:t xml:space="preserve"> material </w:t>
      </w:r>
      <w:r w:rsidR="00437844" w:rsidRPr="007A2781">
        <w:fldChar w:fldCharType="begin" w:fldLock="1"/>
      </w:r>
      <w:r w:rsidRPr="007A2781">
        <w:instrText>ADDIN CSL_CITATION {"citationItems":[{"id":"ITEM-1","itemData":{"DOI":"10.1016/j.memsci.2005.02.037","author":[{"dropping-particle":"","family":"Tarleton","given":"E S","non-dropping-particle":"","parse-names":false,"suffix":""},{"dropping-particle":"","family":"Robinson","given":"J P","non-dropping-particle":"","parse-names":false,"suffix":""},{"dropping-particle":"","family":"Smith","given":"S J","non-dropping-particle":"","parse-names":false,"suffix":""},{"dropping-particle":"","family":"Na","given":"J J W","non-dropping-particle":"","parse-names":false,"suffix":""}],"id":"ITEM-1","issued":{"date-parts":[["2005"]]},"page":"129-135","title":"New experimental measurements of solvent induced swelling in nanofiltration membranes","type":"article-journal","volume":"261"},"uris":["http://www.mendeley.com/documents/?uuid=dcc4f0b5-9343-410e-aa8a-95e9ab397547","http://www.mendeley.com/documents/?uuid=7901c3fb-314b-4725-903a-c19b8b5cb7b1"]}],"mendeley":{"formattedCitation":"[48]","manualFormatting":"[50]","plainTextFormattedCitation":"[48]","previouslyFormattedCitation":"[48]"},"properties":{"noteIndex":0},"schema":"https://github.com/citation-style-language/schema/raw/master/csl-citation.json"}</w:instrText>
      </w:r>
      <w:r w:rsidR="00437844" w:rsidRPr="007A2781">
        <w:fldChar w:fldCharType="separate"/>
      </w:r>
      <w:r w:rsidRPr="007A2781">
        <w:t>[6]</w:t>
      </w:r>
      <w:r w:rsidR="00437844" w:rsidRPr="007A2781">
        <w:fldChar w:fldCharType="end"/>
      </w:r>
      <w:r w:rsidRPr="007A2781">
        <w:t xml:space="preserve">. The affinity of the </w:t>
      </w:r>
      <w:r w:rsidRPr="007A2781">
        <w:rPr>
          <w:i/>
          <w:iCs/>
        </w:rPr>
        <w:t>i</w:t>
      </w:r>
      <w:r w:rsidRPr="007A2781">
        <w:t>-th solvent (</w:t>
      </w:r>
      <w:r w:rsidRPr="007A2781">
        <w:rPr>
          <w:i/>
          <w:iCs/>
        </w:rPr>
        <w:t>s</w:t>
      </w:r>
      <w:r w:rsidRPr="007A2781">
        <w:t>) to the polymer</w:t>
      </w:r>
      <w:r w:rsidR="00F77A5C" w:rsidRPr="007A2781">
        <w:t>ic</w:t>
      </w:r>
      <w:r w:rsidRPr="007A2781">
        <w:t xml:space="preserve"> material (</w:t>
      </w:r>
      <w:r w:rsidRPr="007A2781">
        <w:rPr>
          <w:i/>
          <w:iCs/>
        </w:rPr>
        <w:t>p</w:t>
      </w:r>
      <w:r w:rsidRPr="007A2781">
        <w:t xml:space="preserve">) can be estimated by the long-range parameter </w:t>
      </w:r>
      <m:oMath>
        <m:sSub>
          <m:sSubPr>
            <m:ctrlPr>
              <w:rPr>
                <w:rFonts w:ascii="Cambria Math" w:hAnsi="Cambria Math"/>
                <w:i/>
              </w:rPr>
            </m:ctrlPr>
          </m:sSubPr>
          <m:e>
            <m:r>
              <w:rPr>
                <w:rFonts w:ascii="Cambria Math" w:hAnsi="Cambria Math"/>
              </w:rPr>
              <m:t>∆</m:t>
            </m:r>
          </m:e>
          <m:sub>
            <m:r>
              <w:rPr>
                <w:rFonts w:ascii="Cambria Math" w:hAnsi="Cambria Math"/>
              </w:rPr>
              <m:t>s-p</m:t>
            </m:r>
          </m:sub>
        </m:sSub>
      </m:oMath>
      <w:r w:rsidRPr="007A2781">
        <w:t xml:space="preserve"> (</w:t>
      </w:r>
      <w:r w:rsidR="00C06128" w:rsidRPr="007A2781">
        <w:t>equation</w:t>
      </w:r>
      <w:r w:rsidRPr="007A2781">
        <w:t xml:space="preserve"> 4): the lower the long-range parameter, the stronger the solvent</w:t>
      </w:r>
      <w:r w:rsidR="00C06128" w:rsidRPr="007A2781">
        <w:t>–</w:t>
      </w:r>
      <w:r w:rsidRPr="007A2781">
        <w:t xml:space="preserve">polymer interaction </w:t>
      </w:r>
      <w:r w:rsidR="00437844" w:rsidRPr="007A2781">
        <w:fldChar w:fldCharType="begin" w:fldLock="1"/>
      </w:r>
      <w:r w:rsidRPr="007A2781">
        <w:instrText>ADDIN CSL_CITATION {"citationItems":[{"id":"ITEM-1","itemData":{"ISBN":"9780849372483","author":[{"dropping-particle":"","family":"Hansen","given":"C M","non-dropping-particle":"","parse-names":false,"suffix":""}],"id":"ITEM-1","issued":{"date-parts":[["2007"]]},"number-of-pages":"540","title":"No Title","type":"book"},"uris":["http://www.mendeley.com/documents/?uuid=b4bd897a-266c-4c24-b965-317fc17c9016","http://www.mendeley.com/documents/?uuid=5bdab6a9-3eff-4977-8ef0-cc9563098b54"]}],"mendeley":{"formattedCitation":"[49]","manualFormatting":"[51]","plainTextFormattedCitation":"[49]","previouslyFormattedCitation":"[49]"},"properties":{"noteIndex":0},"schema":"https://github.com/citation-style-language/schema/raw/master/csl-citation.json"}</w:instrText>
      </w:r>
      <w:r w:rsidR="00437844" w:rsidRPr="007A2781">
        <w:fldChar w:fldCharType="separate"/>
      </w:r>
      <w:r w:rsidRPr="007A2781">
        <w:t>[3]</w:t>
      </w:r>
      <w:r w:rsidR="00437844" w:rsidRPr="007A2781">
        <w:fldChar w:fldCharType="end"/>
      </w:r>
      <w:r w:rsidRPr="007A2781">
        <w:t>.</w:t>
      </w:r>
    </w:p>
    <w:p w14:paraId="76A290F9" w14:textId="77777777" w:rsidR="00075EFB" w:rsidRPr="007A2781" w:rsidRDefault="00000000" w:rsidP="00943BC1">
      <w:pPr>
        <w:pStyle w:val="MainText"/>
        <w:tabs>
          <w:tab w:val="left" w:pos="4452"/>
        </w:tabs>
        <w:spacing w:before="120" w:after="120"/>
        <w:ind w:firstLine="142"/>
        <w:jc w:val="center"/>
      </w:pPr>
      <m:oMath>
        <m:sSub>
          <m:sSubPr>
            <m:ctrlPr>
              <w:rPr>
                <w:rFonts w:ascii="Cambria Math" w:hAnsi="Cambria Math"/>
                <w:i/>
              </w:rPr>
            </m:ctrlPr>
          </m:sSubPr>
          <m:e>
            <m:r>
              <w:rPr>
                <w:rFonts w:ascii="Cambria Math" w:hAnsi="Cambria Math"/>
              </w:rPr>
              <m:t>∆</m:t>
            </m:r>
          </m:e>
          <m:sub>
            <m:r>
              <w:rPr>
                <w:rFonts w:ascii="Cambria Math" w:hAnsi="Cambria Math"/>
              </w:rPr>
              <m:t>s-p</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d,p</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p,p</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h,s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h,p</m:t>
                        </m:r>
                      </m:sub>
                    </m:sSub>
                  </m:e>
                </m:d>
              </m:e>
              <m:sup>
                <m:r>
                  <w:rPr>
                    <w:rFonts w:ascii="Cambria Math" w:hAnsi="Cambria Math"/>
                  </w:rPr>
                  <m:t>2</m:t>
                </m:r>
              </m:sup>
            </m:sSup>
          </m:e>
        </m:rad>
      </m:oMath>
      <w:r w:rsidR="00075EFB" w:rsidRPr="007A2781">
        <w:tab/>
        <w:t>(4)</w:t>
      </w:r>
    </w:p>
    <w:p w14:paraId="55A094E5" w14:textId="77777777" w:rsidR="00927C69" w:rsidRDefault="00927C69" w:rsidP="00927C69">
      <w:pPr>
        <w:pStyle w:val="MainText"/>
        <w:ind w:firstLine="284"/>
        <w:rPr>
          <w:b/>
          <w:sz w:val="16"/>
          <w:szCs w:val="16"/>
        </w:rPr>
      </w:pPr>
      <w:r w:rsidRPr="007A2781">
        <w:t xml:space="preserve">Based on the resulting values of the long-range interaction </w:t>
      </w:r>
      <w:r w:rsidRPr="00C403DF">
        <w:t>parameters (see Table 1),</w:t>
      </w:r>
      <w:r w:rsidRPr="007A2781">
        <w:t xml:space="preserve"> it can be concluded that benzene and chloroform are the best solvents for L-PPSQ among the studied examples. The interaction of L-PPSQ with NMP and DMA appears to occur at a boundary between good solvents in terms of the long-range parameter value (NMP: 10.6 MPa</w:t>
      </w:r>
      <w:r w:rsidRPr="007A2781">
        <w:rPr>
          <w:vertAlign w:val="superscript"/>
        </w:rPr>
        <w:t>1/2</w:t>
      </w:r>
      <w:r w:rsidRPr="007A2781">
        <w:t>, DMA: 10.5 MPa</w:t>
      </w:r>
      <w:r w:rsidRPr="007A2781">
        <w:rPr>
          <w:vertAlign w:val="superscript"/>
        </w:rPr>
        <w:t>1/2</w:t>
      </w:r>
      <w:r w:rsidRPr="007A2781">
        <w:t>). In a benzene/</w:t>
      </w:r>
      <w:r w:rsidRPr="007A2781">
        <w:rPr>
          <w:i/>
          <w:iCs/>
        </w:rPr>
        <w:t>n</w:t>
      </w:r>
      <w:r w:rsidRPr="007A2781">
        <w:t xml:space="preserve">-hexane 30/70 wt % mixture, L-PPSQ swells strongly but does not dissolve. L-PPSQ is insoluble in neat hexane, acetone, and ethanol. Moreover, this polymer does not swell at all in ethanol and hexane, while its behavior in acetone requires further study. Hence, it can be </w:t>
      </w:r>
      <w:r w:rsidRPr="007A2781">
        <w:t>assumed that the long-range interaction parameter above 10.5–10.6 delineates the region of poor solvents.</w:t>
      </w:r>
    </w:p>
    <w:p w14:paraId="0C7CF986" w14:textId="77777777" w:rsidR="00DC478B" w:rsidRPr="007A2781" w:rsidRDefault="00DC478B" w:rsidP="00DC478B">
      <w:pPr>
        <w:pStyle w:val="MainText"/>
        <w:spacing w:before="200" w:after="120"/>
        <w:ind w:firstLine="0"/>
        <w:rPr>
          <w:sz w:val="16"/>
          <w:szCs w:val="16"/>
        </w:rPr>
      </w:pPr>
      <w:r w:rsidRPr="007A2781">
        <w:rPr>
          <w:b/>
          <w:sz w:val="16"/>
          <w:szCs w:val="16"/>
        </w:rPr>
        <w:t xml:space="preserve">Table 1. </w:t>
      </w:r>
      <w:r w:rsidRPr="007A2781">
        <w:rPr>
          <w:sz w:val="16"/>
          <w:szCs w:val="16"/>
        </w:rPr>
        <w:t>Estimation of the long-range interaction between the polymer and the solvents of various nature</w:t>
      </w:r>
    </w:p>
    <w:tbl>
      <w:tblPr>
        <w:tblStyle w:val="af2"/>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1032"/>
      </w:tblGrid>
      <w:tr w:rsidR="00DC478B" w:rsidRPr="007A2781" w14:paraId="60B00324" w14:textId="77777777" w:rsidTr="00DC478B">
        <w:trPr>
          <w:trHeight w:val="227"/>
          <w:jc w:val="center"/>
        </w:trPr>
        <w:tc>
          <w:tcPr>
            <w:tcW w:w="0" w:type="auto"/>
            <w:tcBorders>
              <w:top w:val="single" w:sz="4" w:space="0" w:color="000000" w:themeColor="text1"/>
              <w:bottom w:val="single" w:sz="4" w:space="0" w:color="000000" w:themeColor="text1"/>
            </w:tcBorders>
            <w:vAlign w:val="center"/>
          </w:tcPr>
          <w:p w14:paraId="317D4579" w14:textId="77777777" w:rsidR="00DC478B" w:rsidRPr="007A2781" w:rsidRDefault="00DC478B" w:rsidP="00DC478B">
            <w:pPr>
              <w:pStyle w:val="MainText"/>
              <w:ind w:firstLine="0"/>
              <w:jc w:val="left"/>
              <w:rPr>
                <w:b/>
                <w:bCs/>
                <w:sz w:val="16"/>
                <w:szCs w:val="16"/>
              </w:rPr>
            </w:pPr>
            <w:r w:rsidRPr="007A2781">
              <w:rPr>
                <w:b/>
                <w:bCs/>
                <w:sz w:val="16"/>
                <w:szCs w:val="16"/>
              </w:rPr>
              <w:t>Compound</w:t>
            </w:r>
          </w:p>
        </w:tc>
        <w:tc>
          <w:tcPr>
            <w:tcW w:w="0" w:type="auto"/>
            <w:tcBorders>
              <w:top w:val="single" w:sz="4" w:space="0" w:color="000000" w:themeColor="text1"/>
              <w:bottom w:val="single" w:sz="4" w:space="0" w:color="000000" w:themeColor="text1"/>
            </w:tcBorders>
            <w:vAlign w:val="center"/>
          </w:tcPr>
          <w:p w14:paraId="2DDF0AD9" w14:textId="77777777" w:rsidR="00DC478B" w:rsidRPr="007A2781" w:rsidRDefault="00000000" w:rsidP="009E1AB7">
            <w:pPr>
              <w:pStyle w:val="MainText"/>
              <w:ind w:firstLine="0"/>
              <w:jc w:val="center"/>
              <w:rPr>
                <w:iCs/>
                <w:sz w:val="16"/>
                <w:szCs w:val="16"/>
              </w:rPr>
            </w:pPr>
            <m:oMath>
              <m:sSub>
                <m:sSubPr>
                  <m:ctrlPr>
                    <w:rPr>
                      <w:rFonts w:ascii="Cambria Math" w:hAnsi="Cambria Math"/>
                      <w:i/>
                      <w:sz w:val="16"/>
                      <w:szCs w:val="16"/>
                      <w:lang w:val="ru-RU"/>
                    </w:rPr>
                  </m:ctrlPr>
                </m:sSubPr>
                <m:e>
                  <m:r>
                    <m:rPr>
                      <m:sty m:val="bi"/>
                    </m:rPr>
                    <w:rPr>
                      <w:rFonts w:ascii="Cambria Math" w:hAnsi="Cambria Math"/>
                      <w:sz w:val="16"/>
                      <w:szCs w:val="16"/>
                      <w:lang w:val="ru-RU"/>
                    </w:rPr>
                    <m:t>∆</m:t>
                  </m:r>
                </m:e>
                <m:sub>
                  <m:r>
                    <m:rPr>
                      <m:sty m:val="bi"/>
                    </m:rPr>
                    <w:rPr>
                      <w:rFonts w:ascii="Cambria Math" w:hAnsi="Cambria Math"/>
                      <w:sz w:val="16"/>
                      <w:szCs w:val="16"/>
                      <w:lang w:val="ru-RU"/>
                    </w:rPr>
                    <m:t>s-p</m:t>
                  </m:r>
                </m:sub>
              </m:sSub>
            </m:oMath>
            <w:r w:rsidR="00DC478B" w:rsidRPr="007A2781">
              <w:rPr>
                <w:rFonts w:eastAsiaTheme="minorEastAsia"/>
                <w:iCs/>
                <w:sz w:val="16"/>
                <w:szCs w:val="16"/>
              </w:rPr>
              <w:t>, MPa</w:t>
            </w:r>
            <w:r w:rsidR="00DC478B" w:rsidRPr="007A2781">
              <w:rPr>
                <w:rFonts w:eastAsiaTheme="minorEastAsia"/>
                <w:iCs/>
                <w:sz w:val="16"/>
                <w:szCs w:val="16"/>
                <w:vertAlign w:val="superscript"/>
              </w:rPr>
              <w:t>1/2</w:t>
            </w:r>
          </w:p>
        </w:tc>
      </w:tr>
      <w:tr w:rsidR="00DC478B" w:rsidRPr="007A2781" w14:paraId="44BDF5A7" w14:textId="77777777" w:rsidTr="00DC478B">
        <w:trPr>
          <w:trHeight w:val="227"/>
          <w:jc w:val="center"/>
        </w:trPr>
        <w:tc>
          <w:tcPr>
            <w:tcW w:w="0" w:type="auto"/>
            <w:tcBorders>
              <w:top w:val="single" w:sz="4" w:space="0" w:color="000000" w:themeColor="text1"/>
            </w:tcBorders>
            <w:vAlign w:val="center"/>
          </w:tcPr>
          <w:p w14:paraId="5B7573E3" w14:textId="77777777" w:rsidR="00DC478B" w:rsidRPr="007A2781" w:rsidRDefault="00DC478B" w:rsidP="009E1AB7">
            <w:pPr>
              <w:pStyle w:val="MainText"/>
              <w:ind w:firstLine="0"/>
              <w:rPr>
                <w:sz w:val="16"/>
                <w:szCs w:val="16"/>
              </w:rPr>
            </w:pPr>
            <w:r w:rsidRPr="007A2781">
              <w:rPr>
                <w:sz w:val="16"/>
                <w:szCs w:val="16"/>
              </w:rPr>
              <w:t>L-PPSQ</w:t>
            </w:r>
          </w:p>
        </w:tc>
        <w:tc>
          <w:tcPr>
            <w:tcW w:w="0" w:type="auto"/>
            <w:tcBorders>
              <w:top w:val="single" w:sz="4" w:space="0" w:color="000000" w:themeColor="text1"/>
            </w:tcBorders>
            <w:vAlign w:val="center"/>
          </w:tcPr>
          <w:p w14:paraId="43EBB650" w14:textId="77777777" w:rsidR="00DC478B" w:rsidRPr="007A2781" w:rsidRDefault="00DC478B" w:rsidP="009E1AB7">
            <w:pPr>
              <w:pStyle w:val="MainText"/>
              <w:ind w:firstLine="0"/>
              <w:jc w:val="center"/>
              <w:rPr>
                <w:sz w:val="16"/>
                <w:szCs w:val="16"/>
              </w:rPr>
            </w:pPr>
            <w:r w:rsidRPr="007A2781">
              <w:rPr>
                <w:sz w:val="16"/>
                <w:szCs w:val="16"/>
              </w:rPr>
              <w:t>–</w:t>
            </w:r>
          </w:p>
        </w:tc>
      </w:tr>
      <w:tr w:rsidR="00DC478B" w:rsidRPr="007A2781" w14:paraId="64979E23" w14:textId="77777777" w:rsidTr="00DC478B">
        <w:trPr>
          <w:trHeight w:val="227"/>
          <w:jc w:val="center"/>
        </w:trPr>
        <w:tc>
          <w:tcPr>
            <w:tcW w:w="0" w:type="auto"/>
            <w:vAlign w:val="center"/>
          </w:tcPr>
          <w:p w14:paraId="4685D24C" w14:textId="77777777" w:rsidR="00DC478B" w:rsidRPr="007A2781" w:rsidRDefault="00DC478B" w:rsidP="009E1AB7">
            <w:pPr>
              <w:pStyle w:val="MainText"/>
              <w:ind w:firstLine="0"/>
              <w:rPr>
                <w:sz w:val="16"/>
                <w:szCs w:val="16"/>
              </w:rPr>
            </w:pPr>
            <w:r w:rsidRPr="007A2781">
              <w:rPr>
                <w:sz w:val="16"/>
                <w:szCs w:val="16"/>
              </w:rPr>
              <w:t>Chloroform</w:t>
            </w:r>
          </w:p>
        </w:tc>
        <w:tc>
          <w:tcPr>
            <w:tcW w:w="0" w:type="auto"/>
            <w:vAlign w:val="center"/>
          </w:tcPr>
          <w:p w14:paraId="16E18428" w14:textId="77777777" w:rsidR="00DC478B" w:rsidRPr="007A2781" w:rsidRDefault="00DC478B" w:rsidP="009E1AB7">
            <w:pPr>
              <w:pStyle w:val="MainText"/>
              <w:ind w:firstLine="0"/>
              <w:jc w:val="center"/>
              <w:rPr>
                <w:sz w:val="16"/>
                <w:szCs w:val="16"/>
              </w:rPr>
            </w:pPr>
            <w:r w:rsidRPr="007A2781">
              <w:rPr>
                <w:sz w:val="16"/>
                <w:szCs w:val="16"/>
              </w:rPr>
              <w:t>3.11</w:t>
            </w:r>
          </w:p>
        </w:tc>
      </w:tr>
      <w:tr w:rsidR="00DC478B" w:rsidRPr="007A2781" w14:paraId="582E2459" w14:textId="77777777" w:rsidTr="00DC478B">
        <w:trPr>
          <w:trHeight w:val="227"/>
          <w:jc w:val="center"/>
        </w:trPr>
        <w:tc>
          <w:tcPr>
            <w:tcW w:w="0" w:type="auto"/>
            <w:vAlign w:val="center"/>
          </w:tcPr>
          <w:p w14:paraId="279A99FB" w14:textId="77777777" w:rsidR="00DC478B" w:rsidRPr="007A2781" w:rsidRDefault="00DC478B" w:rsidP="009E1AB7">
            <w:pPr>
              <w:pStyle w:val="MainText"/>
              <w:ind w:firstLine="0"/>
              <w:rPr>
                <w:sz w:val="16"/>
                <w:szCs w:val="16"/>
              </w:rPr>
            </w:pPr>
            <w:r w:rsidRPr="007A2781">
              <w:rPr>
                <w:sz w:val="16"/>
                <w:szCs w:val="16"/>
              </w:rPr>
              <w:t>Benzene</w:t>
            </w:r>
          </w:p>
        </w:tc>
        <w:tc>
          <w:tcPr>
            <w:tcW w:w="0" w:type="auto"/>
            <w:vAlign w:val="center"/>
          </w:tcPr>
          <w:p w14:paraId="7111EFEC" w14:textId="77777777" w:rsidR="00DC478B" w:rsidRPr="007A2781" w:rsidRDefault="00DC478B" w:rsidP="009E1AB7">
            <w:pPr>
              <w:pStyle w:val="MainText"/>
              <w:ind w:firstLine="0"/>
              <w:jc w:val="center"/>
              <w:rPr>
                <w:sz w:val="16"/>
                <w:szCs w:val="16"/>
              </w:rPr>
            </w:pPr>
            <w:r w:rsidRPr="007A2781">
              <w:rPr>
                <w:sz w:val="16"/>
                <w:szCs w:val="16"/>
              </w:rPr>
              <w:t>6.0</w:t>
            </w:r>
          </w:p>
        </w:tc>
      </w:tr>
      <w:tr w:rsidR="00DC478B" w:rsidRPr="007A2781" w14:paraId="7F517843" w14:textId="77777777" w:rsidTr="00DC478B">
        <w:trPr>
          <w:trHeight w:val="227"/>
          <w:jc w:val="center"/>
        </w:trPr>
        <w:tc>
          <w:tcPr>
            <w:tcW w:w="0" w:type="auto"/>
            <w:vAlign w:val="center"/>
          </w:tcPr>
          <w:p w14:paraId="7D354EA8" w14:textId="77777777" w:rsidR="00DC478B" w:rsidRPr="007A2781" w:rsidRDefault="00DC478B" w:rsidP="009E1AB7">
            <w:pPr>
              <w:pStyle w:val="MainText"/>
              <w:ind w:firstLine="0"/>
              <w:rPr>
                <w:sz w:val="16"/>
                <w:szCs w:val="16"/>
              </w:rPr>
            </w:pPr>
            <w:r w:rsidRPr="007A2781">
              <w:rPr>
                <w:sz w:val="16"/>
                <w:szCs w:val="16"/>
              </w:rPr>
              <w:t>NMP</w:t>
            </w:r>
          </w:p>
        </w:tc>
        <w:tc>
          <w:tcPr>
            <w:tcW w:w="0" w:type="auto"/>
            <w:vAlign w:val="center"/>
          </w:tcPr>
          <w:p w14:paraId="01178B8E" w14:textId="77777777" w:rsidR="00DC478B" w:rsidRPr="007A2781" w:rsidRDefault="00DC478B" w:rsidP="009E1AB7">
            <w:pPr>
              <w:pStyle w:val="MainText"/>
              <w:ind w:firstLine="0"/>
              <w:jc w:val="center"/>
              <w:rPr>
                <w:sz w:val="16"/>
                <w:szCs w:val="16"/>
              </w:rPr>
            </w:pPr>
            <w:r w:rsidRPr="007A2781">
              <w:rPr>
                <w:sz w:val="16"/>
                <w:szCs w:val="16"/>
              </w:rPr>
              <w:t>10.6</w:t>
            </w:r>
          </w:p>
        </w:tc>
      </w:tr>
      <w:tr w:rsidR="00DC478B" w:rsidRPr="007A2781" w14:paraId="07E44535" w14:textId="77777777" w:rsidTr="00DC478B">
        <w:trPr>
          <w:trHeight w:val="227"/>
          <w:jc w:val="center"/>
        </w:trPr>
        <w:tc>
          <w:tcPr>
            <w:tcW w:w="0" w:type="auto"/>
            <w:vAlign w:val="center"/>
          </w:tcPr>
          <w:p w14:paraId="737F8C96" w14:textId="77777777" w:rsidR="00DC478B" w:rsidRPr="007A2781" w:rsidRDefault="00DC478B" w:rsidP="009E1AB7">
            <w:pPr>
              <w:pStyle w:val="MainText"/>
              <w:ind w:firstLine="0"/>
              <w:rPr>
                <w:sz w:val="16"/>
                <w:szCs w:val="16"/>
              </w:rPr>
            </w:pPr>
            <w:r w:rsidRPr="007A2781">
              <w:rPr>
                <w:sz w:val="16"/>
                <w:szCs w:val="16"/>
              </w:rPr>
              <w:t>DMA</w:t>
            </w:r>
          </w:p>
        </w:tc>
        <w:tc>
          <w:tcPr>
            <w:tcW w:w="0" w:type="auto"/>
            <w:vAlign w:val="center"/>
          </w:tcPr>
          <w:p w14:paraId="7F415199" w14:textId="77777777" w:rsidR="00DC478B" w:rsidRPr="007A2781" w:rsidRDefault="00DC478B" w:rsidP="009E1AB7">
            <w:pPr>
              <w:pStyle w:val="MainText"/>
              <w:ind w:firstLine="0"/>
              <w:jc w:val="center"/>
              <w:rPr>
                <w:sz w:val="16"/>
                <w:szCs w:val="16"/>
              </w:rPr>
            </w:pPr>
            <w:r w:rsidRPr="007A2781">
              <w:rPr>
                <w:sz w:val="16"/>
                <w:szCs w:val="16"/>
              </w:rPr>
              <w:t>10.5</w:t>
            </w:r>
          </w:p>
        </w:tc>
      </w:tr>
      <w:tr w:rsidR="00DC478B" w:rsidRPr="007A2781" w14:paraId="5CA73905" w14:textId="77777777" w:rsidTr="00DC478B">
        <w:trPr>
          <w:trHeight w:val="227"/>
          <w:jc w:val="center"/>
        </w:trPr>
        <w:tc>
          <w:tcPr>
            <w:tcW w:w="0" w:type="auto"/>
            <w:vAlign w:val="center"/>
          </w:tcPr>
          <w:p w14:paraId="5B3FC803" w14:textId="77777777" w:rsidR="00DC478B" w:rsidRPr="007A2781" w:rsidRDefault="00DC478B" w:rsidP="009E1AB7">
            <w:pPr>
              <w:pStyle w:val="MainText"/>
              <w:ind w:firstLine="0"/>
              <w:rPr>
                <w:sz w:val="16"/>
                <w:szCs w:val="16"/>
              </w:rPr>
            </w:pPr>
            <w:r w:rsidRPr="007A2781">
              <w:rPr>
                <w:sz w:val="16"/>
                <w:szCs w:val="16"/>
              </w:rPr>
              <w:t>Hexane</w:t>
            </w:r>
          </w:p>
        </w:tc>
        <w:tc>
          <w:tcPr>
            <w:tcW w:w="0" w:type="auto"/>
            <w:vAlign w:val="center"/>
          </w:tcPr>
          <w:p w14:paraId="38E8F90D" w14:textId="77777777" w:rsidR="00DC478B" w:rsidRPr="007A2781" w:rsidRDefault="00DC478B" w:rsidP="009E1AB7">
            <w:pPr>
              <w:pStyle w:val="MainText"/>
              <w:ind w:firstLine="0"/>
              <w:jc w:val="center"/>
              <w:rPr>
                <w:sz w:val="16"/>
                <w:szCs w:val="16"/>
              </w:rPr>
            </w:pPr>
            <w:r w:rsidRPr="007A2781">
              <w:rPr>
                <w:sz w:val="16"/>
                <w:szCs w:val="16"/>
              </w:rPr>
              <w:t>9.3</w:t>
            </w:r>
          </w:p>
        </w:tc>
      </w:tr>
      <w:tr w:rsidR="00DC478B" w:rsidRPr="007A2781" w14:paraId="225E4C4D" w14:textId="77777777" w:rsidTr="00DC478B">
        <w:trPr>
          <w:trHeight w:val="227"/>
          <w:jc w:val="center"/>
        </w:trPr>
        <w:tc>
          <w:tcPr>
            <w:tcW w:w="0" w:type="auto"/>
            <w:vAlign w:val="center"/>
          </w:tcPr>
          <w:p w14:paraId="164351BB" w14:textId="77777777" w:rsidR="00DC478B" w:rsidRPr="007A2781" w:rsidRDefault="00DC478B" w:rsidP="009E1AB7">
            <w:pPr>
              <w:pStyle w:val="MainText"/>
              <w:ind w:firstLine="0"/>
              <w:rPr>
                <w:sz w:val="16"/>
                <w:szCs w:val="16"/>
              </w:rPr>
            </w:pPr>
            <w:r w:rsidRPr="007A2781">
              <w:rPr>
                <w:sz w:val="16"/>
                <w:szCs w:val="16"/>
              </w:rPr>
              <w:t>Acetone</w:t>
            </w:r>
          </w:p>
        </w:tc>
        <w:tc>
          <w:tcPr>
            <w:tcW w:w="0" w:type="auto"/>
            <w:vAlign w:val="center"/>
          </w:tcPr>
          <w:p w14:paraId="2FA32F67" w14:textId="77777777" w:rsidR="00DC478B" w:rsidRPr="007A2781" w:rsidRDefault="00DC478B" w:rsidP="009E1AB7">
            <w:pPr>
              <w:pStyle w:val="MainText"/>
              <w:ind w:firstLine="0"/>
              <w:jc w:val="center"/>
              <w:rPr>
                <w:sz w:val="16"/>
                <w:szCs w:val="16"/>
              </w:rPr>
            </w:pPr>
            <w:r w:rsidRPr="007A2781">
              <w:rPr>
                <w:sz w:val="16"/>
                <w:szCs w:val="16"/>
              </w:rPr>
              <w:t>9.7</w:t>
            </w:r>
          </w:p>
        </w:tc>
      </w:tr>
      <w:tr w:rsidR="00DC478B" w:rsidRPr="007A2781" w14:paraId="1DFFDDB4" w14:textId="77777777" w:rsidTr="00DC478B">
        <w:trPr>
          <w:trHeight w:val="227"/>
          <w:jc w:val="center"/>
        </w:trPr>
        <w:tc>
          <w:tcPr>
            <w:tcW w:w="0" w:type="auto"/>
            <w:vAlign w:val="center"/>
          </w:tcPr>
          <w:p w14:paraId="16A1DD33" w14:textId="77777777" w:rsidR="00DC478B" w:rsidRPr="007A2781" w:rsidRDefault="00DC478B" w:rsidP="009E1AB7">
            <w:pPr>
              <w:pStyle w:val="MainText"/>
              <w:ind w:firstLine="0"/>
              <w:rPr>
                <w:sz w:val="16"/>
                <w:szCs w:val="16"/>
              </w:rPr>
            </w:pPr>
            <w:r w:rsidRPr="007A2781">
              <w:rPr>
                <w:sz w:val="16"/>
                <w:szCs w:val="16"/>
              </w:rPr>
              <w:t>Ethanol</w:t>
            </w:r>
          </w:p>
        </w:tc>
        <w:tc>
          <w:tcPr>
            <w:tcW w:w="0" w:type="auto"/>
            <w:vAlign w:val="center"/>
          </w:tcPr>
          <w:p w14:paraId="5AAF9BFB" w14:textId="77777777" w:rsidR="00DC478B" w:rsidRPr="007A2781" w:rsidRDefault="00DC478B" w:rsidP="009E1AB7">
            <w:pPr>
              <w:pStyle w:val="MainText"/>
              <w:ind w:firstLine="0"/>
              <w:jc w:val="center"/>
              <w:rPr>
                <w:sz w:val="16"/>
                <w:szCs w:val="16"/>
              </w:rPr>
            </w:pPr>
            <w:r w:rsidRPr="007A2781">
              <w:rPr>
                <w:sz w:val="16"/>
                <w:szCs w:val="16"/>
              </w:rPr>
              <w:t>14.5</w:t>
            </w:r>
          </w:p>
        </w:tc>
      </w:tr>
      <w:tr w:rsidR="00DC478B" w:rsidRPr="007A2781" w14:paraId="5005C9DE" w14:textId="77777777" w:rsidTr="00DC478B">
        <w:trPr>
          <w:trHeight w:val="227"/>
          <w:jc w:val="center"/>
        </w:trPr>
        <w:tc>
          <w:tcPr>
            <w:tcW w:w="0" w:type="auto"/>
            <w:vAlign w:val="center"/>
          </w:tcPr>
          <w:p w14:paraId="7BE8FCFB" w14:textId="77777777" w:rsidR="00DC478B" w:rsidRPr="007A2781" w:rsidRDefault="00DC478B" w:rsidP="009E1AB7">
            <w:pPr>
              <w:pStyle w:val="MainText"/>
              <w:ind w:firstLine="0"/>
              <w:rPr>
                <w:sz w:val="16"/>
                <w:szCs w:val="16"/>
              </w:rPr>
            </w:pPr>
            <w:r w:rsidRPr="007A2781">
              <w:rPr>
                <w:sz w:val="16"/>
                <w:szCs w:val="16"/>
              </w:rPr>
              <w:t>Benzene/hexane 10/90</w:t>
            </w:r>
          </w:p>
        </w:tc>
        <w:tc>
          <w:tcPr>
            <w:tcW w:w="0" w:type="auto"/>
            <w:vAlign w:val="center"/>
          </w:tcPr>
          <w:p w14:paraId="343E2B09" w14:textId="77777777" w:rsidR="00DC478B" w:rsidRPr="007A2781" w:rsidRDefault="00DC478B" w:rsidP="009E1AB7">
            <w:pPr>
              <w:pStyle w:val="MainText"/>
              <w:ind w:firstLine="0"/>
              <w:jc w:val="center"/>
              <w:rPr>
                <w:sz w:val="16"/>
                <w:szCs w:val="16"/>
              </w:rPr>
            </w:pPr>
            <w:r w:rsidRPr="007A2781">
              <w:rPr>
                <w:sz w:val="16"/>
                <w:szCs w:val="16"/>
              </w:rPr>
              <w:t>11.3</w:t>
            </w:r>
          </w:p>
        </w:tc>
      </w:tr>
      <w:tr w:rsidR="00DC478B" w:rsidRPr="007A2781" w14:paraId="04B9BFD9" w14:textId="77777777" w:rsidTr="00DC478B">
        <w:trPr>
          <w:trHeight w:val="227"/>
          <w:jc w:val="center"/>
        </w:trPr>
        <w:tc>
          <w:tcPr>
            <w:tcW w:w="0" w:type="auto"/>
            <w:vAlign w:val="center"/>
          </w:tcPr>
          <w:p w14:paraId="091E1C13" w14:textId="77777777" w:rsidR="00DC478B" w:rsidRPr="007A2781" w:rsidRDefault="00DC478B" w:rsidP="009E1AB7">
            <w:pPr>
              <w:pStyle w:val="MainText"/>
              <w:ind w:firstLine="0"/>
              <w:rPr>
                <w:sz w:val="16"/>
                <w:szCs w:val="16"/>
              </w:rPr>
            </w:pPr>
            <w:r w:rsidRPr="007A2781">
              <w:rPr>
                <w:sz w:val="16"/>
                <w:szCs w:val="16"/>
              </w:rPr>
              <w:t>Benzene/hexane 30/70</w:t>
            </w:r>
          </w:p>
        </w:tc>
        <w:tc>
          <w:tcPr>
            <w:tcW w:w="0" w:type="auto"/>
            <w:vAlign w:val="center"/>
          </w:tcPr>
          <w:p w14:paraId="6327B0E2" w14:textId="77777777" w:rsidR="00DC478B" w:rsidRPr="007A2781" w:rsidRDefault="00DC478B" w:rsidP="009E1AB7">
            <w:pPr>
              <w:pStyle w:val="MainText"/>
              <w:ind w:firstLine="0"/>
              <w:jc w:val="center"/>
              <w:rPr>
                <w:sz w:val="16"/>
                <w:szCs w:val="16"/>
              </w:rPr>
            </w:pPr>
            <w:r w:rsidRPr="007A2781">
              <w:rPr>
                <w:sz w:val="16"/>
                <w:szCs w:val="16"/>
              </w:rPr>
              <w:t>10.5</w:t>
            </w:r>
          </w:p>
        </w:tc>
      </w:tr>
    </w:tbl>
    <w:p w14:paraId="650190F7" w14:textId="77777777" w:rsidR="00927C69" w:rsidRPr="007A2781" w:rsidRDefault="00927C69" w:rsidP="00927C69">
      <w:pPr>
        <w:spacing w:before="240" w:after="240"/>
        <w:rPr>
          <w:rFonts w:ascii="Arial" w:hAnsi="Arial" w:cs="Arial"/>
          <w:b/>
          <w:lang w:val="en-US"/>
        </w:rPr>
      </w:pPr>
      <w:r w:rsidRPr="007A2781">
        <w:rPr>
          <w:rFonts w:ascii="Arial" w:hAnsi="Arial" w:cs="Arial"/>
          <w:b/>
          <w:lang w:val="en-US"/>
        </w:rPr>
        <w:t>Conclusions</w:t>
      </w:r>
    </w:p>
    <w:p w14:paraId="08234939" w14:textId="77777777" w:rsidR="00927C69" w:rsidRPr="007A2781" w:rsidRDefault="00927C69" w:rsidP="00927C69">
      <w:pPr>
        <w:spacing w:before="200" w:after="0"/>
        <w:ind w:firstLine="284"/>
        <w:jc w:val="both"/>
        <w:rPr>
          <w:rFonts w:ascii="Times New Roman" w:hAnsi="Times New Roman" w:cs="Times New Roman"/>
          <w:bCs/>
          <w:sz w:val="18"/>
          <w:szCs w:val="18"/>
          <w:lang w:val="en-US"/>
        </w:rPr>
      </w:pPr>
      <w:r w:rsidRPr="007A2781">
        <w:rPr>
          <w:rFonts w:ascii="Times New Roman" w:hAnsi="Times New Roman" w:cs="Times New Roman"/>
          <w:sz w:val="18"/>
          <w:szCs w:val="18"/>
          <w:lang w:val="en-US"/>
        </w:rPr>
        <w:t xml:space="preserve">The solubility of L-PPSQ in various organic solvents was investigated and their Hansen solubility parameters were analyzed. Based on the values of the long-range interaction parameters </w:t>
      </w:r>
      <m:oMath>
        <m:sSub>
          <m:sSubPr>
            <m:ctrlPr>
              <w:rPr>
                <w:rFonts w:ascii="Cambria Math" w:hAnsi="Cambria Math" w:cs="Times New Roman"/>
                <w:i/>
                <w:sz w:val="18"/>
                <w:szCs w:val="18"/>
              </w:rPr>
            </m:ctrlPr>
          </m:sSubPr>
          <m:e>
            <m:r>
              <w:rPr>
                <w:rFonts w:ascii="Cambria Math" w:hAnsi="Cambria Math" w:cs="Times New Roman"/>
                <w:sz w:val="18"/>
                <w:szCs w:val="18"/>
                <w:lang w:val="en-US"/>
              </w:rPr>
              <m:t>∆</m:t>
            </m:r>
          </m:e>
          <m:sub>
            <m:r>
              <w:rPr>
                <w:rFonts w:ascii="Cambria Math" w:hAnsi="Cambria Math" w:cs="Times New Roman"/>
                <w:sz w:val="18"/>
                <w:szCs w:val="18"/>
              </w:rPr>
              <m:t>s</m:t>
            </m:r>
            <m:r>
              <w:rPr>
                <w:rFonts w:ascii="Cambria Math" w:hAnsi="Cambria Math" w:cs="Times New Roman"/>
                <w:sz w:val="18"/>
                <w:szCs w:val="18"/>
                <w:lang w:val="en-US"/>
              </w:rPr>
              <m:t>-</m:t>
            </m:r>
            <m:r>
              <w:rPr>
                <w:rFonts w:ascii="Cambria Math" w:hAnsi="Cambria Math" w:cs="Times New Roman"/>
                <w:sz w:val="18"/>
                <w:szCs w:val="18"/>
              </w:rPr>
              <m:t>p</m:t>
            </m:r>
          </m:sub>
        </m:sSub>
      </m:oMath>
      <w:r w:rsidRPr="007A2781">
        <w:rPr>
          <w:rFonts w:ascii="Times New Roman" w:hAnsi="Times New Roman" w:cs="Times New Roman"/>
          <w:sz w:val="18"/>
          <w:szCs w:val="18"/>
          <w:lang w:val="en-US"/>
        </w:rPr>
        <w:t>, it was found that the organic solvents with the parameter of up to 10.6 dissolve L-PPSQ. Organic solvents with the parameters exceeding this value are not solvents for L-PPSQ.</w:t>
      </w:r>
    </w:p>
    <w:p w14:paraId="4CBCBBFD" w14:textId="77777777" w:rsidR="00F94740" w:rsidRPr="007A2781" w:rsidRDefault="00F94740" w:rsidP="00F94740">
      <w:pPr>
        <w:pStyle w:val="Header1"/>
        <w:spacing w:before="240" w:after="240"/>
      </w:pPr>
      <w:r w:rsidRPr="007A2781">
        <w:t>Acknowledgements</w:t>
      </w:r>
    </w:p>
    <w:p w14:paraId="7F84C028" w14:textId="77777777" w:rsidR="00F94740" w:rsidRPr="007A2781" w:rsidRDefault="00086953" w:rsidP="00086953">
      <w:pPr>
        <w:pStyle w:val="Header1"/>
        <w:spacing w:before="0" w:after="0"/>
        <w:ind w:firstLine="284"/>
        <w:jc w:val="both"/>
        <w:rPr>
          <w:rFonts w:ascii="Times New Roman" w:hAnsi="Times New Roman" w:cs="Times New Roman"/>
          <w:b w:val="0"/>
          <w:bCs/>
        </w:rPr>
      </w:pPr>
      <w:r w:rsidRPr="007A2781">
        <w:rPr>
          <w:rFonts w:ascii="Times New Roman" w:hAnsi="Times New Roman" w:cs="Times New Roman"/>
          <w:b w:val="0"/>
          <w:sz w:val="18"/>
          <w:szCs w:val="18"/>
        </w:rPr>
        <w:t>This work was supported by</w:t>
      </w:r>
      <w:r w:rsidR="00015846" w:rsidRPr="007A2781">
        <w:rPr>
          <w:rFonts w:ascii="Times New Roman" w:hAnsi="Times New Roman" w:cs="Times New Roman"/>
          <w:b w:val="0"/>
          <w:sz w:val="18"/>
          <w:szCs w:val="18"/>
        </w:rPr>
        <w:t xml:space="preserve"> the Russian Science Foundation</w:t>
      </w:r>
      <w:r w:rsidR="00984B0A" w:rsidRPr="007A2781">
        <w:rPr>
          <w:rFonts w:ascii="Times New Roman" w:hAnsi="Times New Roman" w:cs="Times New Roman"/>
          <w:b w:val="0"/>
          <w:sz w:val="18"/>
          <w:szCs w:val="18"/>
        </w:rPr>
        <w:t xml:space="preserve"> (</w:t>
      </w:r>
      <w:r w:rsidR="00015846" w:rsidRPr="007A2781">
        <w:rPr>
          <w:rFonts w:ascii="Times New Roman" w:hAnsi="Times New Roman" w:cs="Times New Roman"/>
          <w:b w:val="0"/>
          <w:sz w:val="18"/>
          <w:szCs w:val="18"/>
        </w:rPr>
        <w:t xml:space="preserve">project no. </w:t>
      </w:r>
      <w:r w:rsidRPr="007A2781">
        <w:rPr>
          <w:rFonts w:ascii="Times New Roman" w:hAnsi="Times New Roman" w:cs="Times New Roman"/>
          <w:b w:val="0"/>
          <w:sz w:val="18"/>
          <w:szCs w:val="18"/>
        </w:rPr>
        <w:t>23-79-10256</w:t>
      </w:r>
      <w:r w:rsidR="00984B0A" w:rsidRPr="007A2781">
        <w:rPr>
          <w:rFonts w:ascii="Times New Roman" w:hAnsi="Times New Roman" w:cs="Times New Roman"/>
          <w:b w:val="0"/>
          <w:sz w:val="18"/>
          <w:szCs w:val="18"/>
        </w:rPr>
        <w:t>)</w:t>
      </w:r>
      <w:r w:rsidRPr="007A2781">
        <w:rPr>
          <w:rFonts w:ascii="Times New Roman" w:hAnsi="Times New Roman" w:cs="Times New Roman"/>
          <w:b w:val="0"/>
          <w:sz w:val="18"/>
          <w:szCs w:val="18"/>
        </w:rPr>
        <w:t>.</w:t>
      </w:r>
    </w:p>
    <w:p w14:paraId="22CCCA46" w14:textId="77777777" w:rsidR="00F86864" w:rsidRPr="007A2781" w:rsidRDefault="00F86864" w:rsidP="00161894">
      <w:pPr>
        <w:pStyle w:val="Header1"/>
        <w:spacing w:before="240" w:after="240"/>
      </w:pPr>
      <w:r w:rsidRPr="007A2781">
        <w:t xml:space="preserve">Corresponding </w:t>
      </w:r>
      <w:r w:rsidR="005C7369" w:rsidRPr="007A2781">
        <w:t>a</w:t>
      </w:r>
      <w:r w:rsidRPr="007A2781">
        <w:t>uthor</w:t>
      </w:r>
    </w:p>
    <w:p w14:paraId="2578B021" w14:textId="77777777" w:rsidR="00F86864" w:rsidRPr="007A2781" w:rsidRDefault="00F86864" w:rsidP="00071D12">
      <w:pPr>
        <w:pStyle w:val="MainText"/>
        <w:ind w:firstLine="284"/>
        <w:rPr>
          <w:rFonts w:ascii="AdvOTce3d9a73" w:hAnsi="AdvOTce3d9a73" w:cs="AdvOTce3d9a73"/>
        </w:rPr>
      </w:pPr>
      <w:r w:rsidRPr="007A2781">
        <w:rPr>
          <w:rFonts w:ascii="AdvOT8608a8d1" w:hAnsi="AdvOT8608a8d1" w:cs="AdvOT8608a8d1"/>
        </w:rPr>
        <w:t xml:space="preserve">* </w:t>
      </w:r>
      <w:r w:rsidRPr="007A2781">
        <w:t xml:space="preserve">E-mail: </w:t>
      </w:r>
      <w:r w:rsidR="007A2781" w:rsidRPr="007A2781">
        <w:t xml:space="preserve">tsanokhina@ips.ac.ru </w:t>
      </w:r>
      <w:r w:rsidR="001875DB" w:rsidRPr="007A2781">
        <w:t>(T. S. Anokhina).</w:t>
      </w:r>
    </w:p>
    <w:p w14:paraId="2209AD85" w14:textId="77777777" w:rsidR="00F94740" w:rsidRPr="007A2781" w:rsidRDefault="00F94740" w:rsidP="00161894">
      <w:pPr>
        <w:pStyle w:val="Header1"/>
        <w:spacing w:before="240" w:after="240"/>
      </w:pPr>
      <w:r w:rsidRPr="007A2781">
        <w:t>References</w:t>
      </w:r>
    </w:p>
    <w:p w14:paraId="68527E63" w14:textId="77777777" w:rsidR="007D7257" w:rsidRPr="007A2781" w:rsidRDefault="00B40283" w:rsidP="00B40283">
      <w:pPr>
        <w:pStyle w:val="af4"/>
        <w:spacing w:after="0" w:line="264" w:lineRule="auto"/>
        <w:ind w:left="454" w:hanging="454"/>
        <w:jc w:val="both"/>
        <w:rPr>
          <w:rFonts w:ascii="Times New Roman" w:hAnsi="Times New Roman" w:cs="Times New Roman"/>
          <w:sz w:val="16"/>
          <w:lang w:val="en-US"/>
        </w:rPr>
      </w:pPr>
      <w:bookmarkStart w:id="1" w:name="_Hlk164107203"/>
      <w:r w:rsidRPr="007A2781">
        <w:rPr>
          <w:rFonts w:ascii="Times New Roman" w:hAnsi="Times New Roman" w:cs="Times New Roman"/>
          <w:sz w:val="16"/>
          <w:lang w:val="en-US"/>
        </w:rPr>
        <w:t>1.</w:t>
      </w:r>
      <w:r w:rsidRPr="007A2781">
        <w:rPr>
          <w:rFonts w:ascii="Times New Roman" w:hAnsi="Times New Roman" w:cs="Times New Roman"/>
          <w:sz w:val="16"/>
          <w:lang w:val="en-US"/>
        </w:rPr>
        <w:tab/>
        <w:t xml:space="preserve">T. O. </w:t>
      </w:r>
      <w:r w:rsidR="007D7257" w:rsidRPr="007A2781">
        <w:rPr>
          <w:rFonts w:ascii="Times New Roman" w:hAnsi="Times New Roman" w:cs="Times New Roman"/>
          <w:sz w:val="16"/>
          <w:lang w:val="en-US"/>
        </w:rPr>
        <w:t>Ershova</w:t>
      </w:r>
      <w:r w:rsidRPr="007A2781">
        <w:rPr>
          <w:rFonts w:ascii="Times New Roman" w:hAnsi="Times New Roman" w:cs="Times New Roman"/>
          <w:sz w:val="16"/>
          <w:lang w:val="en-US"/>
        </w:rPr>
        <w:t xml:space="preserve">, A. A. </w:t>
      </w:r>
      <w:r w:rsidR="007D7257" w:rsidRPr="007A2781">
        <w:rPr>
          <w:rFonts w:ascii="Times New Roman" w:hAnsi="Times New Roman" w:cs="Times New Roman"/>
          <w:sz w:val="16"/>
          <w:lang w:val="en-US"/>
        </w:rPr>
        <w:t xml:space="preserve">Anisimov, </w:t>
      </w:r>
      <w:r w:rsidRPr="007A2781">
        <w:rPr>
          <w:rFonts w:ascii="Times New Roman" w:hAnsi="Times New Roman" w:cs="Times New Roman"/>
          <w:sz w:val="16"/>
          <w:lang w:val="en-US"/>
        </w:rPr>
        <w:t xml:space="preserve">M. N. </w:t>
      </w:r>
      <w:r w:rsidR="007D7257" w:rsidRPr="007A2781">
        <w:rPr>
          <w:rFonts w:ascii="Times New Roman" w:hAnsi="Times New Roman" w:cs="Times New Roman"/>
          <w:sz w:val="16"/>
          <w:szCs w:val="16"/>
          <w:lang w:val="en-US"/>
        </w:rPr>
        <w:t>Temnikov</w:t>
      </w:r>
      <w:r w:rsidRPr="007A2781">
        <w:rPr>
          <w:rFonts w:ascii="Times New Roman" w:hAnsi="Times New Roman" w:cs="Times New Roman"/>
          <w:sz w:val="16"/>
          <w:szCs w:val="16"/>
          <w:lang w:val="en-US"/>
        </w:rPr>
        <w:t xml:space="preserve">, M. A. </w:t>
      </w:r>
      <w:r w:rsidR="007D7257" w:rsidRPr="007A2781">
        <w:rPr>
          <w:rFonts w:ascii="Times New Roman" w:hAnsi="Times New Roman" w:cs="Times New Roman"/>
          <w:sz w:val="16"/>
          <w:szCs w:val="16"/>
          <w:lang w:val="en-US"/>
        </w:rPr>
        <w:t>Novikov</w:t>
      </w:r>
      <w:r w:rsidRPr="007A2781">
        <w:rPr>
          <w:rFonts w:ascii="Times New Roman" w:hAnsi="Times New Roman" w:cs="Times New Roman"/>
          <w:sz w:val="16"/>
          <w:szCs w:val="16"/>
          <w:lang w:val="en-US"/>
        </w:rPr>
        <w:t xml:space="preserve">, M. I. </w:t>
      </w:r>
      <w:r w:rsidR="007D7257" w:rsidRPr="007A2781">
        <w:rPr>
          <w:rFonts w:ascii="Times New Roman" w:hAnsi="Times New Roman" w:cs="Times New Roman"/>
          <w:sz w:val="16"/>
          <w:szCs w:val="16"/>
          <w:lang w:val="en-US"/>
        </w:rPr>
        <w:t>Buzin</w:t>
      </w:r>
      <w:r w:rsidRPr="007A2781">
        <w:rPr>
          <w:rFonts w:ascii="Times New Roman" w:hAnsi="Times New Roman" w:cs="Times New Roman"/>
          <w:sz w:val="16"/>
          <w:szCs w:val="16"/>
          <w:lang w:val="en-US"/>
        </w:rPr>
        <w:t>, G. G. N</w:t>
      </w:r>
      <w:r w:rsidR="007D7257" w:rsidRPr="007A2781">
        <w:rPr>
          <w:rFonts w:ascii="Times New Roman" w:hAnsi="Times New Roman" w:cs="Times New Roman"/>
          <w:sz w:val="16"/>
          <w:lang w:val="en-US"/>
        </w:rPr>
        <w:t xml:space="preserve">ikiforova, </w:t>
      </w:r>
      <w:r w:rsidR="00810239" w:rsidRPr="007A2781">
        <w:rPr>
          <w:rFonts w:ascii="Times New Roman" w:hAnsi="Times New Roman" w:cs="Times New Roman"/>
          <w:sz w:val="16"/>
          <w:lang w:val="en-US"/>
        </w:rPr>
        <w:t xml:space="preserve">Yu. S. </w:t>
      </w:r>
      <w:r w:rsidR="007D7257" w:rsidRPr="007A2781">
        <w:rPr>
          <w:rFonts w:ascii="Times New Roman" w:hAnsi="Times New Roman" w:cs="Times New Roman"/>
          <w:sz w:val="16"/>
          <w:szCs w:val="16"/>
          <w:lang w:val="en-US"/>
        </w:rPr>
        <w:t>Duyzhikova</w:t>
      </w:r>
      <w:r w:rsidR="00810239" w:rsidRPr="007A2781">
        <w:rPr>
          <w:rFonts w:ascii="Times New Roman" w:hAnsi="Times New Roman" w:cs="Times New Roman"/>
          <w:sz w:val="16"/>
          <w:szCs w:val="16"/>
          <w:lang w:val="en-US"/>
        </w:rPr>
        <w:t>,</w:t>
      </w:r>
      <w:r w:rsidR="007D7257" w:rsidRPr="007A2781">
        <w:rPr>
          <w:rFonts w:ascii="Times New Roman" w:hAnsi="Times New Roman" w:cs="Times New Roman"/>
          <w:sz w:val="16"/>
          <w:szCs w:val="16"/>
          <w:lang w:val="en-US"/>
        </w:rPr>
        <w:t xml:space="preserve"> </w:t>
      </w:r>
      <w:r w:rsidR="00810239" w:rsidRPr="007A2781">
        <w:rPr>
          <w:rFonts w:ascii="Times New Roman" w:hAnsi="Times New Roman" w:cs="Times New Roman"/>
          <w:sz w:val="16"/>
          <w:szCs w:val="16"/>
          <w:lang w:val="en-US"/>
        </w:rPr>
        <w:t xml:space="preserve">I. E. </w:t>
      </w:r>
      <w:r w:rsidR="007D7257" w:rsidRPr="007A2781">
        <w:rPr>
          <w:rFonts w:ascii="Times New Roman" w:hAnsi="Times New Roman" w:cs="Times New Roman"/>
          <w:sz w:val="16"/>
          <w:szCs w:val="16"/>
          <w:lang w:val="en-US"/>
        </w:rPr>
        <w:t>Ushakov</w:t>
      </w:r>
      <w:r w:rsidR="00810239" w:rsidRPr="007A2781">
        <w:rPr>
          <w:rFonts w:ascii="Times New Roman" w:hAnsi="Times New Roman" w:cs="Times New Roman"/>
          <w:sz w:val="16"/>
          <w:szCs w:val="16"/>
          <w:lang w:val="en-US"/>
        </w:rPr>
        <w:t>, O. I.</w:t>
      </w:r>
      <w:r w:rsidR="007D7257" w:rsidRPr="007A2781">
        <w:rPr>
          <w:rFonts w:ascii="Times New Roman" w:hAnsi="Times New Roman" w:cs="Times New Roman"/>
          <w:sz w:val="16"/>
          <w:szCs w:val="16"/>
          <w:lang w:val="en-US"/>
        </w:rPr>
        <w:t xml:space="preserve"> </w:t>
      </w:r>
      <w:r w:rsidR="007D7257" w:rsidRPr="007A2781">
        <w:rPr>
          <w:rFonts w:ascii="Times New Roman" w:hAnsi="Times New Roman" w:cs="Times New Roman"/>
          <w:sz w:val="16"/>
          <w:lang w:val="en-US"/>
        </w:rPr>
        <w:t>Shchegolikhina</w:t>
      </w:r>
      <w:r w:rsidR="00810239" w:rsidRPr="007A2781">
        <w:rPr>
          <w:rFonts w:ascii="Times New Roman" w:hAnsi="Times New Roman" w:cs="Times New Roman"/>
          <w:sz w:val="16"/>
          <w:lang w:val="en-US"/>
        </w:rPr>
        <w:t>, A. M.</w:t>
      </w:r>
      <w:r w:rsidR="007D7257" w:rsidRPr="007A2781">
        <w:rPr>
          <w:rFonts w:ascii="Times New Roman" w:hAnsi="Times New Roman" w:cs="Times New Roman"/>
          <w:sz w:val="16"/>
          <w:lang w:val="en-US"/>
        </w:rPr>
        <w:t xml:space="preserve"> Muzafarov, </w:t>
      </w:r>
      <w:r w:rsidR="007D7257" w:rsidRPr="007A2781">
        <w:rPr>
          <w:rFonts w:ascii="Times New Roman" w:hAnsi="Times New Roman" w:cs="Times New Roman"/>
          <w:i/>
          <w:sz w:val="16"/>
          <w:szCs w:val="16"/>
          <w:lang w:val="en-US"/>
        </w:rPr>
        <w:t>Polymers</w:t>
      </w:r>
      <w:r w:rsidR="007D7257" w:rsidRPr="007A2781">
        <w:rPr>
          <w:rFonts w:ascii="Times New Roman" w:hAnsi="Times New Roman" w:cs="Times New Roman"/>
          <w:iCs/>
          <w:sz w:val="16"/>
          <w:szCs w:val="16"/>
          <w:lang w:val="en-US"/>
        </w:rPr>
        <w:t>,</w:t>
      </w:r>
      <w:r w:rsidR="007D7257" w:rsidRPr="007A2781">
        <w:rPr>
          <w:rFonts w:ascii="Times New Roman" w:hAnsi="Times New Roman" w:cs="Times New Roman"/>
          <w:i/>
          <w:iCs/>
          <w:sz w:val="16"/>
          <w:szCs w:val="16"/>
          <w:lang w:val="en-US"/>
        </w:rPr>
        <w:t xml:space="preserve"> </w:t>
      </w:r>
      <w:r w:rsidR="007D7257" w:rsidRPr="007A2781">
        <w:rPr>
          <w:rFonts w:ascii="Times New Roman" w:hAnsi="Times New Roman" w:cs="Times New Roman"/>
          <w:b/>
          <w:bCs/>
          <w:sz w:val="16"/>
          <w:lang w:val="en-US"/>
        </w:rPr>
        <w:t>2021</w:t>
      </w:r>
      <w:r w:rsidR="007D7257" w:rsidRPr="007A2781">
        <w:rPr>
          <w:rFonts w:ascii="Times New Roman" w:hAnsi="Times New Roman" w:cs="Times New Roman"/>
          <w:sz w:val="16"/>
          <w:lang w:val="en-US"/>
        </w:rPr>
        <w:t xml:space="preserve">, </w:t>
      </w:r>
      <w:r w:rsidR="007D7257" w:rsidRPr="007A2781">
        <w:rPr>
          <w:rFonts w:ascii="Times New Roman" w:hAnsi="Times New Roman" w:cs="Times New Roman"/>
          <w:i/>
          <w:iCs/>
          <w:sz w:val="16"/>
          <w:lang w:val="en-US"/>
        </w:rPr>
        <w:t>13</w:t>
      </w:r>
      <w:r w:rsidR="007D7257" w:rsidRPr="007A2781">
        <w:rPr>
          <w:rFonts w:ascii="Times New Roman" w:hAnsi="Times New Roman" w:cs="Times New Roman"/>
          <w:sz w:val="16"/>
          <w:lang w:val="en-US"/>
        </w:rPr>
        <w:t>, 4452.</w:t>
      </w:r>
      <w:r w:rsidR="00810239" w:rsidRPr="007A2781">
        <w:rPr>
          <w:rFonts w:ascii="Times New Roman" w:hAnsi="Times New Roman" w:cs="Times New Roman"/>
          <w:sz w:val="16"/>
          <w:lang w:val="en-US"/>
        </w:rPr>
        <w:t xml:space="preserve"> DOI: </w:t>
      </w:r>
      <w:r w:rsidR="006A630A" w:rsidRPr="007A2781">
        <w:rPr>
          <w:rFonts w:ascii="Times New Roman" w:hAnsi="Times New Roman" w:cs="Times New Roman"/>
          <w:sz w:val="16"/>
          <w:lang w:val="en-US"/>
        </w:rPr>
        <w:t>10.3390/polym13244452</w:t>
      </w:r>
    </w:p>
    <w:p w14:paraId="3FC78936" w14:textId="77777777" w:rsidR="007D7257" w:rsidRPr="007A2781" w:rsidRDefault="00B40283" w:rsidP="00B40283">
      <w:pPr>
        <w:spacing w:after="0" w:line="264" w:lineRule="auto"/>
        <w:ind w:left="454" w:hanging="454"/>
        <w:jc w:val="both"/>
        <w:rPr>
          <w:rFonts w:ascii="Times New Roman" w:hAnsi="Times New Roman" w:cs="Times New Roman"/>
          <w:sz w:val="16"/>
          <w:lang w:val="en-US"/>
        </w:rPr>
      </w:pPr>
      <w:r w:rsidRPr="007A2781">
        <w:rPr>
          <w:rFonts w:ascii="Times New Roman" w:hAnsi="Times New Roman" w:cs="Times New Roman"/>
          <w:sz w:val="16"/>
          <w:lang w:val="en-US"/>
        </w:rPr>
        <w:t>2.</w:t>
      </w:r>
      <w:r w:rsidRPr="007A2781">
        <w:rPr>
          <w:rFonts w:ascii="Times New Roman" w:hAnsi="Times New Roman" w:cs="Times New Roman"/>
          <w:sz w:val="16"/>
          <w:lang w:val="en-US"/>
        </w:rPr>
        <w:tab/>
      </w:r>
      <w:r w:rsidR="007D7257" w:rsidRPr="007A2781">
        <w:rPr>
          <w:rFonts w:ascii="Times New Roman" w:hAnsi="Times New Roman" w:cs="Times New Roman"/>
          <w:sz w:val="16"/>
          <w:lang w:val="en-US"/>
        </w:rPr>
        <w:t>Y. Mi, S. A. Stern</w:t>
      </w:r>
      <w:r w:rsidR="00716CC1" w:rsidRPr="007A2781">
        <w:rPr>
          <w:rFonts w:ascii="Times New Roman" w:hAnsi="Times New Roman" w:cs="Times New Roman"/>
          <w:sz w:val="16"/>
          <w:lang w:val="en-US"/>
        </w:rPr>
        <w:t xml:space="preserve">, </w:t>
      </w:r>
      <w:r w:rsidR="007D7257" w:rsidRPr="007A2781">
        <w:rPr>
          <w:rFonts w:ascii="Times New Roman" w:hAnsi="Times New Roman" w:cs="Times New Roman"/>
          <w:i/>
          <w:iCs/>
          <w:sz w:val="16"/>
          <w:lang w:val="en-US"/>
        </w:rPr>
        <w:t>J</w:t>
      </w:r>
      <w:r w:rsidR="00716CC1" w:rsidRPr="007A2781">
        <w:rPr>
          <w:rFonts w:ascii="Times New Roman" w:hAnsi="Times New Roman" w:cs="Times New Roman"/>
          <w:i/>
          <w:iCs/>
          <w:sz w:val="16"/>
          <w:lang w:val="en-US"/>
        </w:rPr>
        <w:t>.</w:t>
      </w:r>
      <w:r w:rsidR="007D7257" w:rsidRPr="007A2781">
        <w:rPr>
          <w:rFonts w:ascii="Times New Roman" w:hAnsi="Times New Roman" w:cs="Times New Roman"/>
          <w:i/>
          <w:iCs/>
          <w:sz w:val="16"/>
          <w:lang w:val="en-US"/>
        </w:rPr>
        <w:t xml:space="preserve"> Polym</w:t>
      </w:r>
      <w:r w:rsidR="00716CC1" w:rsidRPr="007A2781">
        <w:rPr>
          <w:rFonts w:ascii="Times New Roman" w:hAnsi="Times New Roman" w:cs="Times New Roman"/>
          <w:i/>
          <w:iCs/>
          <w:sz w:val="16"/>
          <w:lang w:val="en-US"/>
        </w:rPr>
        <w:t xml:space="preserve">. </w:t>
      </w:r>
      <w:r w:rsidR="007D7257" w:rsidRPr="007A2781">
        <w:rPr>
          <w:rFonts w:ascii="Times New Roman" w:hAnsi="Times New Roman" w:cs="Times New Roman"/>
          <w:i/>
          <w:iCs/>
          <w:sz w:val="16"/>
          <w:lang w:val="en-US"/>
        </w:rPr>
        <w:t>Sci</w:t>
      </w:r>
      <w:r w:rsidR="00716CC1" w:rsidRPr="007A2781">
        <w:rPr>
          <w:rFonts w:ascii="Times New Roman" w:hAnsi="Times New Roman" w:cs="Times New Roman"/>
          <w:sz w:val="16"/>
          <w:lang w:val="en-US"/>
        </w:rPr>
        <w:t>.,</w:t>
      </w:r>
      <w:r w:rsidR="00716CC1" w:rsidRPr="007A2781">
        <w:rPr>
          <w:rFonts w:ascii="Times New Roman" w:hAnsi="Times New Roman" w:cs="Times New Roman"/>
          <w:i/>
          <w:iCs/>
          <w:sz w:val="16"/>
          <w:lang w:val="en-US"/>
        </w:rPr>
        <w:t xml:space="preserve"> </w:t>
      </w:r>
      <w:r w:rsidR="007D7257" w:rsidRPr="007A2781">
        <w:rPr>
          <w:rFonts w:ascii="Times New Roman" w:hAnsi="Times New Roman" w:cs="Times New Roman"/>
          <w:i/>
          <w:iCs/>
          <w:sz w:val="16"/>
          <w:lang w:val="en-US"/>
        </w:rPr>
        <w:t>Part B: Polym</w:t>
      </w:r>
      <w:r w:rsidR="00716CC1" w:rsidRPr="007A2781">
        <w:rPr>
          <w:rFonts w:ascii="Times New Roman" w:hAnsi="Times New Roman" w:cs="Times New Roman"/>
          <w:i/>
          <w:iCs/>
          <w:sz w:val="16"/>
          <w:lang w:val="en-US"/>
        </w:rPr>
        <w:t>.</w:t>
      </w:r>
      <w:r w:rsidR="007D7257" w:rsidRPr="007A2781">
        <w:rPr>
          <w:rFonts w:ascii="Times New Roman" w:hAnsi="Times New Roman" w:cs="Times New Roman"/>
          <w:i/>
          <w:iCs/>
          <w:sz w:val="16"/>
          <w:lang w:val="en-US"/>
        </w:rPr>
        <w:t xml:space="preserve"> Phys</w:t>
      </w:r>
      <w:r w:rsidR="00716CC1"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 </w:t>
      </w:r>
      <w:r w:rsidR="00716CC1" w:rsidRPr="007A2781">
        <w:rPr>
          <w:rFonts w:ascii="Times New Roman" w:hAnsi="Times New Roman" w:cs="Times New Roman"/>
          <w:b/>
          <w:bCs/>
          <w:sz w:val="16"/>
          <w:lang w:val="en-US"/>
        </w:rPr>
        <w:t>1991</w:t>
      </w:r>
      <w:r w:rsidR="00716CC1" w:rsidRPr="007A2781">
        <w:rPr>
          <w:rFonts w:ascii="Times New Roman" w:hAnsi="Times New Roman" w:cs="Times New Roman"/>
          <w:sz w:val="16"/>
          <w:lang w:val="en-US"/>
        </w:rPr>
        <w:t xml:space="preserve">, </w:t>
      </w:r>
      <w:r w:rsidR="007D7257" w:rsidRPr="007A2781">
        <w:rPr>
          <w:rFonts w:ascii="Times New Roman" w:hAnsi="Times New Roman" w:cs="Times New Roman"/>
          <w:i/>
          <w:iCs/>
          <w:sz w:val="16"/>
          <w:lang w:val="en-US"/>
        </w:rPr>
        <w:t>29</w:t>
      </w:r>
      <w:r w:rsidR="00716CC1"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 389</w:t>
      </w:r>
      <w:r w:rsidR="00716CC1" w:rsidRPr="007A2781">
        <w:rPr>
          <w:rFonts w:ascii="Times New Roman" w:hAnsi="Times New Roman" w:cs="Times New Roman"/>
          <w:sz w:val="16"/>
          <w:lang w:val="en-US"/>
        </w:rPr>
        <w:t>–</w:t>
      </w:r>
      <w:r w:rsidR="007D7257" w:rsidRPr="007A2781">
        <w:rPr>
          <w:rFonts w:ascii="Times New Roman" w:hAnsi="Times New Roman" w:cs="Times New Roman"/>
          <w:sz w:val="16"/>
          <w:lang w:val="en-US"/>
        </w:rPr>
        <w:t>393</w:t>
      </w:r>
      <w:r w:rsidR="00716CC1" w:rsidRPr="007A2781">
        <w:rPr>
          <w:rFonts w:ascii="Times New Roman" w:hAnsi="Times New Roman" w:cs="Times New Roman"/>
          <w:sz w:val="16"/>
          <w:lang w:val="en-US"/>
        </w:rPr>
        <w:t>. DOI:</w:t>
      </w:r>
      <w:r w:rsidR="007663EE" w:rsidRPr="007A2781">
        <w:rPr>
          <w:rFonts w:ascii="Times New Roman" w:hAnsi="Times New Roman" w:cs="Times New Roman"/>
          <w:sz w:val="16"/>
          <w:lang w:val="en-US"/>
        </w:rPr>
        <w:t xml:space="preserve"> 10.1002/polb.1991.090290401</w:t>
      </w:r>
    </w:p>
    <w:p w14:paraId="64E7B003" w14:textId="77777777" w:rsidR="007D7257" w:rsidRPr="007A2781" w:rsidRDefault="00B40283" w:rsidP="00B40283">
      <w:pPr>
        <w:spacing w:after="0" w:line="264" w:lineRule="auto"/>
        <w:ind w:left="454" w:hanging="454"/>
        <w:jc w:val="both"/>
        <w:rPr>
          <w:rFonts w:ascii="Times New Roman" w:hAnsi="Times New Roman" w:cs="Times New Roman"/>
          <w:sz w:val="16"/>
          <w:lang w:val="en-US"/>
        </w:rPr>
      </w:pPr>
      <w:r w:rsidRPr="007A2781">
        <w:rPr>
          <w:rFonts w:ascii="Times New Roman" w:hAnsi="Times New Roman" w:cs="Times New Roman"/>
          <w:sz w:val="16"/>
          <w:lang w:val="en-US"/>
        </w:rPr>
        <w:t>3.</w:t>
      </w:r>
      <w:r w:rsidRPr="007A2781">
        <w:rPr>
          <w:rFonts w:ascii="Times New Roman" w:hAnsi="Times New Roman" w:cs="Times New Roman"/>
          <w:sz w:val="16"/>
          <w:lang w:val="en-US"/>
        </w:rPr>
        <w:tab/>
      </w:r>
      <w:r w:rsidR="00716CC1" w:rsidRPr="007A2781">
        <w:rPr>
          <w:rFonts w:ascii="Times New Roman" w:hAnsi="Times New Roman" w:cs="Times New Roman"/>
          <w:sz w:val="16"/>
          <w:lang w:val="en-US"/>
        </w:rPr>
        <w:t xml:space="preserve">C. M. </w:t>
      </w:r>
      <w:r w:rsidR="007D7257" w:rsidRPr="007A2781">
        <w:rPr>
          <w:rFonts w:ascii="Times New Roman" w:hAnsi="Times New Roman" w:cs="Times New Roman"/>
          <w:sz w:val="16"/>
          <w:lang w:val="en-US"/>
        </w:rPr>
        <w:t xml:space="preserve">Hansen, </w:t>
      </w:r>
      <w:r w:rsidR="00DA3240" w:rsidRPr="007A2781">
        <w:rPr>
          <w:rFonts w:ascii="Times New Roman" w:hAnsi="Times New Roman" w:cs="Times New Roman"/>
          <w:i/>
          <w:iCs/>
          <w:sz w:val="16"/>
          <w:lang w:val="en-US"/>
        </w:rPr>
        <w:t>Hansen Solubility Parameters. A User's Handbook</w:t>
      </w:r>
      <w:r w:rsidR="00DA3240" w:rsidRPr="007A2781">
        <w:rPr>
          <w:rFonts w:ascii="Times New Roman" w:hAnsi="Times New Roman" w:cs="Times New Roman"/>
          <w:sz w:val="16"/>
          <w:lang w:val="en-US"/>
        </w:rPr>
        <w:t xml:space="preserve">, </w:t>
      </w:r>
      <w:r w:rsidR="001B4E04" w:rsidRPr="007A2781">
        <w:rPr>
          <w:rFonts w:ascii="Times New Roman" w:hAnsi="Times New Roman" w:cs="Times New Roman"/>
          <w:i/>
          <w:iCs/>
          <w:sz w:val="16"/>
          <w:lang w:val="en-US"/>
        </w:rPr>
        <w:t>2nd ed</w:t>
      </w:r>
      <w:r w:rsidR="001B4E04" w:rsidRPr="007A2781">
        <w:rPr>
          <w:rFonts w:ascii="Times New Roman" w:hAnsi="Times New Roman" w:cs="Times New Roman"/>
          <w:sz w:val="16"/>
          <w:lang w:val="en-US"/>
        </w:rPr>
        <w:t xml:space="preserve">., </w:t>
      </w:r>
      <w:r w:rsidR="00EC5509" w:rsidRPr="007A2781">
        <w:rPr>
          <w:rFonts w:ascii="Times New Roman" w:hAnsi="Times New Roman" w:cs="Times New Roman"/>
          <w:sz w:val="16"/>
          <w:lang w:val="en-US"/>
        </w:rPr>
        <w:t xml:space="preserve">CRC Press, Boca Raton, </w:t>
      </w:r>
      <w:r w:rsidR="007D7257" w:rsidRPr="007A2781">
        <w:rPr>
          <w:rFonts w:ascii="Times New Roman" w:hAnsi="Times New Roman" w:cs="Times New Roman"/>
          <w:b/>
          <w:bCs/>
          <w:sz w:val="16"/>
          <w:lang w:val="en-US"/>
        </w:rPr>
        <w:t>2007</w:t>
      </w:r>
      <w:r w:rsidR="00EC5509" w:rsidRPr="007A2781">
        <w:rPr>
          <w:rFonts w:ascii="Times New Roman" w:hAnsi="Times New Roman" w:cs="Times New Roman"/>
          <w:sz w:val="16"/>
          <w:lang w:val="en-US"/>
        </w:rPr>
        <w:t>.</w:t>
      </w:r>
    </w:p>
    <w:p w14:paraId="2758434D" w14:textId="77777777" w:rsidR="007D7257" w:rsidRPr="007A2781" w:rsidRDefault="00B40283" w:rsidP="00B40283">
      <w:pPr>
        <w:spacing w:after="0" w:line="264" w:lineRule="auto"/>
        <w:ind w:left="454" w:hanging="454"/>
        <w:jc w:val="both"/>
        <w:rPr>
          <w:rFonts w:ascii="Times New Roman" w:hAnsi="Times New Roman" w:cs="Times New Roman"/>
          <w:sz w:val="16"/>
          <w:lang w:val="en-US"/>
        </w:rPr>
      </w:pPr>
      <w:r w:rsidRPr="007A2781">
        <w:rPr>
          <w:rFonts w:ascii="Times New Roman" w:hAnsi="Times New Roman" w:cs="Times New Roman"/>
          <w:sz w:val="16"/>
          <w:lang w:val="en-US"/>
        </w:rPr>
        <w:t>4.</w:t>
      </w:r>
      <w:r w:rsidRPr="007A2781">
        <w:rPr>
          <w:rFonts w:ascii="Times New Roman" w:hAnsi="Times New Roman" w:cs="Times New Roman"/>
          <w:sz w:val="16"/>
          <w:lang w:val="en-US"/>
        </w:rPr>
        <w:tab/>
      </w:r>
      <w:r w:rsidR="007D7257" w:rsidRPr="007A2781">
        <w:rPr>
          <w:rFonts w:ascii="Times New Roman" w:hAnsi="Times New Roman" w:cs="Times New Roman"/>
          <w:sz w:val="16"/>
          <w:lang w:val="en-US"/>
        </w:rPr>
        <w:t>R.</w:t>
      </w:r>
      <w:r w:rsidR="006A630A"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 xml:space="preserve">H. Baney, M. Itoh, A. Sakakibara, T. Suzuki, </w:t>
      </w:r>
      <w:r w:rsidR="003474FC" w:rsidRPr="007A2781">
        <w:rPr>
          <w:rFonts w:ascii="Times New Roman" w:hAnsi="Times New Roman" w:cs="Times New Roman"/>
          <w:i/>
          <w:iCs/>
          <w:sz w:val="16"/>
          <w:lang w:val="en-US"/>
        </w:rPr>
        <w:t>Chem. Rev</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b/>
          <w:bCs/>
          <w:sz w:val="16"/>
          <w:lang w:val="en-US"/>
        </w:rPr>
        <w:t>1995</w:t>
      </w:r>
      <w:r w:rsidR="003474FC"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 </w:t>
      </w:r>
      <w:r w:rsidR="003474FC" w:rsidRPr="007A2781">
        <w:rPr>
          <w:rFonts w:ascii="Times New Roman" w:hAnsi="Times New Roman" w:cs="Times New Roman"/>
          <w:i/>
          <w:iCs/>
          <w:sz w:val="16"/>
          <w:lang w:val="en-US"/>
        </w:rPr>
        <w:t>95</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1409</w:t>
      </w:r>
      <w:r w:rsidR="003474FC"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1430. </w:t>
      </w:r>
      <w:r w:rsidR="00EC5509" w:rsidRPr="007A2781">
        <w:rPr>
          <w:rFonts w:ascii="Times New Roman" w:hAnsi="Times New Roman" w:cs="Times New Roman"/>
          <w:sz w:val="16"/>
          <w:lang w:val="en-US"/>
        </w:rPr>
        <w:t xml:space="preserve">DOI: </w:t>
      </w:r>
      <w:r w:rsidR="007D7257" w:rsidRPr="007A2781">
        <w:rPr>
          <w:rFonts w:ascii="Times New Roman" w:hAnsi="Times New Roman" w:cs="Times New Roman"/>
          <w:sz w:val="16"/>
          <w:lang w:val="en-US"/>
        </w:rPr>
        <w:t>10.1021/cr00037a012</w:t>
      </w:r>
    </w:p>
    <w:p w14:paraId="001A9D25" w14:textId="77777777" w:rsidR="007D7257" w:rsidRPr="007A2781" w:rsidRDefault="00B40283" w:rsidP="00B40283">
      <w:pPr>
        <w:spacing w:after="0" w:line="264" w:lineRule="auto"/>
        <w:ind w:left="454" w:hanging="454"/>
        <w:jc w:val="both"/>
        <w:rPr>
          <w:rFonts w:ascii="Times New Roman" w:hAnsi="Times New Roman" w:cs="Times New Roman"/>
          <w:sz w:val="16"/>
          <w:lang w:val="en-US"/>
        </w:rPr>
      </w:pPr>
      <w:r w:rsidRPr="007A2781">
        <w:rPr>
          <w:rFonts w:ascii="Times New Roman" w:hAnsi="Times New Roman" w:cs="Times New Roman"/>
          <w:sz w:val="16"/>
          <w:lang w:val="en-US"/>
        </w:rPr>
        <w:t>5.</w:t>
      </w:r>
      <w:r w:rsidRPr="007A2781">
        <w:rPr>
          <w:rFonts w:ascii="Times New Roman" w:hAnsi="Times New Roman" w:cs="Times New Roman"/>
          <w:sz w:val="16"/>
          <w:lang w:val="en-US"/>
        </w:rPr>
        <w:tab/>
      </w:r>
      <w:r w:rsidR="003474FC" w:rsidRPr="007A2781">
        <w:rPr>
          <w:rFonts w:ascii="Times New Roman" w:hAnsi="Times New Roman" w:cs="Times New Roman"/>
          <w:sz w:val="16"/>
          <w:lang w:val="en-US"/>
        </w:rPr>
        <w:t xml:space="preserve">S. Darvishmanesh, J. Degrève, </w:t>
      </w:r>
      <w:r w:rsidR="007D7257" w:rsidRPr="007A2781">
        <w:rPr>
          <w:rFonts w:ascii="Times New Roman" w:hAnsi="Times New Roman" w:cs="Times New Roman"/>
          <w:sz w:val="16"/>
          <w:lang w:val="en-US"/>
        </w:rPr>
        <w:t xml:space="preserve">B. Van </w:t>
      </w:r>
      <w:r w:rsidR="003474FC" w:rsidRPr="007A2781">
        <w:rPr>
          <w:rFonts w:ascii="Times New Roman" w:hAnsi="Times New Roman" w:cs="Times New Roman"/>
          <w:sz w:val="16"/>
          <w:lang w:val="en-US"/>
        </w:rPr>
        <w:t>d</w:t>
      </w:r>
      <w:r w:rsidR="007D7257" w:rsidRPr="007A2781">
        <w:rPr>
          <w:rFonts w:ascii="Times New Roman" w:hAnsi="Times New Roman" w:cs="Times New Roman"/>
          <w:sz w:val="16"/>
          <w:lang w:val="en-US"/>
        </w:rPr>
        <w:t xml:space="preserve">er Bruggen, </w:t>
      </w:r>
      <w:r w:rsidR="003474FC" w:rsidRPr="007A2781">
        <w:rPr>
          <w:rFonts w:ascii="Times New Roman" w:hAnsi="Times New Roman" w:cs="Times New Roman"/>
          <w:i/>
          <w:iCs/>
          <w:sz w:val="16"/>
          <w:lang w:val="en-US"/>
        </w:rPr>
        <w:t>Phys. Chem. Chem. Phys.</w:t>
      </w:r>
      <w:r w:rsidR="007D7257" w:rsidRPr="007A2781">
        <w:rPr>
          <w:rFonts w:ascii="Times New Roman" w:hAnsi="Times New Roman" w:cs="Times New Roman"/>
          <w:sz w:val="16"/>
          <w:lang w:val="en-US"/>
        </w:rPr>
        <w:t xml:space="preserve">, </w:t>
      </w:r>
      <w:r w:rsidR="007D7257" w:rsidRPr="007A2781">
        <w:rPr>
          <w:rFonts w:ascii="Times New Roman" w:hAnsi="Times New Roman" w:cs="Times New Roman"/>
          <w:b/>
          <w:bCs/>
          <w:sz w:val="16"/>
          <w:lang w:val="en-US"/>
        </w:rPr>
        <w:t>2010</w:t>
      </w:r>
      <w:r w:rsidR="003474FC" w:rsidRPr="007A2781">
        <w:rPr>
          <w:rFonts w:ascii="Times New Roman" w:hAnsi="Times New Roman" w:cs="Times New Roman"/>
          <w:sz w:val="16"/>
          <w:lang w:val="en-US"/>
        </w:rPr>
        <w:t xml:space="preserve">, </w:t>
      </w:r>
      <w:r w:rsidR="003474FC" w:rsidRPr="007A2781">
        <w:rPr>
          <w:rFonts w:ascii="Times New Roman" w:hAnsi="Times New Roman" w:cs="Times New Roman"/>
          <w:i/>
          <w:iCs/>
          <w:sz w:val="16"/>
          <w:lang w:val="en-US"/>
        </w:rPr>
        <w:t>12</w:t>
      </w:r>
      <w:r w:rsidR="003474FC"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 13333</w:t>
      </w:r>
      <w:r w:rsidR="003474FC"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13342. </w:t>
      </w:r>
      <w:r w:rsidR="003474FC" w:rsidRPr="007A2781">
        <w:rPr>
          <w:rFonts w:ascii="Times New Roman" w:hAnsi="Times New Roman" w:cs="Times New Roman"/>
          <w:sz w:val="16"/>
          <w:lang w:val="en-US"/>
        </w:rPr>
        <w:t xml:space="preserve">DOI: </w:t>
      </w:r>
      <w:r w:rsidR="007D7257" w:rsidRPr="007A2781">
        <w:rPr>
          <w:rFonts w:ascii="Times New Roman" w:hAnsi="Times New Roman" w:cs="Times New Roman"/>
          <w:sz w:val="16"/>
          <w:lang w:val="en-US"/>
        </w:rPr>
        <w:t>10.1039/c0cp00230e</w:t>
      </w:r>
    </w:p>
    <w:p w14:paraId="180B4273" w14:textId="77777777" w:rsidR="007D7257" w:rsidRPr="007A2781" w:rsidRDefault="00B40283" w:rsidP="00B40283">
      <w:pPr>
        <w:spacing w:after="0" w:line="264" w:lineRule="auto"/>
        <w:ind w:left="454" w:hanging="454"/>
        <w:jc w:val="both"/>
        <w:rPr>
          <w:rFonts w:ascii="Times New Roman" w:hAnsi="Times New Roman" w:cs="Times New Roman"/>
          <w:sz w:val="16"/>
          <w:lang w:val="en-US"/>
        </w:rPr>
      </w:pPr>
      <w:r w:rsidRPr="007A2781">
        <w:rPr>
          <w:rFonts w:ascii="Times New Roman" w:hAnsi="Times New Roman" w:cs="Times New Roman"/>
          <w:sz w:val="16"/>
          <w:lang w:val="en-US"/>
        </w:rPr>
        <w:t>6.</w:t>
      </w:r>
      <w:r w:rsidRPr="007A2781">
        <w:rPr>
          <w:rFonts w:ascii="Times New Roman" w:hAnsi="Times New Roman" w:cs="Times New Roman"/>
          <w:sz w:val="16"/>
          <w:lang w:val="en-US"/>
        </w:rPr>
        <w:tab/>
      </w:r>
      <w:r w:rsidR="007D7257" w:rsidRPr="007A2781">
        <w:rPr>
          <w:rFonts w:ascii="Times New Roman" w:hAnsi="Times New Roman" w:cs="Times New Roman"/>
          <w:sz w:val="16"/>
          <w:lang w:val="en-US"/>
        </w:rPr>
        <w:t>E.</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S. Tarleton, J.</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P. Robinson, S.</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J. Smith, J.</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J.</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W. Na</w:t>
      </w:r>
      <w:r w:rsidR="007D7257" w:rsidRPr="007A2781">
        <w:rPr>
          <w:rFonts w:ascii="Times New Roman" w:hAnsi="Times New Roman" w:cs="Times New Roman"/>
          <w:i/>
          <w:iCs/>
          <w:sz w:val="16"/>
          <w:lang w:val="en-US"/>
        </w:rPr>
        <w:t xml:space="preserve">, </w:t>
      </w:r>
      <w:r w:rsidR="008B4390" w:rsidRPr="007A2781">
        <w:rPr>
          <w:rFonts w:ascii="Times New Roman" w:hAnsi="Times New Roman" w:cs="Times New Roman"/>
          <w:i/>
          <w:iCs/>
          <w:sz w:val="16"/>
          <w:lang w:val="en-US"/>
        </w:rPr>
        <w:t>J. Membr. Sci.</w:t>
      </w:r>
      <w:r w:rsidR="008B4390" w:rsidRPr="007A2781">
        <w:rPr>
          <w:rFonts w:ascii="Times New Roman" w:hAnsi="Times New Roman" w:cs="Times New Roman"/>
          <w:sz w:val="16"/>
          <w:lang w:val="en-US"/>
        </w:rPr>
        <w:t xml:space="preserve">, </w:t>
      </w:r>
      <w:r w:rsidR="003474FC" w:rsidRPr="007A2781">
        <w:rPr>
          <w:rFonts w:ascii="Times New Roman" w:hAnsi="Times New Roman" w:cs="Times New Roman"/>
          <w:b/>
          <w:bCs/>
          <w:sz w:val="16"/>
          <w:lang w:val="en-US"/>
        </w:rPr>
        <w:t>2005</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i/>
          <w:iCs/>
          <w:sz w:val="16"/>
          <w:lang w:val="en-US"/>
        </w:rPr>
        <w:t>261</w:t>
      </w:r>
      <w:r w:rsidR="003474FC" w:rsidRPr="007A2781">
        <w:rPr>
          <w:rFonts w:ascii="Times New Roman" w:hAnsi="Times New Roman" w:cs="Times New Roman"/>
          <w:sz w:val="16"/>
          <w:lang w:val="en-US"/>
        </w:rPr>
        <w:t xml:space="preserve">, </w:t>
      </w:r>
      <w:r w:rsidR="007D7257" w:rsidRPr="007A2781">
        <w:rPr>
          <w:rFonts w:ascii="Times New Roman" w:hAnsi="Times New Roman" w:cs="Times New Roman"/>
          <w:sz w:val="16"/>
          <w:lang w:val="en-US"/>
        </w:rPr>
        <w:t>129</w:t>
      </w:r>
      <w:r w:rsidR="003474FC" w:rsidRPr="007A2781">
        <w:rPr>
          <w:rFonts w:ascii="Times New Roman" w:hAnsi="Times New Roman" w:cs="Times New Roman"/>
          <w:sz w:val="16"/>
          <w:lang w:val="en-US"/>
        </w:rPr>
        <w:t>–</w:t>
      </w:r>
      <w:r w:rsidR="007D7257" w:rsidRPr="007A2781">
        <w:rPr>
          <w:rFonts w:ascii="Times New Roman" w:hAnsi="Times New Roman" w:cs="Times New Roman"/>
          <w:sz w:val="16"/>
          <w:lang w:val="en-US"/>
        </w:rPr>
        <w:t xml:space="preserve">135. </w:t>
      </w:r>
      <w:r w:rsidR="003474FC" w:rsidRPr="007A2781">
        <w:rPr>
          <w:rFonts w:ascii="Times New Roman" w:hAnsi="Times New Roman" w:cs="Times New Roman"/>
          <w:sz w:val="16"/>
          <w:lang w:val="en-US"/>
        </w:rPr>
        <w:t xml:space="preserve">DOI: </w:t>
      </w:r>
      <w:r w:rsidR="007D7257" w:rsidRPr="007A2781">
        <w:rPr>
          <w:rFonts w:ascii="Times New Roman" w:hAnsi="Times New Roman" w:cs="Times New Roman"/>
          <w:sz w:val="16"/>
          <w:lang w:val="en-US"/>
        </w:rPr>
        <w:t>10.1016/j.memsci.2005.02.037</w:t>
      </w:r>
      <w:bookmarkEnd w:id="1"/>
    </w:p>
    <w:p w14:paraId="0300FD7D" w14:textId="77777777" w:rsidR="007A2781" w:rsidRPr="007A2781" w:rsidRDefault="007A2781" w:rsidP="00B40283">
      <w:pPr>
        <w:spacing w:after="0" w:line="264" w:lineRule="auto"/>
        <w:ind w:left="454" w:hanging="454"/>
        <w:jc w:val="both"/>
        <w:rPr>
          <w:rFonts w:ascii="Times New Roman" w:hAnsi="Times New Roman" w:cs="Times New Roman"/>
          <w:sz w:val="16"/>
          <w:lang w:val="en-US"/>
        </w:rPr>
      </w:pPr>
    </w:p>
    <w:p w14:paraId="58095FBC" w14:textId="77777777" w:rsidR="007A2781" w:rsidRPr="007A2781" w:rsidRDefault="007A2781" w:rsidP="007A2781">
      <w:pPr>
        <w:spacing w:after="0" w:line="264" w:lineRule="auto"/>
        <w:ind w:left="454" w:hanging="454"/>
        <w:jc w:val="both"/>
        <w:rPr>
          <w:rFonts w:ascii="Times New Roman" w:hAnsi="Times New Roman" w:cs="Times New Roman"/>
          <w:sz w:val="16"/>
          <w:szCs w:val="16"/>
          <w:shd w:val="clear" w:color="auto" w:fill="FFFFFF"/>
          <w:lang w:val="en-US"/>
        </w:rPr>
      </w:pPr>
    </w:p>
    <w:tbl>
      <w:tblPr>
        <w:tblStyle w:val="1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7A2781" w:rsidRPr="003A13B7" w14:paraId="2C0B4C9D" w14:textId="77777777" w:rsidTr="00F91B46">
        <w:trPr>
          <w:jc w:val="right"/>
        </w:trPr>
        <w:tc>
          <w:tcPr>
            <w:tcW w:w="3255" w:type="dxa"/>
            <w:vAlign w:val="center"/>
          </w:tcPr>
          <w:p w14:paraId="7AAA8B97" w14:textId="77777777" w:rsidR="007A2781" w:rsidRPr="007A2781" w:rsidRDefault="007A2781" w:rsidP="00F91B46">
            <w:pPr>
              <w:jc w:val="center"/>
              <w:rPr>
                <w:rFonts w:ascii="Arial" w:hAnsi="Arial" w:cs="Arial"/>
                <w:color w:val="263238"/>
                <w:shd w:val="clear" w:color="auto" w:fill="FFFFFF"/>
                <w:lang w:val="en-US"/>
              </w:rPr>
            </w:pPr>
            <w:r w:rsidRPr="007A2781">
              <w:rPr>
                <w:sz w:val="16"/>
                <w:szCs w:val="16"/>
                <w:lang w:val="en-US"/>
              </w:rPr>
              <w:t>This article is licensed under a Creative Commons Attribution-NonCommercial 4.0 International License.</w:t>
            </w:r>
          </w:p>
        </w:tc>
        <w:tc>
          <w:tcPr>
            <w:tcW w:w="0" w:type="auto"/>
            <w:vAlign w:val="center"/>
          </w:tcPr>
          <w:p w14:paraId="7BBA102B" w14:textId="77777777" w:rsidR="007A2781" w:rsidRPr="003A13B7" w:rsidRDefault="007A2781" w:rsidP="00F91B46">
            <w:pPr>
              <w:autoSpaceDE w:val="0"/>
              <w:autoSpaceDN w:val="0"/>
              <w:adjustRightInd w:val="0"/>
              <w:jc w:val="center"/>
              <w:rPr>
                <w:rFonts w:ascii="Arial" w:hAnsi="Arial" w:cs="Arial"/>
                <w:color w:val="263238"/>
                <w:sz w:val="18"/>
                <w:szCs w:val="18"/>
                <w:shd w:val="clear" w:color="auto" w:fill="FFFFFF"/>
                <w:lang w:val="en-US"/>
              </w:rPr>
            </w:pPr>
            <w:r w:rsidRPr="007A2781">
              <w:rPr>
                <w:rFonts w:ascii="Times New Roman" w:hAnsi="Times New Roman"/>
                <w:noProof/>
                <w:sz w:val="16"/>
                <w:szCs w:val="16"/>
              </w:rPr>
              <w:drawing>
                <wp:inline distT="0" distB="0" distL="0" distR="0" wp14:anchorId="1F0AC53D" wp14:editId="7B3D73CC">
                  <wp:extent cx="620466" cy="217152"/>
                  <wp:effectExtent l="19050" t="0" r="8184" b="0"/>
                  <wp:docPr id="5" name="Рисунок 125" descr="D:\Rinat\Rinat\доки\журнал\cc-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4"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886FAC7" w14:textId="77777777" w:rsidR="007A2781" w:rsidRPr="00BA6942" w:rsidRDefault="007A2781" w:rsidP="007A2781">
      <w:pPr>
        <w:spacing w:after="0" w:line="264" w:lineRule="auto"/>
        <w:jc w:val="both"/>
        <w:rPr>
          <w:rFonts w:ascii="Times New Roman" w:eastAsia="Times New Roman" w:hAnsi="Times New Roman" w:cs="Times New Roman"/>
          <w:sz w:val="16"/>
          <w:szCs w:val="16"/>
          <w:lang w:val="en-US" w:eastAsia="ru-RU"/>
        </w:rPr>
      </w:pPr>
    </w:p>
    <w:p w14:paraId="7D4F72AA" w14:textId="77777777" w:rsidR="007A2781" w:rsidRDefault="007A2781" w:rsidP="00B40283">
      <w:pPr>
        <w:spacing w:after="0" w:line="264" w:lineRule="auto"/>
        <w:ind w:left="454" w:hanging="454"/>
        <w:jc w:val="both"/>
        <w:rPr>
          <w:rFonts w:ascii="Times New Roman" w:hAnsi="Times New Roman" w:cs="Times New Roman"/>
          <w:sz w:val="16"/>
          <w:lang w:val="en-US"/>
        </w:rPr>
      </w:pPr>
    </w:p>
    <w:sectPr w:rsidR="007A278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5B6E6" w14:textId="77777777" w:rsidR="007416C8" w:rsidRDefault="007416C8" w:rsidP="00427E5A">
      <w:pPr>
        <w:spacing w:after="0" w:line="240" w:lineRule="auto"/>
      </w:pPr>
      <w:r>
        <w:separator/>
      </w:r>
    </w:p>
    <w:p w14:paraId="00169AA2" w14:textId="77777777" w:rsidR="007416C8" w:rsidRDefault="007416C8"/>
  </w:endnote>
  <w:endnote w:type="continuationSeparator" w:id="0">
    <w:p w14:paraId="19BF3F17" w14:textId="77777777" w:rsidR="007416C8" w:rsidRDefault="007416C8" w:rsidP="00427E5A">
      <w:pPr>
        <w:spacing w:after="0" w:line="240" w:lineRule="auto"/>
      </w:pPr>
      <w:r>
        <w:continuationSeparator/>
      </w:r>
    </w:p>
    <w:p w14:paraId="58E4235B" w14:textId="77777777" w:rsidR="007416C8" w:rsidRDefault="00741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F6A48" w14:textId="77777777" w:rsidR="007A3351" w:rsidRPr="00A6442F" w:rsidRDefault="006546C7" w:rsidP="007A3351">
    <w:pPr>
      <w:pStyle w:val="af"/>
      <w:jc w:val="center"/>
      <w:rPr>
        <w:rStyle w:val="MainText0"/>
        <w:i/>
      </w:rPr>
    </w:pPr>
    <w:r>
      <w:rPr>
        <w:rStyle w:val="MainText0"/>
      </w:rPr>
      <w:t xml:space="preserve">T. S. Anokhina </w:t>
    </w:r>
    <w:r w:rsidR="007A3351"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Pr>
        <w:rStyle w:val="MainText0"/>
        <w:b/>
      </w:rPr>
      <w:t>24</w:t>
    </w:r>
    <w:r w:rsidR="00DF4999" w:rsidRPr="00110678">
      <w:rPr>
        <w:rStyle w:val="MainText0"/>
      </w:rPr>
      <w:t xml:space="preserve">, </w:t>
    </w:r>
    <w:r w:rsidR="00F91655">
      <w:rPr>
        <w:rStyle w:val="MainText0"/>
        <w:i/>
        <w:iCs/>
      </w:rPr>
      <w:t>7</w:t>
    </w:r>
    <w:r w:rsidR="00DF4999" w:rsidRPr="005C7369">
      <w:rPr>
        <w:rStyle w:val="MainText0"/>
        <w:i/>
        <w:iCs/>
      </w:rPr>
      <w:t xml:space="preserve"> </w:t>
    </w:r>
    <w:r w:rsidR="00DF4999" w:rsidRPr="0038029E">
      <w:rPr>
        <w:rStyle w:val="MainText0"/>
        <w:i/>
        <w:iCs/>
      </w:rPr>
      <w:t>(</w:t>
    </w:r>
    <w:r w:rsidR="0056430D" w:rsidRPr="0038029E">
      <w:rPr>
        <w:rFonts w:ascii="Times New Roman" w:hAnsi="Times New Roman" w:cs="Times New Roman"/>
        <w:i/>
        <w:iCs/>
        <w:sz w:val="18"/>
        <w:szCs w:val="18"/>
        <w:lang w:val="en-US"/>
      </w:rPr>
      <w:t>1</w:t>
    </w:r>
    <w:r w:rsidR="0056430D" w:rsidRPr="0038029E">
      <w:rPr>
        <w:rFonts w:ascii="Times New Roman" w:hAnsi="Times New Roman" w:cs="Times New Roman"/>
        <w:i/>
        <w:sz w:val="18"/>
        <w:szCs w:val="18"/>
        <w:lang w:val="en-US"/>
      </w:rPr>
      <w:t>–3</w:t>
    </w:r>
    <w:r w:rsidR="00DF4999" w:rsidRPr="0038029E">
      <w:rPr>
        <w:rStyle w:val="MainText0"/>
        <w:i/>
        <w:iCs/>
      </w:rPr>
      <w:t>)</w:t>
    </w:r>
    <w:r w:rsidR="00DF4999" w:rsidRPr="00110678">
      <w:rPr>
        <w:rStyle w:val="MainText0"/>
      </w:rPr>
      <w:t xml:space="preserve">, </w:t>
    </w:r>
    <w:r w:rsidR="00F91655">
      <w:rPr>
        <w:rStyle w:val="MainText0"/>
      </w:rPr>
      <w:t>1</w:t>
    </w:r>
    <w:r w:rsidR="00DF4999">
      <w:rPr>
        <w:rStyle w:val="MainText0"/>
      </w:rPr>
      <w:t>–</w:t>
    </w:r>
    <w:r w:rsidR="00F91655">
      <w:rPr>
        <w:rStyle w:val="MainText0"/>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88E23" w14:textId="77777777" w:rsidR="007416C8" w:rsidRDefault="007416C8" w:rsidP="00427E5A">
      <w:pPr>
        <w:spacing w:after="0" w:line="240" w:lineRule="auto"/>
      </w:pPr>
      <w:r>
        <w:separator/>
      </w:r>
    </w:p>
    <w:p w14:paraId="65E1A230" w14:textId="77777777" w:rsidR="007416C8" w:rsidRDefault="007416C8"/>
  </w:footnote>
  <w:footnote w:type="continuationSeparator" w:id="0">
    <w:p w14:paraId="60753068" w14:textId="77777777" w:rsidR="007416C8" w:rsidRDefault="007416C8" w:rsidP="00427E5A">
      <w:pPr>
        <w:spacing w:after="0" w:line="240" w:lineRule="auto"/>
      </w:pPr>
      <w:r>
        <w:continuationSeparator/>
      </w:r>
    </w:p>
    <w:p w14:paraId="0ACEE2EC" w14:textId="77777777" w:rsidR="007416C8" w:rsidRDefault="00741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rPr>
      <w:id w:val="1652487238"/>
      <w:docPartObj>
        <w:docPartGallery w:val="Page Numbers (Top of Page)"/>
        <w:docPartUnique/>
      </w:docPartObj>
    </w:sdtPr>
    <w:sdtContent>
      <w:sdt>
        <w:sdtPr>
          <w:rPr>
            <w:rFonts w:ascii="Times New Roman" w:hAnsi="Times New Roman" w:cs="Times New Roman"/>
            <w:i/>
          </w:rPr>
          <w:id w:val="1630276690"/>
          <w:docPartObj>
            <w:docPartGallery w:val="Page Numbers (Top of Page)"/>
            <w:docPartUnique/>
          </w:docPartObj>
        </w:sdtPr>
        <w:sdtContent>
          <w:p w14:paraId="4EB741F2"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6769B090"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437844"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437844" w:rsidRPr="001E7945">
          <w:rPr>
            <w:rFonts w:ascii="Times New Roman" w:hAnsi="Times New Roman" w:cs="Times New Roman"/>
            <w:i/>
          </w:rPr>
          <w:fldChar w:fldCharType="separate"/>
        </w:r>
        <w:r w:rsidR="0038029E">
          <w:rPr>
            <w:rFonts w:ascii="Times New Roman" w:hAnsi="Times New Roman" w:cs="Times New Roman"/>
            <w:i/>
            <w:noProof/>
            <w:lang w:val="en-US"/>
          </w:rPr>
          <w:t>2</w:t>
        </w:r>
        <w:r w:rsidR="00437844"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3914757">
    <w:abstractNumId w:val="2"/>
  </w:num>
  <w:num w:numId="2" w16cid:durableId="1102335606">
    <w:abstractNumId w:val="4"/>
  </w:num>
  <w:num w:numId="3" w16cid:durableId="809329571">
    <w:abstractNumId w:val="1"/>
  </w:num>
  <w:num w:numId="4" w16cid:durableId="177274901">
    <w:abstractNumId w:val="6"/>
  </w:num>
  <w:num w:numId="5" w16cid:durableId="585303134">
    <w:abstractNumId w:val="7"/>
  </w:num>
  <w:num w:numId="6" w16cid:durableId="1327710011">
    <w:abstractNumId w:val="8"/>
  </w:num>
  <w:num w:numId="7" w16cid:durableId="2096395019">
    <w:abstractNumId w:val="0"/>
  </w:num>
  <w:num w:numId="8" w16cid:durableId="1422725357">
    <w:abstractNumId w:val="3"/>
  </w:num>
  <w:num w:numId="9" w16cid:durableId="779374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0F35"/>
    <w:rsid w:val="00015846"/>
    <w:rsid w:val="00016637"/>
    <w:rsid w:val="00021E9C"/>
    <w:rsid w:val="00035206"/>
    <w:rsid w:val="00052C07"/>
    <w:rsid w:val="00064622"/>
    <w:rsid w:val="00066961"/>
    <w:rsid w:val="00067EC7"/>
    <w:rsid w:val="00071D12"/>
    <w:rsid w:val="00075EFB"/>
    <w:rsid w:val="00080691"/>
    <w:rsid w:val="0008088D"/>
    <w:rsid w:val="00086953"/>
    <w:rsid w:val="000B5E27"/>
    <w:rsid w:val="000E1B06"/>
    <w:rsid w:val="00100E69"/>
    <w:rsid w:val="0015778A"/>
    <w:rsid w:val="00161894"/>
    <w:rsid w:val="00166162"/>
    <w:rsid w:val="00175370"/>
    <w:rsid w:val="001875DB"/>
    <w:rsid w:val="001A2D0C"/>
    <w:rsid w:val="001B0919"/>
    <w:rsid w:val="001B4E04"/>
    <w:rsid w:val="001B6750"/>
    <w:rsid w:val="001C2C68"/>
    <w:rsid w:val="001E40AB"/>
    <w:rsid w:val="001E7561"/>
    <w:rsid w:val="001E7945"/>
    <w:rsid w:val="00211C14"/>
    <w:rsid w:val="0021578B"/>
    <w:rsid w:val="00225F17"/>
    <w:rsid w:val="002500A5"/>
    <w:rsid w:val="00281EF0"/>
    <w:rsid w:val="0029444C"/>
    <w:rsid w:val="00294954"/>
    <w:rsid w:val="0029661D"/>
    <w:rsid w:val="002D6411"/>
    <w:rsid w:val="0031578F"/>
    <w:rsid w:val="00321C31"/>
    <w:rsid w:val="0034683F"/>
    <w:rsid w:val="003474FC"/>
    <w:rsid w:val="0038029E"/>
    <w:rsid w:val="003861EF"/>
    <w:rsid w:val="003941E0"/>
    <w:rsid w:val="003A406B"/>
    <w:rsid w:val="003B067D"/>
    <w:rsid w:val="003C07DD"/>
    <w:rsid w:val="003C52E2"/>
    <w:rsid w:val="003E1FD8"/>
    <w:rsid w:val="003E2893"/>
    <w:rsid w:val="00427E5A"/>
    <w:rsid w:val="00436D4B"/>
    <w:rsid w:val="00437844"/>
    <w:rsid w:val="00440577"/>
    <w:rsid w:val="00451F2F"/>
    <w:rsid w:val="00463737"/>
    <w:rsid w:val="004A44BC"/>
    <w:rsid w:val="004A5676"/>
    <w:rsid w:val="004C0411"/>
    <w:rsid w:val="004F3502"/>
    <w:rsid w:val="00502985"/>
    <w:rsid w:val="00517393"/>
    <w:rsid w:val="00524276"/>
    <w:rsid w:val="00524995"/>
    <w:rsid w:val="00533D73"/>
    <w:rsid w:val="00534762"/>
    <w:rsid w:val="0056430D"/>
    <w:rsid w:val="00566AAB"/>
    <w:rsid w:val="005A3071"/>
    <w:rsid w:val="005C7369"/>
    <w:rsid w:val="005E6852"/>
    <w:rsid w:val="005E76C3"/>
    <w:rsid w:val="006063C2"/>
    <w:rsid w:val="006159D4"/>
    <w:rsid w:val="00622DF1"/>
    <w:rsid w:val="0065245B"/>
    <w:rsid w:val="006546C7"/>
    <w:rsid w:val="00683408"/>
    <w:rsid w:val="006A630A"/>
    <w:rsid w:val="006A7920"/>
    <w:rsid w:val="006B03FB"/>
    <w:rsid w:val="006E0C73"/>
    <w:rsid w:val="00706F05"/>
    <w:rsid w:val="00716CC1"/>
    <w:rsid w:val="0072037E"/>
    <w:rsid w:val="007416C8"/>
    <w:rsid w:val="007516EA"/>
    <w:rsid w:val="00762D07"/>
    <w:rsid w:val="007663EE"/>
    <w:rsid w:val="00791E67"/>
    <w:rsid w:val="007A2781"/>
    <w:rsid w:val="007A3351"/>
    <w:rsid w:val="007C5850"/>
    <w:rsid w:val="007D3F5F"/>
    <w:rsid w:val="007D7257"/>
    <w:rsid w:val="007F11BD"/>
    <w:rsid w:val="00810239"/>
    <w:rsid w:val="008114FB"/>
    <w:rsid w:val="00820A77"/>
    <w:rsid w:val="00842775"/>
    <w:rsid w:val="00842E5C"/>
    <w:rsid w:val="008602E7"/>
    <w:rsid w:val="008622A1"/>
    <w:rsid w:val="00863A30"/>
    <w:rsid w:val="00875175"/>
    <w:rsid w:val="0089304F"/>
    <w:rsid w:val="00894EE2"/>
    <w:rsid w:val="008A02BF"/>
    <w:rsid w:val="008A6A35"/>
    <w:rsid w:val="008B4390"/>
    <w:rsid w:val="008C6630"/>
    <w:rsid w:val="008C68C0"/>
    <w:rsid w:val="008D2BCF"/>
    <w:rsid w:val="008E062B"/>
    <w:rsid w:val="00904B7F"/>
    <w:rsid w:val="00910D09"/>
    <w:rsid w:val="00916E1F"/>
    <w:rsid w:val="00927C69"/>
    <w:rsid w:val="00930DA8"/>
    <w:rsid w:val="00943BC1"/>
    <w:rsid w:val="009667F3"/>
    <w:rsid w:val="00984B0A"/>
    <w:rsid w:val="00995785"/>
    <w:rsid w:val="009A6DAE"/>
    <w:rsid w:val="009B1559"/>
    <w:rsid w:val="009B1ECD"/>
    <w:rsid w:val="009B6786"/>
    <w:rsid w:val="009D50D4"/>
    <w:rsid w:val="009F3918"/>
    <w:rsid w:val="00A231BA"/>
    <w:rsid w:val="00A4061B"/>
    <w:rsid w:val="00A575E5"/>
    <w:rsid w:val="00A6442F"/>
    <w:rsid w:val="00A7154D"/>
    <w:rsid w:val="00A76F33"/>
    <w:rsid w:val="00A83F0D"/>
    <w:rsid w:val="00AA4E9C"/>
    <w:rsid w:val="00AC25BB"/>
    <w:rsid w:val="00AE7286"/>
    <w:rsid w:val="00B23601"/>
    <w:rsid w:val="00B40283"/>
    <w:rsid w:val="00B45CDF"/>
    <w:rsid w:val="00B5202A"/>
    <w:rsid w:val="00BB1D07"/>
    <w:rsid w:val="00BC0D9C"/>
    <w:rsid w:val="00BD5A4D"/>
    <w:rsid w:val="00BE0AB1"/>
    <w:rsid w:val="00BE4FEF"/>
    <w:rsid w:val="00BF58B4"/>
    <w:rsid w:val="00C005DD"/>
    <w:rsid w:val="00C06128"/>
    <w:rsid w:val="00C07585"/>
    <w:rsid w:val="00C25E43"/>
    <w:rsid w:val="00C403DF"/>
    <w:rsid w:val="00C769B8"/>
    <w:rsid w:val="00C80BF5"/>
    <w:rsid w:val="00CA605E"/>
    <w:rsid w:val="00CB4473"/>
    <w:rsid w:val="00CD128C"/>
    <w:rsid w:val="00CD6FAC"/>
    <w:rsid w:val="00D22501"/>
    <w:rsid w:val="00D33D37"/>
    <w:rsid w:val="00D36C9F"/>
    <w:rsid w:val="00D60F30"/>
    <w:rsid w:val="00D67E31"/>
    <w:rsid w:val="00D71473"/>
    <w:rsid w:val="00DA0A72"/>
    <w:rsid w:val="00DA2C18"/>
    <w:rsid w:val="00DA3240"/>
    <w:rsid w:val="00DC478B"/>
    <w:rsid w:val="00DF1FCB"/>
    <w:rsid w:val="00DF4999"/>
    <w:rsid w:val="00E342FF"/>
    <w:rsid w:val="00E60451"/>
    <w:rsid w:val="00E76E65"/>
    <w:rsid w:val="00E81EDE"/>
    <w:rsid w:val="00E869CF"/>
    <w:rsid w:val="00E95346"/>
    <w:rsid w:val="00EA6C3B"/>
    <w:rsid w:val="00EB2FCC"/>
    <w:rsid w:val="00EC0AD4"/>
    <w:rsid w:val="00EC5509"/>
    <w:rsid w:val="00EE0429"/>
    <w:rsid w:val="00EE4066"/>
    <w:rsid w:val="00EF625A"/>
    <w:rsid w:val="00F0627B"/>
    <w:rsid w:val="00F376FB"/>
    <w:rsid w:val="00F44BBC"/>
    <w:rsid w:val="00F6796A"/>
    <w:rsid w:val="00F70027"/>
    <w:rsid w:val="00F77A5C"/>
    <w:rsid w:val="00F86864"/>
    <w:rsid w:val="00F91655"/>
    <w:rsid w:val="00F94740"/>
    <w:rsid w:val="00F95280"/>
    <w:rsid w:val="00FA0CD1"/>
    <w:rsid w:val="00FB4DBE"/>
    <w:rsid w:val="00FD2F8B"/>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0017"/>
  <w15:docId w15:val="{C5F42E1A-91EB-4346-B16E-882F65BD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Bibliography"/>
    <w:basedOn w:val="a"/>
    <w:next w:val="a"/>
    <w:uiPriority w:val="37"/>
    <w:semiHidden/>
    <w:unhideWhenUsed/>
    <w:rsid w:val="007D7257"/>
  </w:style>
  <w:style w:type="character" w:customStyle="1" w:styleId="13">
    <w:name w:val="Неразрешенное упоминание1"/>
    <w:basedOn w:val="a0"/>
    <w:uiPriority w:val="99"/>
    <w:semiHidden/>
    <w:unhideWhenUsed/>
    <w:rsid w:val="007D7257"/>
    <w:rPr>
      <w:color w:val="605E5C"/>
      <w:shd w:val="clear" w:color="auto" w:fill="E1DFDD"/>
    </w:rPr>
  </w:style>
  <w:style w:type="table" w:customStyle="1" w:styleId="14">
    <w:name w:val="Сетка таблицы1"/>
    <w:basedOn w:val="a1"/>
    <w:next w:val="a1"/>
    <w:uiPriority w:val="59"/>
    <w:rsid w:val="007A278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5BAB-BAF0-46AB-BE0C-AFEB3B16D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1797</Words>
  <Characters>10245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92</cp:revision>
  <dcterms:created xsi:type="dcterms:W3CDTF">2018-09-10T13:23:00Z</dcterms:created>
  <dcterms:modified xsi:type="dcterms:W3CDTF">2024-11-05T19:48:00Z</dcterms:modified>
</cp:coreProperties>
</file>