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0"/>
        <w:gridCol w:w="2520"/>
        <w:gridCol w:w="4663"/>
      </w:tblGrid>
      <w:tr w:rsidR="008622A1" w:rsidRPr="00A902AE" w:rsidTr="007C1E42">
        <w:trPr>
          <w:trHeight w:val="516"/>
        </w:trPr>
        <w:tc>
          <w:tcPr>
            <w:tcW w:w="1242" w:type="dxa"/>
          </w:tcPr>
          <w:p w:rsidR="008622A1" w:rsidRPr="00E21475" w:rsidRDefault="001B0919" w:rsidP="002518E2">
            <w:pPr>
              <w:pStyle w:val="MainText"/>
              <w:spacing w:after="60"/>
              <w:ind w:firstLine="6"/>
              <w:jc w:val="left"/>
            </w:pPr>
            <w:r w:rsidRPr="00E21475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E21475" w:rsidRDefault="007C1E42" w:rsidP="007C1E42">
            <w:pPr>
              <w:pStyle w:val="11"/>
            </w:pPr>
            <w:r w:rsidRPr="00E21475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HYPERBRANCHED ORGANOSILICON SURFACTANTS AS EMULSIFIER</w:t>
            </w:r>
            <w:r w:rsidR="00990B1F" w:rsidRPr="00E21475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S</w:t>
            </w:r>
            <w:r w:rsidRPr="00E21475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FOR THE EMULSION POLYMERIZATION</w:t>
            </w:r>
            <w:r w:rsidR="00990B1F" w:rsidRPr="00E21475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br/>
            </w:r>
            <w:r w:rsidRPr="00E21475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OF METHYL METHACRYLATE</w:t>
            </w:r>
          </w:p>
        </w:tc>
      </w:tr>
      <w:tr w:rsidR="00D71473" w:rsidRPr="00A902AE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E21475" w:rsidRDefault="00D71473" w:rsidP="007516EA">
            <w:pPr>
              <w:pStyle w:val="MainText"/>
              <w:ind w:firstLine="0"/>
              <w:jc w:val="left"/>
            </w:pPr>
            <w:r w:rsidRPr="00E21475">
              <w:t xml:space="preserve">Cite this: </w:t>
            </w:r>
            <w:r w:rsidR="00DF4999" w:rsidRPr="00E21475">
              <w:rPr>
                <w:i/>
              </w:rPr>
              <w:t>INEOS</w:t>
            </w:r>
            <w:r w:rsidR="00DF4999" w:rsidRPr="00E21475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E21475">
              <w:t>,</w:t>
            </w:r>
          </w:p>
          <w:p w:rsidR="00D71473" w:rsidRPr="00E21475" w:rsidRDefault="00DF4999" w:rsidP="007516EA">
            <w:pPr>
              <w:pStyle w:val="MainText"/>
              <w:ind w:firstLine="0"/>
              <w:jc w:val="left"/>
            </w:pPr>
            <w:r w:rsidRPr="00E21475">
              <w:rPr>
                <w:b/>
              </w:rPr>
              <w:t>20</w:t>
            </w:r>
            <w:r w:rsidR="0043689E" w:rsidRPr="00E21475">
              <w:rPr>
                <w:b/>
              </w:rPr>
              <w:t>24</w:t>
            </w:r>
            <w:r w:rsidRPr="00E21475">
              <w:t xml:space="preserve">, </w:t>
            </w:r>
            <w:r w:rsidR="00346507" w:rsidRPr="00E21475">
              <w:rPr>
                <w:i/>
                <w:iCs/>
              </w:rPr>
              <w:t>7</w:t>
            </w:r>
            <w:r w:rsidRPr="00E21475">
              <w:rPr>
                <w:i/>
                <w:iCs/>
              </w:rPr>
              <w:t xml:space="preserve"> (</w:t>
            </w:r>
            <w:r w:rsidR="00E23192">
              <w:rPr>
                <w:i/>
                <w:iCs/>
              </w:rPr>
              <w:t>1</w:t>
            </w:r>
            <w:r w:rsidR="00E23192" w:rsidRPr="00E23192">
              <w:rPr>
                <w:i/>
              </w:rPr>
              <w:t>–3</w:t>
            </w:r>
            <w:r w:rsidRPr="00E21475">
              <w:rPr>
                <w:i/>
                <w:iCs/>
              </w:rPr>
              <w:t>)</w:t>
            </w:r>
            <w:r w:rsidRPr="00E21475">
              <w:t xml:space="preserve">, </w:t>
            </w:r>
            <w:r w:rsidR="00346507" w:rsidRPr="00E21475">
              <w:t>13</w:t>
            </w:r>
            <w:r w:rsidRPr="00E21475">
              <w:t>–</w:t>
            </w:r>
            <w:r w:rsidR="00346507" w:rsidRPr="00E21475">
              <w:t>14</w:t>
            </w:r>
          </w:p>
          <w:p w:rsidR="007516EA" w:rsidRPr="00E21475" w:rsidRDefault="007516EA" w:rsidP="007516EA">
            <w:pPr>
              <w:pStyle w:val="MainText"/>
              <w:ind w:firstLine="0"/>
              <w:jc w:val="left"/>
            </w:pPr>
            <w:r w:rsidRPr="00E21475">
              <w:t>DOI: 10.32931/io</w:t>
            </w:r>
            <w:r w:rsidR="00346507" w:rsidRPr="00E21475">
              <w:t>2407a</w:t>
            </w:r>
          </w:p>
          <w:p w:rsidR="00BE4FEF" w:rsidRPr="00E21475" w:rsidRDefault="00BE4FEF" w:rsidP="007516EA">
            <w:pPr>
              <w:pStyle w:val="MainText"/>
              <w:ind w:firstLine="0"/>
              <w:jc w:val="left"/>
            </w:pPr>
          </w:p>
          <w:p w:rsidR="00D71473" w:rsidRPr="00E2147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21475">
              <w:rPr>
                <w:i/>
                <w:szCs w:val="14"/>
              </w:rPr>
              <w:t xml:space="preserve">Received </w:t>
            </w:r>
            <w:r w:rsidR="00D93853" w:rsidRPr="00E21475">
              <w:rPr>
                <w:i/>
                <w:szCs w:val="14"/>
              </w:rPr>
              <w:t>10</w:t>
            </w:r>
            <w:r w:rsidRPr="00E21475">
              <w:rPr>
                <w:i/>
                <w:szCs w:val="14"/>
              </w:rPr>
              <w:t xml:space="preserve"> </w:t>
            </w:r>
            <w:r w:rsidR="008E062B" w:rsidRPr="00E21475">
              <w:rPr>
                <w:i/>
                <w:szCs w:val="14"/>
              </w:rPr>
              <w:t>M</w:t>
            </w:r>
            <w:r w:rsidR="00D93853" w:rsidRPr="00E21475">
              <w:rPr>
                <w:i/>
                <w:szCs w:val="14"/>
              </w:rPr>
              <w:t>ay</w:t>
            </w:r>
            <w:r w:rsidRPr="00E21475">
              <w:rPr>
                <w:i/>
                <w:szCs w:val="14"/>
              </w:rPr>
              <w:t xml:space="preserve"> 2</w:t>
            </w:r>
            <w:r w:rsidR="008E062B" w:rsidRPr="00E21475">
              <w:rPr>
                <w:i/>
                <w:szCs w:val="14"/>
              </w:rPr>
              <w:t>0</w:t>
            </w:r>
            <w:r w:rsidR="00D93853" w:rsidRPr="00E21475">
              <w:rPr>
                <w:i/>
                <w:szCs w:val="14"/>
              </w:rPr>
              <w:t>10</w:t>
            </w:r>
            <w:r w:rsidRPr="00E21475">
              <w:rPr>
                <w:i/>
                <w:szCs w:val="14"/>
              </w:rPr>
              <w:t>,</w:t>
            </w:r>
          </w:p>
          <w:p w:rsidR="00D71473" w:rsidRPr="00E2147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E21475">
              <w:rPr>
                <w:i/>
                <w:szCs w:val="14"/>
              </w:rPr>
              <w:t xml:space="preserve">Accepted </w:t>
            </w:r>
            <w:r w:rsidR="00757B2D" w:rsidRPr="00E21475">
              <w:rPr>
                <w:i/>
                <w:szCs w:val="14"/>
              </w:rPr>
              <w:t>8 June</w:t>
            </w:r>
            <w:r w:rsidR="008E062B" w:rsidRPr="00E21475">
              <w:rPr>
                <w:i/>
                <w:szCs w:val="14"/>
              </w:rPr>
              <w:t xml:space="preserve"> 20</w:t>
            </w:r>
            <w:r w:rsidR="00757B2D" w:rsidRPr="00E21475">
              <w:rPr>
                <w:i/>
                <w:szCs w:val="14"/>
              </w:rPr>
              <w:t>24</w:t>
            </w:r>
          </w:p>
          <w:p w:rsidR="00820A77" w:rsidRPr="00E21475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E21475" w:rsidRDefault="00440577" w:rsidP="007516EA">
            <w:pPr>
              <w:pStyle w:val="MainText"/>
              <w:ind w:firstLine="0"/>
            </w:pPr>
            <w:r w:rsidRPr="00E21475">
              <w:rPr>
                <w:szCs w:val="14"/>
              </w:rPr>
              <w:t>http://</w:t>
            </w:r>
            <w:r w:rsidR="00D71473" w:rsidRPr="00E21475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E21475" w:rsidRDefault="00BA1CC1" w:rsidP="007516EA">
            <w:pPr>
              <w:pStyle w:val="AuthorNames"/>
              <w:ind w:left="0"/>
            </w:pPr>
            <w:r w:rsidRPr="00E21475">
              <w:t>D.</w:t>
            </w:r>
            <w:r w:rsidRPr="00A902AE">
              <w:rPr>
                <w:vertAlign w:val="superscript"/>
              </w:rPr>
              <w:t xml:space="preserve"> </w:t>
            </w:r>
            <w:r w:rsidRPr="00E21475">
              <w:t>M. Borisova,*</w:t>
            </w:r>
            <w:r w:rsidRPr="00E21475">
              <w:rPr>
                <w:i/>
                <w:vertAlign w:val="superscript"/>
              </w:rPr>
              <w:t>a,b</w:t>
            </w:r>
            <w:r w:rsidRPr="00E21475">
              <w:t xml:space="preserve"> K.</w:t>
            </w:r>
            <w:r w:rsidRPr="00A902AE">
              <w:rPr>
                <w:vertAlign w:val="superscript"/>
              </w:rPr>
              <w:t xml:space="preserve"> </w:t>
            </w:r>
            <w:r w:rsidRPr="00E21475">
              <w:t>M. Borisov,</w:t>
            </w:r>
            <w:r w:rsidRPr="00E21475">
              <w:rPr>
                <w:i/>
                <w:vertAlign w:val="superscript"/>
              </w:rPr>
              <w:t>a,b</w:t>
            </w:r>
            <w:r w:rsidRPr="00E21475">
              <w:t xml:space="preserve"> A. A. Kalinina,</w:t>
            </w:r>
            <w:r w:rsidRPr="00E21475">
              <w:rPr>
                <w:i/>
                <w:vertAlign w:val="superscript"/>
              </w:rPr>
              <w:t>a,b</w:t>
            </w:r>
            <w:r w:rsidRPr="00E21475">
              <w:rPr>
                <w:i/>
              </w:rPr>
              <w:t xml:space="preserve"> </w:t>
            </w:r>
            <w:r w:rsidRPr="00E21475">
              <w:t>and A. M. Muzafarov</w:t>
            </w:r>
            <w:r w:rsidRPr="00E21475">
              <w:rPr>
                <w:i/>
                <w:iCs/>
                <w:vertAlign w:val="superscript"/>
              </w:rPr>
              <w:t>a,b</w:t>
            </w:r>
          </w:p>
        </w:tc>
      </w:tr>
      <w:tr w:rsidR="00D71473" w:rsidRPr="00E21475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E21475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3576AB" w:rsidRPr="00E21475" w:rsidRDefault="003576AB" w:rsidP="003576AB">
            <w:pPr>
              <w:pStyle w:val="Affiliations"/>
              <w:ind w:left="0"/>
            </w:pPr>
            <w:r w:rsidRPr="00E21475">
              <w:rPr>
                <w:vertAlign w:val="superscript"/>
              </w:rPr>
              <w:t>a</w:t>
            </w:r>
            <w:r w:rsidRPr="00E21475">
              <w:t xml:space="preserve"> </w:t>
            </w:r>
            <w:r w:rsidRPr="00E21475">
              <w:rPr>
                <w:rFonts w:cs="Times New Roman"/>
              </w:rPr>
              <w:t>Enikolopov Institute of Synthetic Polymeric Materials, Russian Academy of Sciences, ul. Profsoyuznaya 70, Moscow, 117393 Russia</w:t>
            </w:r>
          </w:p>
          <w:p w:rsidR="003576AB" w:rsidRPr="00E21475" w:rsidRDefault="003576AB" w:rsidP="003576AB">
            <w:pPr>
              <w:pStyle w:val="Affiliations"/>
              <w:ind w:left="0"/>
            </w:pPr>
            <w:r w:rsidRPr="00E21475">
              <w:rPr>
                <w:vertAlign w:val="superscript"/>
              </w:rPr>
              <w:t>b</w:t>
            </w:r>
            <w:r w:rsidRPr="00E21475">
              <w:t xml:space="preserve"> </w:t>
            </w:r>
            <w:r w:rsidRPr="00E21475">
              <w:rPr>
                <w:rFonts w:cs="Times New Roman"/>
              </w:rPr>
              <w:t>Nesmeyanov Institute of Organoelement Compounds, Russian Academy of Sciences, ul. Vavilova 28, str. 1, Moscow, 119334 Russia</w:t>
            </w:r>
          </w:p>
        </w:tc>
      </w:tr>
      <w:tr w:rsidR="00CD6FAC" w:rsidRPr="00E21475" w:rsidTr="00DF4999">
        <w:tc>
          <w:tcPr>
            <w:tcW w:w="4962" w:type="dxa"/>
            <w:gridSpan w:val="3"/>
          </w:tcPr>
          <w:p w:rsidR="00D71473" w:rsidRPr="00E21475" w:rsidRDefault="00D71473" w:rsidP="009667F3">
            <w:pPr>
              <w:pStyle w:val="Header1"/>
            </w:pPr>
            <w:r w:rsidRPr="00E21475">
              <w:t>Abstract</w:t>
            </w:r>
          </w:p>
          <w:p w:rsidR="00CD6FAC" w:rsidRPr="00E21475" w:rsidRDefault="00FC44F4" w:rsidP="00FC44F4">
            <w:pPr>
              <w:pStyle w:val="MainText"/>
              <w:ind w:firstLine="284"/>
            </w:pPr>
            <w:r w:rsidRPr="00E21475">
              <w:t>Th</w:t>
            </w:r>
            <w:r w:rsidR="00BE5454" w:rsidRPr="00E21475">
              <w:t>is report</w:t>
            </w:r>
            <w:r w:rsidRPr="00E21475">
              <w:t xml:space="preserve"> is devoted to the </w:t>
            </w:r>
            <w:r w:rsidR="00BE5454" w:rsidRPr="00E21475">
              <w:t>investigation</w:t>
            </w:r>
            <w:r w:rsidRPr="00E21475">
              <w:t xml:space="preserve"> of </w:t>
            </w:r>
            <w:r w:rsidR="00BE5454" w:rsidRPr="00E21475">
              <w:t xml:space="preserve">the </w:t>
            </w:r>
            <w:r w:rsidRPr="00E21475">
              <w:t>emulsion polymerization of methyl methacrylate in the presence of</w:t>
            </w:r>
            <w:r w:rsidR="0062499A" w:rsidRPr="00E21475">
              <w:t xml:space="preserve"> </w:t>
            </w:r>
            <w:proofErr w:type="spellStart"/>
            <w:r w:rsidR="0062499A" w:rsidRPr="00E21475">
              <w:t>PEGylated</w:t>
            </w:r>
            <w:proofErr w:type="spellEnd"/>
            <w:r w:rsidRPr="00E21475">
              <w:t xml:space="preserve"> </w:t>
            </w:r>
            <w:proofErr w:type="spellStart"/>
            <w:r w:rsidRPr="00E21475">
              <w:t>hyperbranched</w:t>
            </w:r>
            <w:proofErr w:type="spellEnd"/>
            <w:r w:rsidRPr="00E21475">
              <w:t xml:space="preserve"> </w:t>
            </w:r>
            <w:proofErr w:type="spellStart"/>
            <w:r w:rsidRPr="00E21475">
              <w:t>polymethylethoxysiloxane</w:t>
            </w:r>
            <w:proofErr w:type="spellEnd"/>
            <w:r w:rsidRPr="00E21475">
              <w:t xml:space="preserve"> as an emulsifier. It is shown that its use in</w:t>
            </w:r>
            <w:r w:rsidR="00BE5454" w:rsidRPr="00E21475">
              <w:t xml:space="preserve"> the</w:t>
            </w:r>
            <w:r w:rsidRPr="00E21475">
              <w:t xml:space="preserve"> amount of 1</w:t>
            </w:r>
            <w:r w:rsidR="00BE5454" w:rsidRPr="00E21475">
              <w:t>–</w:t>
            </w:r>
            <w:r w:rsidRPr="00E21475">
              <w:t>5 wt</w:t>
            </w:r>
            <w:r w:rsidR="00BE5454" w:rsidRPr="00E21475">
              <w:t xml:space="preserve"> </w:t>
            </w:r>
            <w:r w:rsidRPr="00E21475">
              <w:t xml:space="preserve">% </w:t>
            </w:r>
            <w:r w:rsidR="00BE5454" w:rsidRPr="00E21475">
              <w:t>affords</w:t>
            </w:r>
            <w:r w:rsidRPr="00E21475">
              <w:t xml:space="preserve"> stable 25</w:t>
            </w:r>
            <w:r w:rsidR="00BE5454" w:rsidRPr="00E21475">
              <w:t>–</w:t>
            </w:r>
            <w:r w:rsidRPr="00E21475">
              <w:t xml:space="preserve">50% </w:t>
            </w:r>
            <w:proofErr w:type="gramStart"/>
            <w:r w:rsidRPr="00E21475">
              <w:t>poly</w:t>
            </w:r>
            <w:r w:rsidR="00BE5454" w:rsidRPr="00E21475">
              <w:t>(</w:t>
            </w:r>
            <w:proofErr w:type="gramEnd"/>
            <w:r w:rsidRPr="00E21475">
              <w:t>methyl methacrylate</w:t>
            </w:r>
            <w:r w:rsidR="00BE5454" w:rsidRPr="00E21475">
              <w:t>)</w:t>
            </w:r>
            <w:r w:rsidRPr="00E21475">
              <w:t xml:space="preserve"> dispersions with </w:t>
            </w:r>
            <w:r w:rsidR="00BE5454" w:rsidRPr="00E21475">
              <w:t xml:space="preserve">the </w:t>
            </w:r>
            <w:r w:rsidRPr="00E21475">
              <w:t>controlled particle size</w:t>
            </w:r>
            <w:r w:rsidR="00BE5454" w:rsidRPr="00E21475">
              <w:t>s</w:t>
            </w:r>
            <w:r w:rsidRPr="00E21475">
              <w:t xml:space="preserve"> from 300 to 800 nm and a narrow particle size distribution</w:t>
            </w:r>
            <w:r w:rsidR="00F94740" w:rsidRPr="00E21475">
              <w:t>.</w:t>
            </w:r>
          </w:p>
        </w:tc>
        <w:tc>
          <w:tcPr>
            <w:tcW w:w="4677" w:type="dxa"/>
            <w:vAlign w:val="center"/>
          </w:tcPr>
          <w:p w:rsidR="00CE6470" w:rsidRPr="00E21475" w:rsidRDefault="00392EC4" w:rsidP="00A61BFF">
            <w:pPr>
              <w:pStyle w:val="MainText"/>
              <w:ind w:firstLine="0"/>
              <w:jc w:val="center"/>
            </w:pPr>
            <w:r w:rsidRPr="00392EC4">
              <w:rPr>
                <w:noProof/>
                <w:lang w:val="ru-RU"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99pt">
                  <v:imagedata r:id="rId9" o:title="GA"/>
                </v:shape>
              </w:pict>
            </w:r>
          </w:p>
        </w:tc>
      </w:tr>
      <w:tr w:rsidR="0065245B" w:rsidRPr="00A902AE" w:rsidTr="00DF4999">
        <w:tc>
          <w:tcPr>
            <w:tcW w:w="9639" w:type="dxa"/>
            <w:gridSpan w:val="4"/>
          </w:tcPr>
          <w:p w:rsidR="0065245B" w:rsidRPr="00E21475" w:rsidRDefault="0065245B" w:rsidP="00930DA8">
            <w:pPr>
              <w:pStyle w:val="MainText"/>
              <w:spacing w:before="120" w:after="120"/>
              <w:ind w:firstLine="284"/>
            </w:pPr>
            <w:r w:rsidRPr="00E21475">
              <w:rPr>
                <w:b/>
              </w:rPr>
              <w:t>Key words:</w:t>
            </w:r>
            <w:r w:rsidRPr="00E21475">
              <w:t xml:space="preserve"> </w:t>
            </w:r>
            <w:r w:rsidR="00CE6470" w:rsidRPr="00E21475">
              <w:t xml:space="preserve">emulsion polymerization, </w:t>
            </w:r>
            <w:proofErr w:type="spellStart"/>
            <w:r w:rsidR="00CE6470" w:rsidRPr="00E21475">
              <w:t>organosilicon</w:t>
            </w:r>
            <w:proofErr w:type="spellEnd"/>
            <w:r w:rsidR="00CE6470" w:rsidRPr="00E21475">
              <w:t xml:space="preserve"> surfactants, </w:t>
            </w:r>
            <w:proofErr w:type="spellStart"/>
            <w:r w:rsidR="00CE6470" w:rsidRPr="00E21475">
              <w:t>polymethylsilsesquioxanes</w:t>
            </w:r>
            <w:proofErr w:type="spellEnd"/>
            <w:r w:rsidR="00CE6470" w:rsidRPr="00E21475">
              <w:t xml:space="preserve">, </w:t>
            </w:r>
            <w:proofErr w:type="spellStart"/>
            <w:r w:rsidR="00CE6470" w:rsidRPr="00E21475">
              <w:t>hyperbranched</w:t>
            </w:r>
            <w:proofErr w:type="spellEnd"/>
            <w:r w:rsidR="00CE6470" w:rsidRPr="00E21475">
              <w:t xml:space="preserve"> polymers</w:t>
            </w:r>
            <w:r w:rsidRPr="00E21475">
              <w:t>.</w:t>
            </w:r>
          </w:p>
        </w:tc>
      </w:tr>
    </w:tbl>
    <w:p w:rsidR="00166162" w:rsidRPr="00E21475" w:rsidRDefault="00166162" w:rsidP="00427E5A">
      <w:pPr>
        <w:rPr>
          <w:sz w:val="20"/>
          <w:szCs w:val="20"/>
          <w:lang w:val="en-US"/>
        </w:rPr>
        <w:sectPr w:rsidR="00166162" w:rsidRPr="00E21475" w:rsidSect="000C3BC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3"/>
          <w:cols w:space="282"/>
          <w:docGrid w:linePitch="360"/>
        </w:sectPr>
      </w:pPr>
    </w:p>
    <w:p w:rsidR="00166162" w:rsidRPr="00E21475" w:rsidRDefault="00166162" w:rsidP="00427E5A">
      <w:pPr>
        <w:rPr>
          <w:sz w:val="20"/>
          <w:szCs w:val="20"/>
          <w:lang w:val="en-US"/>
        </w:rPr>
        <w:sectPr w:rsidR="00166162" w:rsidRPr="00E21475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E21475" w:rsidRDefault="00427E5A" w:rsidP="002A43E2">
      <w:pPr>
        <w:spacing w:after="240"/>
        <w:rPr>
          <w:rFonts w:ascii="Arial" w:hAnsi="Arial" w:cs="Arial"/>
          <w:b/>
          <w:lang w:val="en-US"/>
        </w:rPr>
      </w:pPr>
      <w:r w:rsidRPr="00E21475">
        <w:rPr>
          <w:rFonts w:ascii="Arial" w:hAnsi="Arial" w:cs="Arial"/>
          <w:b/>
          <w:lang w:val="en-US"/>
        </w:rPr>
        <w:lastRenderedPageBreak/>
        <w:t>Introduction</w:t>
      </w:r>
    </w:p>
    <w:p w:rsidR="00CE6470" w:rsidRPr="00E21475" w:rsidRDefault="00CE6470" w:rsidP="00CE6470">
      <w:pPr>
        <w:pStyle w:val="MainText"/>
        <w:ind w:firstLine="284"/>
      </w:pPr>
      <w:r w:rsidRPr="00E21475">
        <w:t>Polyacrylic lat</w:t>
      </w:r>
      <w:r w:rsidR="00194BA5" w:rsidRPr="00E21475">
        <w:t>exes</w:t>
      </w:r>
      <w:r w:rsidRPr="00E21475">
        <w:t xml:space="preserve"> are </w:t>
      </w:r>
      <w:r w:rsidR="00190072" w:rsidRPr="00E21475">
        <w:t>extensively</w:t>
      </w:r>
      <w:r w:rsidRPr="00E21475">
        <w:t xml:space="preserve"> used in the pulp and paper, textile, paint and varnish industries</w:t>
      </w:r>
      <w:r w:rsidR="001D6B58" w:rsidRPr="00E21475">
        <w:t xml:space="preserve">, </w:t>
      </w:r>
      <w:r w:rsidR="00194BA5" w:rsidRPr="00E21475">
        <w:t>as</w:t>
      </w:r>
      <w:r w:rsidR="001D6B58" w:rsidRPr="00E21475">
        <w:t xml:space="preserve"> well as </w:t>
      </w:r>
      <w:r w:rsidRPr="00E21475">
        <w:t xml:space="preserve">medicine [1]. Such a </w:t>
      </w:r>
      <w:r w:rsidR="00190072" w:rsidRPr="00E21475">
        <w:t xml:space="preserve">broad application scope </w:t>
      </w:r>
      <w:r w:rsidRPr="00E21475">
        <w:t>places high demands on the lat</w:t>
      </w:r>
      <w:r w:rsidR="00194BA5" w:rsidRPr="00E21475">
        <w:t>exe</w:t>
      </w:r>
      <w:r w:rsidR="00190072" w:rsidRPr="00E21475">
        <w:t>s in use</w:t>
      </w:r>
      <w:r w:rsidRPr="00E21475">
        <w:t xml:space="preserve"> [2].</w:t>
      </w:r>
    </w:p>
    <w:p w:rsidR="00CE6470" w:rsidRPr="00E21475" w:rsidRDefault="00CE6470" w:rsidP="00CE6470">
      <w:pPr>
        <w:pStyle w:val="MainText"/>
        <w:ind w:firstLine="284"/>
      </w:pPr>
      <w:r w:rsidRPr="00E21475">
        <w:t xml:space="preserve">Despite a long history of </w:t>
      </w:r>
      <w:r w:rsidR="00194BA5" w:rsidRPr="00E21475">
        <w:t xml:space="preserve">the </w:t>
      </w:r>
      <w:r w:rsidRPr="00E21475">
        <w:t>development, the technology for producing polyacrylic lat</w:t>
      </w:r>
      <w:r w:rsidR="00194BA5" w:rsidRPr="00E21475">
        <w:t>exes</w:t>
      </w:r>
      <w:r w:rsidRPr="00E21475">
        <w:t xml:space="preserve"> has a number of significant drawbacks, </w:t>
      </w:r>
      <w:r w:rsidR="007269CE" w:rsidRPr="00E21475">
        <w:t>including</w:t>
      </w:r>
      <w:r w:rsidR="00194BA5" w:rsidRPr="00E21475">
        <w:t xml:space="preserve"> </w:t>
      </w:r>
      <w:r w:rsidRPr="00E21475">
        <w:t>low stability of the reaction system</w:t>
      </w:r>
      <w:r w:rsidR="00E6189A" w:rsidRPr="00E21475">
        <w:t>,</w:t>
      </w:r>
      <w:r w:rsidRPr="00E21475">
        <w:t xml:space="preserve"> the formation of </w:t>
      </w:r>
      <w:r w:rsidR="00194BA5" w:rsidRPr="00E21475">
        <w:t xml:space="preserve">a </w:t>
      </w:r>
      <w:r w:rsidRPr="00E21475">
        <w:t xml:space="preserve">coagulum, </w:t>
      </w:r>
      <w:r w:rsidR="00E6189A" w:rsidRPr="00E21475">
        <w:t xml:space="preserve">and </w:t>
      </w:r>
      <w:r w:rsidRPr="00E21475">
        <w:t>pollution of wastewater with emulsifiers, m</w:t>
      </w:r>
      <w:r w:rsidR="00194BA5" w:rsidRPr="00E21475">
        <w:t xml:space="preserve">ost </w:t>
      </w:r>
      <w:r w:rsidRPr="00E21475">
        <w:t>of which are non-biodegradable [3]. A promising alternative to toxic surfactants is the use of organosilicon oligomers [4].</w:t>
      </w:r>
    </w:p>
    <w:p w:rsidR="00CE6470" w:rsidRPr="00E21475" w:rsidRDefault="00CE6470" w:rsidP="00CE6470">
      <w:pPr>
        <w:pStyle w:val="MainText"/>
        <w:ind w:firstLine="284"/>
      </w:pPr>
      <w:r w:rsidRPr="00E21475">
        <w:t xml:space="preserve">Most of organosilicon surfactants consist of two structural blocks: hydrophobic polydimethylsiloxane </w:t>
      </w:r>
      <w:r w:rsidR="00194BA5" w:rsidRPr="00E21475">
        <w:t>moieties</w:t>
      </w:r>
      <w:r w:rsidRPr="00E21475">
        <w:t xml:space="preserve"> and polar groups</w:t>
      </w:r>
      <w:r w:rsidR="00194BA5" w:rsidRPr="00E21475">
        <w:t xml:space="preserve"> bound with them</w:t>
      </w:r>
      <w:r w:rsidRPr="00E21475">
        <w:t>. In terms of efficiency, they in many ways su</w:t>
      </w:r>
      <w:r w:rsidR="000538F8" w:rsidRPr="00E21475">
        <w:t xml:space="preserve">rpass the </w:t>
      </w:r>
      <w:r w:rsidRPr="00E21475">
        <w:t xml:space="preserve">conventional surfactants </w:t>
      </w:r>
      <w:r w:rsidR="0089576F" w:rsidRPr="00E21475">
        <w:t>owing to their structural features</w:t>
      </w:r>
      <w:r w:rsidRPr="00E21475">
        <w:t xml:space="preserve">. </w:t>
      </w:r>
      <w:r w:rsidR="001A1A0F" w:rsidRPr="00E21475">
        <w:t xml:space="preserve">There are </w:t>
      </w:r>
      <w:r w:rsidR="00D30E76" w:rsidRPr="00E21475">
        <w:t xml:space="preserve">reports dealing with the </w:t>
      </w:r>
      <w:r w:rsidRPr="00E21475">
        <w:t xml:space="preserve">use of linear, dimeric organosilicon surfactants in </w:t>
      </w:r>
      <w:r w:rsidR="00D30E76" w:rsidRPr="00E21475">
        <w:t xml:space="preserve">the </w:t>
      </w:r>
      <w:r w:rsidRPr="00E21475">
        <w:t xml:space="preserve">emulsion polymerization, </w:t>
      </w:r>
      <w:r w:rsidR="00D30E76" w:rsidRPr="00E21475">
        <w:t xml:space="preserve">while </w:t>
      </w:r>
      <w:r w:rsidRPr="00E21475">
        <w:t xml:space="preserve">the </w:t>
      </w:r>
      <w:r w:rsidR="00D30E76" w:rsidRPr="00E21475">
        <w:t xml:space="preserve">application </w:t>
      </w:r>
      <w:r w:rsidRPr="00E21475">
        <w:t xml:space="preserve">of amphiphilic hyperbranched organosilicon compounds </w:t>
      </w:r>
      <w:r w:rsidR="00D75DE8" w:rsidRPr="00E21475">
        <w:t xml:space="preserve">in this capacity </w:t>
      </w:r>
      <w:r w:rsidRPr="00E21475">
        <w:t>has not been described.</w:t>
      </w:r>
    </w:p>
    <w:p w:rsidR="00427E5A" w:rsidRPr="00E21475" w:rsidRDefault="00CE6470" w:rsidP="00CE6470">
      <w:pPr>
        <w:pStyle w:val="MainText"/>
        <w:ind w:firstLine="284"/>
      </w:pPr>
      <w:r w:rsidRPr="00E21475">
        <w:t xml:space="preserve">The goal of this work was to study the emulsion polymerization of methyl </w:t>
      </w:r>
      <w:proofErr w:type="spellStart"/>
      <w:r w:rsidRPr="00E21475">
        <w:t>methacrylate</w:t>
      </w:r>
      <w:proofErr w:type="spellEnd"/>
      <w:r w:rsidRPr="00E21475">
        <w:t xml:space="preserve"> (MMA) using </w:t>
      </w:r>
      <w:proofErr w:type="spellStart"/>
      <w:r w:rsidRPr="00E21475">
        <w:t>hyperbranched</w:t>
      </w:r>
      <w:proofErr w:type="spellEnd"/>
      <w:r w:rsidRPr="00E21475">
        <w:t xml:space="preserve"> </w:t>
      </w:r>
      <w:proofErr w:type="spellStart"/>
      <w:r w:rsidRPr="00E21475">
        <w:t>polymethylethoxysiloxane</w:t>
      </w:r>
      <w:proofErr w:type="spellEnd"/>
      <w:r w:rsidRPr="00E21475">
        <w:t xml:space="preserve"> containing 5 mol % of </w:t>
      </w:r>
      <w:proofErr w:type="gramStart"/>
      <w:r w:rsidRPr="00E21475">
        <w:t>poly(</w:t>
      </w:r>
      <w:proofErr w:type="gramEnd"/>
      <w:r w:rsidRPr="00E21475">
        <w:t xml:space="preserve">ethylene </w:t>
      </w:r>
      <w:r w:rsidR="00D75DE8" w:rsidRPr="00E21475">
        <w:t>glycol</w:t>
      </w:r>
      <w:r w:rsidRPr="00E21475">
        <w:t>) groups (PMEOS–PEG-5) as an emulsifier.</w:t>
      </w:r>
    </w:p>
    <w:p w:rsidR="00875175" w:rsidRPr="00E21475" w:rsidRDefault="00875175" w:rsidP="00B23601">
      <w:pPr>
        <w:pStyle w:val="Header1"/>
        <w:spacing w:before="240" w:after="240"/>
      </w:pPr>
      <w:r w:rsidRPr="00E21475">
        <w:t>Results and discussion</w:t>
      </w:r>
    </w:p>
    <w:p w:rsidR="008C2DE1" w:rsidRPr="00E21475" w:rsidRDefault="008C2DE1" w:rsidP="008C2DE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In industry, polyacrylic latexes are usually obtained with </w:t>
      </w:r>
      <w:r w:rsidR="001353AB" w:rsidRPr="00E2147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polymer content of 45</w:t>
      </w:r>
      <w:r w:rsidR="00092FD5" w:rsidRPr="00E2147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50 wt % using </w:t>
      </w:r>
      <w:r w:rsidR="00092FD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traditional surfactants [3]. However, the production of concentrated latexes (30</w:t>
      </w:r>
      <w:r w:rsidR="00092FD5" w:rsidRPr="00E2147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50%) using organosilicon surfactants is unknown</w:t>
      </w:r>
      <w:r w:rsidR="00092FD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in industry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C2DE1" w:rsidRPr="00E21475" w:rsidRDefault="00092FD5" w:rsidP="008C2DE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lastRenderedPageBreak/>
        <w:t>The p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>olymerization of MMA in the presence of hyperbranched PMEOS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PEG-5 was carried out at </w:t>
      </w:r>
      <w:r w:rsidR="001353AB" w:rsidRPr="00E2147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volume ratio of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>monomer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/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>water phases equal to 1:1, 1:2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and 1:4. The amount of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surfactant varied from 1 wt % to 5 wt %. Potassium persulfate was used as an initiator in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amount of 1 wt %. Table 1 shows the polymerization conditions and characteristics of the suspensions</w:t>
      </w:r>
      <w:r w:rsidR="005138E7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obtained</w:t>
      </w:r>
      <w:r w:rsidR="008C2DE1" w:rsidRPr="00E2147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8C2DE1" w:rsidRPr="00E21475" w:rsidRDefault="008C2DE1" w:rsidP="008C2DE1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21475"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1.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Characteristics of PMMA lat</w:t>
      </w:r>
      <w:r w:rsidR="00E3050C" w:rsidRPr="00E21475">
        <w:rPr>
          <w:rFonts w:ascii="Times New Roman" w:hAnsi="Times New Roman" w:cs="Times New Roman"/>
          <w:sz w:val="16"/>
          <w:szCs w:val="16"/>
          <w:lang w:val="en-US"/>
        </w:rPr>
        <w:t>exes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stabilized with PMEOS</w:t>
      </w:r>
      <w:r w:rsidR="00B773EB" w:rsidRPr="00E21475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>PEG-5</w:t>
      </w:r>
      <w:r w:rsidR="006E6487"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</w:p>
    <w:tbl>
      <w:tblPr>
        <w:tblStyle w:val="af2"/>
        <w:tblW w:w="0" w:type="auto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4"/>
        <w:gridCol w:w="567"/>
        <w:gridCol w:w="645"/>
        <w:gridCol w:w="786"/>
        <w:gridCol w:w="807"/>
        <w:gridCol w:w="519"/>
        <w:gridCol w:w="490"/>
        <w:gridCol w:w="393"/>
      </w:tblGrid>
      <w:tr w:rsidR="002518E2" w:rsidRPr="00E21475" w:rsidTr="002518E2">
        <w:trPr>
          <w:trHeight w:val="227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Exp.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proofErr w:type="spellStart"/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V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vertAlign w:val="subscript"/>
              </w:rPr>
              <w:t>m</w:t>
            </w:r>
            <w:proofErr w:type="spellEnd"/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/</w:t>
            </w:r>
            <w:r w:rsidR="002518E2"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br/>
            </w:r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V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vertAlign w:val="subscript"/>
              </w:rPr>
              <w:t>H2O</w:t>
            </w:r>
          </w:p>
        </w:tc>
        <w:tc>
          <w:tcPr>
            <w:tcW w:w="64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431782" w:rsidP="002518E2">
            <w:pPr>
              <w:pStyle w:val="Header1"/>
              <w:spacing w:before="0"/>
              <w:ind w:left="-23" w:right="-3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Surf., wt </w:t>
            </w:r>
            <w:r w:rsidR="000A2631"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proofErr w:type="spellStart"/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  <w:lang w:val="ru-RU"/>
              </w:rPr>
              <w:t>D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vertAlign w:val="subscript"/>
                <w:lang w:val="ru-RU"/>
              </w:rPr>
              <w:t>i</w:t>
            </w:r>
            <w:proofErr w:type="spellEnd"/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 xml:space="preserve">, </w:t>
            </w:r>
            <w:r w:rsidR="00A51B00"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nm 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DLS</w:t>
            </w:r>
          </w:p>
        </w:tc>
        <w:tc>
          <w:tcPr>
            <w:tcW w:w="80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D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, </w:t>
            </w:r>
            <w:r w:rsidR="00A51B00"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nm</w:t>
            </w:r>
          </w:p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SEM</w:t>
            </w:r>
          </w:p>
        </w:tc>
        <w:tc>
          <w:tcPr>
            <w:tcW w:w="51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PDI,</w:t>
            </w:r>
          </w:p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DLS</w:t>
            </w:r>
          </w:p>
        </w:tc>
        <w:tc>
          <w:tcPr>
            <w:tcW w:w="49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2003B2" w:rsidP="002003B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ζ</w:t>
            </w:r>
            <w:r w:rsidR="000A2631"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, mV</w:t>
            </w:r>
          </w:p>
        </w:tc>
        <w:tc>
          <w:tcPr>
            <w:tcW w:w="39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E21475">
              <w:rPr>
                <w:rFonts w:ascii="Times New Roman" w:hAnsi="Times New Roman" w:cs="Times New Roman"/>
                <w:b w:val="0"/>
                <w:i/>
                <w:iCs/>
                <w:sz w:val="16"/>
                <w:szCs w:val="16"/>
              </w:rPr>
              <w:t>P</w:t>
            </w: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</w:rPr>
              <w:t>, %</w:t>
            </w:r>
          </w:p>
        </w:tc>
      </w:tr>
      <w:tr w:rsidR="002518E2" w:rsidRPr="00E21475" w:rsidTr="002518E2">
        <w:trPr>
          <w:trHeight w:val="227"/>
        </w:trPr>
        <w:tc>
          <w:tcPr>
            <w:tcW w:w="534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1:1</w:t>
            </w:r>
          </w:p>
        </w:tc>
        <w:tc>
          <w:tcPr>
            <w:tcW w:w="645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786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81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52</w:t>
            </w:r>
          </w:p>
        </w:tc>
        <w:tc>
          <w:tcPr>
            <w:tcW w:w="807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F87995">
            <w:pPr>
              <w:pStyle w:val="Header1"/>
              <w:spacing w:before="0"/>
              <w:ind w:right="-127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750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239</w:t>
            </w:r>
          </w:p>
        </w:tc>
        <w:tc>
          <w:tcPr>
            <w:tcW w:w="519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0A2631" w:rsidP="00F87995">
            <w:pPr>
              <w:pStyle w:val="Header1"/>
              <w:spacing w:before="0"/>
              <w:ind w:right="-99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16</w:t>
            </w:r>
          </w:p>
        </w:tc>
        <w:tc>
          <w:tcPr>
            <w:tcW w:w="490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51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6</w:t>
            </w:r>
          </w:p>
        </w:tc>
        <w:tc>
          <w:tcPr>
            <w:tcW w:w="393" w:type="dxa"/>
            <w:tcBorders>
              <w:top w:val="single" w:sz="4" w:space="0" w:color="000000" w:themeColor="text1"/>
            </w:tcBorders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</w:p>
        </w:tc>
      </w:tr>
      <w:tr w:rsidR="00431782" w:rsidRPr="00E21475" w:rsidTr="002518E2">
        <w:trPr>
          <w:trHeight w:val="227"/>
        </w:trPr>
        <w:tc>
          <w:tcPr>
            <w:tcW w:w="534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1:1</w:t>
            </w:r>
          </w:p>
        </w:tc>
        <w:tc>
          <w:tcPr>
            <w:tcW w:w="645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786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60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13</w:t>
            </w:r>
          </w:p>
        </w:tc>
        <w:tc>
          <w:tcPr>
            <w:tcW w:w="80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90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71</w:t>
            </w:r>
          </w:p>
        </w:tc>
        <w:tc>
          <w:tcPr>
            <w:tcW w:w="519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011</w:t>
            </w:r>
          </w:p>
        </w:tc>
        <w:tc>
          <w:tcPr>
            <w:tcW w:w="490" w:type="dxa"/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57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7</w:t>
            </w:r>
          </w:p>
        </w:tc>
        <w:tc>
          <w:tcPr>
            <w:tcW w:w="393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91</w:t>
            </w:r>
          </w:p>
        </w:tc>
      </w:tr>
      <w:tr w:rsidR="00431782" w:rsidRPr="00E21475" w:rsidTr="002518E2">
        <w:trPr>
          <w:trHeight w:val="227"/>
        </w:trPr>
        <w:tc>
          <w:tcPr>
            <w:tcW w:w="534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1:2</w:t>
            </w:r>
          </w:p>
        </w:tc>
        <w:tc>
          <w:tcPr>
            <w:tcW w:w="645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786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530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65</w:t>
            </w:r>
          </w:p>
        </w:tc>
        <w:tc>
          <w:tcPr>
            <w:tcW w:w="80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47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49</w:t>
            </w:r>
          </w:p>
        </w:tc>
        <w:tc>
          <w:tcPr>
            <w:tcW w:w="519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015</w:t>
            </w:r>
          </w:p>
        </w:tc>
        <w:tc>
          <w:tcPr>
            <w:tcW w:w="490" w:type="dxa"/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53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8</w:t>
            </w:r>
          </w:p>
        </w:tc>
        <w:tc>
          <w:tcPr>
            <w:tcW w:w="393" w:type="dxa"/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</w:p>
        </w:tc>
      </w:tr>
      <w:tr w:rsidR="00431782" w:rsidRPr="00E21475" w:rsidTr="002518E2">
        <w:trPr>
          <w:trHeight w:val="227"/>
        </w:trPr>
        <w:tc>
          <w:tcPr>
            <w:tcW w:w="534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1:2</w:t>
            </w:r>
          </w:p>
        </w:tc>
        <w:tc>
          <w:tcPr>
            <w:tcW w:w="645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786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51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44</w:t>
            </w:r>
          </w:p>
        </w:tc>
        <w:tc>
          <w:tcPr>
            <w:tcW w:w="80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7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20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60</w:t>
            </w:r>
          </w:p>
        </w:tc>
        <w:tc>
          <w:tcPr>
            <w:tcW w:w="519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007</w:t>
            </w:r>
          </w:p>
        </w:tc>
        <w:tc>
          <w:tcPr>
            <w:tcW w:w="490" w:type="dxa"/>
            <w:vAlign w:val="center"/>
          </w:tcPr>
          <w:p w:rsidR="000A2631" w:rsidRPr="00E21475" w:rsidRDefault="0058304C" w:rsidP="002518E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5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4</w:t>
            </w:r>
          </w:p>
        </w:tc>
        <w:tc>
          <w:tcPr>
            <w:tcW w:w="393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95</w:t>
            </w:r>
          </w:p>
        </w:tc>
      </w:tr>
      <w:tr w:rsidR="00431782" w:rsidRPr="00E21475" w:rsidTr="002518E2">
        <w:trPr>
          <w:trHeight w:val="227"/>
        </w:trPr>
        <w:tc>
          <w:tcPr>
            <w:tcW w:w="534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2" w:right="-4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58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1:4</w:t>
            </w:r>
          </w:p>
        </w:tc>
        <w:tc>
          <w:tcPr>
            <w:tcW w:w="645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</w:t>
            </w:r>
          </w:p>
        </w:tc>
        <w:tc>
          <w:tcPr>
            <w:tcW w:w="786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3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30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19</w:t>
            </w:r>
          </w:p>
        </w:tc>
        <w:tc>
          <w:tcPr>
            <w:tcW w:w="807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3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10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±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  <w:lang w:val="ru-RU"/>
              </w:rPr>
              <w:t> 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19</w:t>
            </w:r>
          </w:p>
        </w:tc>
        <w:tc>
          <w:tcPr>
            <w:tcW w:w="519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right="-99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044</w:t>
            </w:r>
          </w:p>
        </w:tc>
        <w:tc>
          <w:tcPr>
            <w:tcW w:w="490" w:type="dxa"/>
            <w:vAlign w:val="center"/>
          </w:tcPr>
          <w:p w:rsidR="000A2631" w:rsidRPr="00E21475" w:rsidRDefault="00A51B00" w:rsidP="002518E2">
            <w:pPr>
              <w:pStyle w:val="Header1"/>
              <w:spacing w:before="0"/>
              <w:ind w:right="-96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–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51</w:t>
            </w:r>
            <w:r w:rsidR="0058304C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.</w:t>
            </w:r>
            <w:r w:rsidR="000A2631"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5</w:t>
            </w:r>
          </w:p>
        </w:tc>
        <w:tc>
          <w:tcPr>
            <w:tcW w:w="393" w:type="dxa"/>
            <w:vAlign w:val="center"/>
          </w:tcPr>
          <w:p w:rsidR="000A2631" w:rsidRPr="00E21475" w:rsidRDefault="000A2631" w:rsidP="002518E2">
            <w:pPr>
              <w:pStyle w:val="Header1"/>
              <w:spacing w:before="0"/>
              <w:ind w:left="-61" w:right="-70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E21475"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  <w:t>98</w:t>
            </w:r>
          </w:p>
        </w:tc>
      </w:tr>
    </w:tbl>
    <w:p w:rsidR="008C2DE1" w:rsidRPr="00E21475" w:rsidRDefault="006E6487" w:rsidP="004E67BB">
      <w:pPr>
        <w:spacing w:before="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  <w:proofErr w:type="spellEnd"/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 xml:space="preserve"> 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>the pa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rticle size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w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>ere evaluated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by averaging the diameter of 500 particles 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in the SEM 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micrographs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0A2631" w:rsidRPr="00E21475">
        <w:rPr>
          <w:rFonts w:ascii="Times New Roman" w:hAnsi="Times New Roman" w:cs="Times New Roman"/>
          <w:i/>
          <w:iCs/>
          <w:sz w:val="16"/>
          <w:szCs w:val="16"/>
          <w:lang w:val="en-US"/>
        </w:rPr>
        <w:t>V</w:t>
      </w:r>
      <w:r w:rsidR="000A2631" w:rsidRPr="00E21475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m</w:t>
      </w:r>
      <w:proofErr w:type="spellEnd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/</w:t>
      </w:r>
      <w:r w:rsidR="000A2631" w:rsidRPr="00E21475">
        <w:rPr>
          <w:rFonts w:ascii="Times New Roman" w:hAnsi="Times New Roman" w:cs="Times New Roman"/>
          <w:i/>
          <w:iCs/>
          <w:sz w:val="16"/>
          <w:szCs w:val="16"/>
          <w:lang w:val="en-US"/>
        </w:rPr>
        <w:t>V</w:t>
      </w:r>
      <w:r w:rsidR="000A2631" w:rsidRPr="00E21475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H2O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is the volume ratio of the monomer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>/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water phases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>;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0A2631" w:rsidRPr="00E21475">
        <w:rPr>
          <w:rFonts w:ascii="Times New Roman" w:hAnsi="Times New Roman" w:cs="Times New Roman"/>
          <w:i/>
          <w:iCs/>
          <w:sz w:val="16"/>
          <w:szCs w:val="16"/>
          <w:lang w:val="en-US"/>
        </w:rPr>
        <w:t>P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is the monomer conversion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PDI</w:t>
      </w:r>
      <w:r w:rsidR="000A2631" w:rsidRPr="00E21475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DLS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is the polyd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>i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spersity index calculated 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based on the results of 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dynamic light scattering</w:t>
      </w:r>
      <w:r w:rsidR="008163C4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studies using the 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formula: PDI</w:t>
      </w:r>
      <w:r w:rsidR="000A2631" w:rsidRPr="00E21475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DLS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= (SD/</w:t>
      </w:r>
      <w:proofErr w:type="spellStart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Dz</w:t>
      </w:r>
      <w:proofErr w:type="spellEnd"/>
      <w:proofErr w:type="gramStart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="000A2631" w:rsidRPr="00E21475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proofErr w:type="gramEnd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, where SD is the standard deviation, </w:t>
      </w:r>
      <w:proofErr w:type="spellStart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Dz</w:t>
      </w:r>
      <w:proofErr w:type="spellEnd"/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is the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intensity-</w:t>
      </w:r>
      <w:r w:rsidR="000A2631" w:rsidRPr="00E21475">
        <w:rPr>
          <w:rFonts w:ascii="Times New Roman" w:hAnsi="Times New Roman" w:cs="Times New Roman"/>
          <w:sz w:val="16"/>
          <w:szCs w:val="16"/>
          <w:lang w:val="en-US"/>
        </w:rPr>
        <w:t>average diameter.</w:t>
      </w:r>
    </w:p>
    <w:p w:rsidR="00A61BFF" w:rsidRPr="00E21475" w:rsidRDefault="00A61BFF" w:rsidP="00A61BFF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t>Figure 1 (a–d) shows SEM micrographs of the particles. As can be seen, the resulting particles have a narrow size distribution, which is also confirmed by the PDI</w:t>
      </w:r>
      <w:r w:rsidRPr="00E2147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DLS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values. The highest PDI</w:t>
      </w:r>
      <w:r w:rsidRPr="00E2147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DLS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value of 0.16 was detected for the latex obtained in the first experiment with the volume phase ratio of 1:1 (polymer concentration ~50%), which can be explained by the large amount of the coagulum (~30%).</w:t>
      </w:r>
    </w:p>
    <w:p w:rsidR="00A61BFF" w:rsidRPr="00E21475" w:rsidRDefault="00A61BFF" w:rsidP="00A61BFF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t>When the amount of the surfactant was increased from 1 to 5 wt %, the coagulum formation was not observed and the value of PDI</w:t>
      </w:r>
      <w:r w:rsidRPr="00E2147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DLS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was 0.011 (experiment 2). A similar pattern was observed in the experiments 3 and 4, performed at the volume ratio of the phases of 1:2 (polymer concentration ̴ 30%).</w:t>
      </w:r>
    </w:p>
    <w:p w:rsidR="000A2631" w:rsidRPr="00E21475" w:rsidRDefault="000A2631" w:rsidP="001B4D6E">
      <w:pPr>
        <w:spacing w:before="200" w:after="1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noProof/>
          <w:lang w:eastAsia="ru-RU"/>
        </w:rPr>
        <w:lastRenderedPageBreak/>
        <w:drawing>
          <wp:inline distT="0" distB="0" distL="0" distR="0">
            <wp:extent cx="2970530" cy="197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D6E" w:rsidRPr="00E21475" w:rsidRDefault="001B4D6E" w:rsidP="001B4D6E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21475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SEM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micrographs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(JCM-6000 PLUS) of the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resulting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E21475">
        <w:rPr>
          <w:rFonts w:ascii="Times New Roman" w:hAnsi="Times New Roman" w:cs="Times New Roman"/>
          <w:sz w:val="16"/>
          <w:szCs w:val="16"/>
          <w:lang w:val="en-US"/>
        </w:rPr>
        <w:t>poly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21475">
        <w:rPr>
          <w:rFonts w:ascii="Times New Roman" w:hAnsi="Times New Roman" w:cs="Times New Roman"/>
          <w:sz w:val="16"/>
          <w:szCs w:val="16"/>
          <w:lang w:val="en-US"/>
        </w:rPr>
        <w:t>methyl methacrylate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particles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 for the following experiments from Table 1: 1 (</w:t>
      </w:r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a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3 (</w:t>
      </w:r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b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2 (</w:t>
      </w:r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c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)</w:t>
      </w:r>
      <w:r w:rsidRPr="00E2147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4 (</w:t>
      </w:r>
      <w:r w:rsidRPr="00E21475">
        <w:rPr>
          <w:rFonts w:ascii="Times New Roman" w:hAnsi="Times New Roman" w:cs="Times New Roman"/>
          <w:b/>
          <w:bCs/>
          <w:i/>
          <w:iCs/>
          <w:sz w:val="16"/>
          <w:szCs w:val="16"/>
          <w:lang w:val="en-US"/>
        </w:rPr>
        <w:t>d</w:t>
      </w:r>
      <w:r w:rsidR="004E67BB" w:rsidRPr="00E21475">
        <w:rPr>
          <w:rFonts w:ascii="Times New Roman" w:hAnsi="Times New Roman" w:cs="Times New Roman"/>
          <w:sz w:val="16"/>
          <w:szCs w:val="16"/>
          <w:lang w:val="en-US"/>
        </w:rPr>
        <w:t>).</w:t>
      </w:r>
    </w:p>
    <w:p w:rsidR="000A2631" w:rsidRPr="00E21475" w:rsidRDefault="001B4D6E" w:rsidP="001B4D6E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Based on the data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presented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in Table 1, it can be concluded that an increase in the latex concentration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leads to an increase</w:t>
      </w:r>
      <w:r w:rsidR="00A73ED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the particle sizes.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The s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table </w:t>
      </w:r>
      <w:proofErr w:type="gramStart"/>
      <w:r w:rsidRPr="00E21475">
        <w:rPr>
          <w:rFonts w:ascii="Times New Roman" w:hAnsi="Times New Roman" w:cs="Times New Roman"/>
          <w:sz w:val="18"/>
          <w:szCs w:val="18"/>
          <w:lang w:val="en-US"/>
        </w:rPr>
        <w:t>poly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E21475">
        <w:rPr>
          <w:rFonts w:ascii="Times New Roman" w:hAnsi="Times New Roman" w:cs="Times New Roman"/>
          <w:sz w:val="18"/>
          <w:szCs w:val="18"/>
          <w:lang w:val="en-US"/>
        </w:rPr>
        <w:t>methyl methacrylate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latexes obtained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at the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phase ratio of 1:1, 1:2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and 1:4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feature the particle diameters of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800, 500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and 270 nm, respectively. The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latexes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show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good aggregation stability, which is confirmed by the values of </w:t>
      </w:r>
      <w:r w:rsidR="002003B2" w:rsidRPr="00E21475">
        <w:rPr>
          <w:rFonts w:ascii="Times New Roman" w:hAnsi="Times New Roman" w:cs="Times New Roman"/>
          <w:b/>
          <w:i/>
          <w:iCs/>
          <w:sz w:val="18"/>
          <w:szCs w:val="18"/>
        </w:rPr>
        <w:t>ζ</w:t>
      </w:r>
      <w:r w:rsidR="002003B2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-potential (</w:t>
      </w:r>
      <w:r w:rsidR="002003B2" w:rsidRPr="00E21475">
        <w:rPr>
          <w:rFonts w:ascii="Times New Roman" w:hAnsi="Times New Roman" w:cs="Times New Roman"/>
          <w:b/>
          <w:i/>
          <w:iCs/>
          <w:sz w:val="18"/>
          <w:szCs w:val="18"/>
        </w:rPr>
        <w:t>ζ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≤ </w:t>
      </w:r>
      <w:r w:rsidR="00835242" w:rsidRPr="00E21475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50).</w:t>
      </w:r>
    </w:p>
    <w:p w:rsidR="00875175" w:rsidRPr="00E21475" w:rsidRDefault="00875175" w:rsidP="00B23601">
      <w:pPr>
        <w:pStyle w:val="Header1"/>
        <w:spacing w:before="240" w:after="240"/>
      </w:pPr>
      <w:r w:rsidRPr="00E21475">
        <w:t>Experiment</w:t>
      </w:r>
      <w:r w:rsidR="00E8461E" w:rsidRPr="00E21475">
        <w:t>al section</w:t>
      </w:r>
    </w:p>
    <w:p w:rsidR="00E8461E" w:rsidRPr="00E21475" w:rsidRDefault="00FD129A" w:rsidP="00E8461E">
      <w:pPr>
        <w:pStyle w:val="Header1"/>
        <w:spacing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proofErr w:type="spellStart"/>
      <w:r w:rsidRPr="00E21475">
        <w:rPr>
          <w:rFonts w:ascii="Times New Roman" w:hAnsi="Times New Roman" w:cs="Times New Roman"/>
          <w:b w:val="0"/>
          <w:sz w:val="18"/>
          <w:szCs w:val="18"/>
        </w:rPr>
        <w:t>PEGylated</w:t>
      </w:r>
      <w:proofErr w:type="spellEnd"/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Pr="00E21475">
        <w:rPr>
          <w:rFonts w:ascii="Times New Roman" w:hAnsi="Times New Roman" w:cs="Times New Roman"/>
          <w:b w:val="0"/>
          <w:sz w:val="18"/>
          <w:szCs w:val="18"/>
        </w:rPr>
        <w:t>h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yperbranched</w:t>
      </w:r>
      <w:proofErr w:type="spellEnd"/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polyethoxymethylsiloxane</w:t>
      </w:r>
      <w:proofErr w:type="spellEnd"/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with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degree of substitution of ethoxy groups of 5 mol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% (PMEOS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–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PEG-5) was </w:t>
      </w:r>
      <w:r w:rsidR="002A1602" w:rsidRPr="00E21475">
        <w:rPr>
          <w:rFonts w:ascii="Times New Roman" w:hAnsi="Times New Roman" w:cs="Times New Roman"/>
          <w:b w:val="0"/>
          <w:sz w:val="18"/>
          <w:szCs w:val="18"/>
        </w:rPr>
        <w:t>synthesized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according to the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published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procedure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[5,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6].</w:t>
      </w:r>
    </w:p>
    <w:p w:rsidR="00E8461E" w:rsidRPr="00E21475" w:rsidRDefault="00587D83" w:rsidP="00E8461E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21475">
        <w:rPr>
          <w:rFonts w:ascii="Times New Roman" w:hAnsi="Times New Roman" w:cs="Times New Roman"/>
          <w:b w:val="0"/>
          <w:sz w:val="18"/>
          <w:szCs w:val="18"/>
        </w:rPr>
        <w:t>The e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mulsion polymerization of methyl methacrylate was carried out in a flask.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T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he monomer and water w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ere degassed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twice, then the calculated amount of PMEOS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–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PEG-5 was added as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a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surfactant. Potassium persulfate was used in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the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amount of 1 wt %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relative to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the monomer. After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mixing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for 1 min, dispersion was carried out using a magnetic stirrer,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resulting in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the formation of a stable milky emulsion</w:t>
      </w:r>
      <w:r w:rsidR="001A5598" w:rsidRPr="00E21475">
        <w:rPr>
          <w:rFonts w:ascii="Times New Roman" w:hAnsi="Times New Roman" w:cs="Times New Roman"/>
          <w:b w:val="0"/>
          <w:sz w:val="18"/>
          <w:szCs w:val="18"/>
        </w:rPr>
        <w:t>. The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n the reaction m</w:t>
      </w:r>
      <w:r w:rsidR="001A5598" w:rsidRPr="00E21475">
        <w:rPr>
          <w:rFonts w:ascii="Times New Roman" w:hAnsi="Times New Roman" w:cs="Times New Roman"/>
          <w:b w:val="0"/>
          <w:sz w:val="18"/>
          <w:szCs w:val="18"/>
        </w:rPr>
        <w:t>ixture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was stirred (300 rpm) at a constant temperature (85</w:t>
      </w:r>
      <w:r w:rsidR="001A5598"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±</w:t>
      </w:r>
      <w:r w:rsidR="001A5598"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0.5 </w:t>
      </w:r>
      <w:r w:rsidR="001A5598" w:rsidRPr="00E21475">
        <w:rPr>
          <w:rFonts w:ascii="Times New Roman" w:hAnsi="Times New Roman" w:cs="Times New Roman"/>
          <w:b w:val="0"/>
          <w:sz w:val="18"/>
          <w:szCs w:val="18"/>
        </w:rPr>
        <w:t>°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С) for 2 h.</w:t>
      </w:r>
    </w:p>
    <w:p w:rsidR="00E8461E" w:rsidRPr="00E21475" w:rsidRDefault="001A5598" w:rsidP="00E8461E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21475">
        <w:rPr>
          <w:rFonts w:ascii="Times New Roman" w:hAnsi="Times New Roman" w:cs="Times New Roman"/>
          <w:b w:val="0"/>
          <w:sz w:val="18"/>
          <w:szCs w:val="18"/>
        </w:rPr>
        <w:t>The l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at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exes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obtained in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experiment</w:t>
      </w:r>
      <w:r w:rsidR="002003B2" w:rsidRPr="00E21475">
        <w:rPr>
          <w:rFonts w:ascii="Times New Roman" w:hAnsi="Times New Roman" w:cs="Times New Roman"/>
          <w:b w:val="0"/>
          <w:sz w:val="18"/>
          <w:szCs w:val="18"/>
        </w:rPr>
        <w:t>s 1 and 2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we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re stable for 1 day,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those obtained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in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experiments 3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–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5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were stable for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3 days.</w:t>
      </w:r>
    </w:p>
    <w:p w:rsidR="00E8461E" w:rsidRPr="00E21475" w:rsidRDefault="001A5598" w:rsidP="00E8461E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SEM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 analysis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was performed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with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a JCM-6000 PLUS microscope.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The p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article size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>s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E21475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dispersion </w:t>
      </w:r>
      <w:r w:rsidR="003662A9" w:rsidRPr="00E21475">
        <w:rPr>
          <w:rFonts w:ascii="Times New Roman" w:hAnsi="Times New Roman" w:cs="Times New Roman"/>
          <w:b w:val="0"/>
          <w:sz w:val="18"/>
          <w:szCs w:val="18"/>
        </w:rPr>
        <w:t xml:space="preserve">degree 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of the polymer suspension, as well as the electrokinetic potential </w:t>
      </w:r>
      <w:r w:rsidR="00511EB6" w:rsidRPr="00E21475">
        <w:rPr>
          <w:rFonts w:ascii="Times New Roman" w:hAnsi="Times New Roman" w:cs="Times New Roman"/>
          <w:b w:val="0"/>
          <w:i/>
          <w:iCs/>
          <w:sz w:val="18"/>
          <w:szCs w:val="18"/>
        </w:rPr>
        <w:t>ζ</w:t>
      </w:r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were determined using a </w:t>
      </w:r>
      <w:proofErr w:type="spellStart"/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>Zetasizer</w:t>
      </w:r>
      <w:proofErr w:type="spellEnd"/>
      <w:r w:rsidR="00E8461E" w:rsidRPr="00E21475">
        <w:rPr>
          <w:rFonts w:ascii="Times New Roman" w:hAnsi="Times New Roman" w:cs="Times New Roman"/>
          <w:b w:val="0"/>
          <w:sz w:val="18"/>
          <w:szCs w:val="18"/>
        </w:rPr>
        <w:t xml:space="preserve"> ULTRA particle analyzer (UK).</w:t>
      </w:r>
    </w:p>
    <w:p w:rsidR="00F376FB" w:rsidRPr="00E21475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E21475">
        <w:rPr>
          <w:rFonts w:ascii="Arial" w:hAnsi="Arial" w:cs="Arial"/>
          <w:b/>
          <w:lang w:val="en-US"/>
        </w:rPr>
        <w:t>Conclusions</w:t>
      </w:r>
    </w:p>
    <w:p w:rsidR="00F94740" w:rsidRPr="00E21475" w:rsidRDefault="003662A9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E21475">
        <w:rPr>
          <w:rFonts w:ascii="Times New Roman" w:hAnsi="Times New Roman" w:cs="Times New Roman"/>
          <w:sz w:val="18"/>
          <w:szCs w:val="18"/>
          <w:lang w:val="en-US"/>
        </w:rPr>
        <w:t>To summarize the results presented, i</w:t>
      </w:r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was</w:t>
      </w:r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shown that </w:t>
      </w:r>
      <w:proofErr w:type="spellStart"/>
      <w:r w:rsidRPr="00E21475">
        <w:rPr>
          <w:rFonts w:ascii="Times New Roman" w:hAnsi="Times New Roman" w:cs="Times New Roman"/>
          <w:sz w:val="18"/>
          <w:szCs w:val="18"/>
          <w:lang w:val="en-US"/>
        </w:rPr>
        <w:t>PEGylated</w:t>
      </w:r>
      <w:proofErr w:type="spellEnd"/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>hyperbranched</w:t>
      </w:r>
      <w:proofErr w:type="spellEnd"/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>polymethylethoxysiloxanes</w:t>
      </w:r>
      <w:proofErr w:type="spellEnd"/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are effective emulsifiers for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emulsion polymerization of MMA and allow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>obtaining stable PMMA latexes in a wide range of concentrations (from 25 to 50%) with a narrow particle size distribution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. Depending on the synthesis conditions, th</w:t>
      </w:r>
      <w:r w:rsidR="00F467A5"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e 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>diameter of the resulting particles range</w:t>
      </w:r>
      <w:r w:rsidR="002A1602" w:rsidRPr="00E21475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E21475">
        <w:rPr>
          <w:rFonts w:ascii="Times New Roman" w:hAnsi="Times New Roman" w:cs="Times New Roman"/>
          <w:sz w:val="18"/>
          <w:szCs w:val="18"/>
          <w:lang w:val="en-US"/>
        </w:rPr>
        <w:t xml:space="preserve"> from 300 to 800 nm.</w:t>
      </w:r>
    </w:p>
    <w:p w:rsidR="00F94740" w:rsidRPr="00E21475" w:rsidRDefault="00F94740" w:rsidP="00F94740">
      <w:pPr>
        <w:pStyle w:val="Header1"/>
        <w:spacing w:before="240" w:after="240"/>
      </w:pPr>
      <w:r w:rsidRPr="00E21475">
        <w:lastRenderedPageBreak/>
        <w:t>Acknowledgements</w:t>
      </w:r>
    </w:p>
    <w:p w:rsidR="00135C2C" w:rsidRPr="00E21475" w:rsidRDefault="00135C2C" w:rsidP="00135C2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E21475">
        <w:rPr>
          <w:rFonts w:ascii="Times New Roman" w:hAnsi="Times New Roman" w:cs="Times New Roman"/>
          <w:b w:val="0"/>
          <w:sz w:val="18"/>
          <w:szCs w:val="18"/>
        </w:rPr>
        <w:t>This work was supported by the Russian Science Foundation (project no. 22-43-04439).</w:t>
      </w:r>
    </w:p>
    <w:p w:rsidR="00F94740" w:rsidRPr="00E21475" w:rsidRDefault="00135C2C" w:rsidP="00135C2C">
      <w:pPr>
        <w:pStyle w:val="MainText"/>
        <w:ind w:firstLine="284"/>
      </w:pPr>
      <w:r w:rsidRPr="00E21475">
        <w:t xml:space="preserve">The GPC and </w:t>
      </w:r>
      <w:r w:rsidRPr="00E21475">
        <w:rPr>
          <w:vertAlign w:val="superscript"/>
        </w:rPr>
        <w:t>1</w:t>
      </w:r>
      <w:r w:rsidRPr="00E21475">
        <w:t xml:space="preserve">H NMR </w:t>
      </w:r>
      <w:r w:rsidR="003662A9" w:rsidRPr="00E21475">
        <w:t>spectroscopic studies</w:t>
      </w:r>
      <w:r w:rsidRPr="00E21475">
        <w:t xml:space="preserve"> of PMEOS and PMEOS</w:t>
      </w:r>
      <w:r w:rsidR="003662A9" w:rsidRPr="00E21475">
        <w:t>–</w:t>
      </w:r>
      <w:r w:rsidRPr="00E21475">
        <w:t xml:space="preserve">PEG were performed with financial support from </w:t>
      </w:r>
      <w:r w:rsidR="003662A9" w:rsidRPr="00E21475">
        <w:t xml:space="preserve">the </w:t>
      </w:r>
      <w:r w:rsidRPr="00E21475">
        <w:t xml:space="preserve">Ministry of Science and Higher Education of the Russian Federation using the equipment of </w:t>
      </w:r>
      <w:r w:rsidR="003662A9" w:rsidRPr="00E21475">
        <w:t xml:space="preserve">the </w:t>
      </w:r>
      <w:r w:rsidRPr="00E21475">
        <w:t xml:space="preserve">Collaborative Access Center </w:t>
      </w:r>
      <w:r w:rsidR="003662A9" w:rsidRPr="00E21475">
        <w:t>"</w:t>
      </w:r>
      <w:r w:rsidR="009B0118" w:rsidRPr="00E21475">
        <w:t>Center</w:t>
      </w:r>
      <w:r w:rsidRPr="00E21475">
        <w:t xml:space="preserve"> for Polymer Research</w:t>
      </w:r>
      <w:r w:rsidR="003662A9" w:rsidRPr="00E21475">
        <w:t>"</w:t>
      </w:r>
      <w:r w:rsidRPr="00E21475">
        <w:t xml:space="preserve"> of ISPM RAS (FFSM-2024-0001).</w:t>
      </w:r>
    </w:p>
    <w:p w:rsidR="00F86864" w:rsidRPr="00E21475" w:rsidRDefault="00F86864" w:rsidP="00161894">
      <w:pPr>
        <w:pStyle w:val="Header1"/>
        <w:spacing w:before="240" w:after="240"/>
      </w:pPr>
      <w:r w:rsidRPr="00E21475">
        <w:t xml:space="preserve">Corresponding </w:t>
      </w:r>
      <w:r w:rsidR="005C7369" w:rsidRPr="00E21475">
        <w:t>a</w:t>
      </w:r>
      <w:r w:rsidRPr="00E21475">
        <w:t>uthor</w:t>
      </w:r>
    </w:p>
    <w:p w:rsidR="00F86864" w:rsidRPr="00E21475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E21475">
        <w:rPr>
          <w:rFonts w:ascii="AdvOT8608a8d1" w:hAnsi="AdvOT8608a8d1" w:cs="AdvOT8608a8d1"/>
        </w:rPr>
        <w:t xml:space="preserve">* </w:t>
      </w:r>
      <w:r w:rsidR="008942BE" w:rsidRPr="00E21475">
        <w:t xml:space="preserve">E-mail: </w:t>
      </w:r>
      <w:r w:rsidR="008942BE" w:rsidRPr="00E21475">
        <w:rPr>
          <w:color w:val="000000" w:themeColor="text1"/>
        </w:rPr>
        <w:t>borisova@ispm.ru (D. M. Borisova).</w:t>
      </w:r>
    </w:p>
    <w:p w:rsidR="00F94740" w:rsidRPr="00E21475" w:rsidRDefault="00F94740" w:rsidP="00161894">
      <w:pPr>
        <w:pStyle w:val="Header1"/>
        <w:spacing w:before="240" w:after="240"/>
      </w:pPr>
      <w:r w:rsidRPr="00E21475">
        <w:t>References</w:t>
      </w:r>
    </w:p>
    <w:p w:rsidR="00ED7A5D" w:rsidRPr="00E21475" w:rsidRDefault="004D40CD" w:rsidP="00ED7A5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1.</w:t>
      </w:r>
      <w:r w:rsidRPr="00E21475">
        <w:rPr>
          <w:sz w:val="16"/>
          <w:szCs w:val="16"/>
        </w:rPr>
        <w:tab/>
      </w:r>
      <w:r w:rsidR="0013522E" w:rsidRPr="00E21475">
        <w:rPr>
          <w:sz w:val="16"/>
          <w:szCs w:val="16"/>
        </w:rPr>
        <w:t xml:space="preserve">S. G. </w:t>
      </w:r>
      <w:proofErr w:type="spellStart"/>
      <w:r w:rsidR="0013522E" w:rsidRPr="00E21475">
        <w:rPr>
          <w:sz w:val="16"/>
          <w:szCs w:val="16"/>
        </w:rPr>
        <w:t>Zlotin</w:t>
      </w:r>
      <w:proofErr w:type="spellEnd"/>
      <w:r w:rsidR="0013522E" w:rsidRPr="00E21475">
        <w:rPr>
          <w:sz w:val="16"/>
          <w:szCs w:val="16"/>
        </w:rPr>
        <w:t xml:space="preserve">, K. S. Egorova, V. P. </w:t>
      </w:r>
      <w:proofErr w:type="spellStart"/>
      <w:r w:rsidR="0013522E" w:rsidRPr="00E21475">
        <w:rPr>
          <w:sz w:val="16"/>
          <w:szCs w:val="16"/>
        </w:rPr>
        <w:t>Ananikov</w:t>
      </w:r>
      <w:proofErr w:type="spellEnd"/>
      <w:r w:rsidR="0013522E" w:rsidRPr="00E21475">
        <w:rPr>
          <w:sz w:val="16"/>
          <w:szCs w:val="16"/>
        </w:rPr>
        <w:t>,</w:t>
      </w:r>
      <w:r w:rsidR="00B55F48" w:rsidRPr="00E21475">
        <w:rPr>
          <w:sz w:val="16"/>
          <w:szCs w:val="16"/>
        </w:rPr>
        <w:t xml:space="preserve"> A. A. Akulov, M. V. </w:t>
      </w:r>
      <w:proofErr w:type="spellStart"/>
      <w:r w:rsidR="00B55F48" w:rsidRPr="00E21475">
        <w:rPr>
          <w:sz w:val="16"/>
          <w:szCs w:val="16"/>
        </w:rPr>
        <w:t>Varaksin</w:t>
      </w:r>
      <w:proofErr w:type="spellEnd"/>
      <w:r w:rsidR="00B55F48" w:rsidRPr="00E21475">
        <w:rPr>
          <w:sz w:val="16"/>
          <w:szCs w:val="16"/>
        </w:rPr>
        <w:t xml:space="preserve">, </w:t>
      </w:r>
      <w:r w:rsidR="004972C6" w:rsidRPr="00E21475">
        <w:rPr>
          <w:sz w:val="16"/>
          <w:szCs w:val="16"/>
        </w:rPr>
        <w:t xml:space="preserve">O. N. Chupakhin, V. N. Charushin, K. P. </w:t>
      </w:r>
      <w:proofErr w:type="spellStart"/>
      <w:r w:rsidR="004972C6" w:rsidRPr="00E21475">
        <w:rPr>
          <w:sz w:val="16"/>
          <w:szCs w:val="16"/>
        </w:rPr>
        <w:t>Bryliakov</w:t>
      </w:r>
      <w:proofErr w:type="spellEnd"/>
      <w:r w:rsidR="004972C6" w:rsidRPr="00E21475">
        <w:rPr>
          <w:sz w:val="16"/>
          <w:szCs w:val="16"/>
        </w:rPr>
        <w:t xml:space="preserve">, </w:t>
      </w:r>
      <w:r w:rsidR="00EA3858" w:rsidRPr="00E21475">
        <w:rPr>
          <w:sz w:val="16"/>
          <w:szCs w:val="16"/>
        </w:rPr>
        <w:t xml:space="preserve">A. D. Averin, I. P. </w:t>
      </w:r>
      <w:proofErr w:type="spellStart"/>
      <w:r w:rsidR="00EA3858" w:rsidRPr="00E21475">
        <w:rPr>
          <w:sz w:val="16"/>
          <w:szCs w:val="16"/>
        </w:rPr>
        <w:t>Beletskaya</w:t>
      </w:r>
      <w:proofErr w:type="spellEnd"/>
      <w:r w:rsidR="00EA3858" w:rsidRPr="00E21475">
        <w:rPr>
          <w:sz w:val="16"/>
          <w:szCs w:val="16"/>
        </w:rPr>
        <w:t xml:space="preserve">, E. L. </w:t>
      </w:r>
      <w:proofErr w:type="spellStart"/>
      <w:r w:rsidR="00EA3858" w:rsidRPr="00E21475">
        <w:rPr>
          <w:sz w:val="16"/>
          <w:szCs w:val="16"/>
        </w:rPr>
        <w:t>Dolengovski</w:t>
      </w:r>
      <w:proofErr w:type="spellEnd"/>
      <w:r w:rsidR="00EA3858" w:rsidRPr="00E21475">
        <w:rPr>
          <w:sz w:val="16"/>
          <w:szCs w:val="16"/>
        </w:rPr>
        <w:t xml:space="preserve">, Yu. H. </w:t>
      </w:r>
      <w:proofErr w:type="spellStart"/>
      <w:r w:rsidR="00EA3858" w:rsidRPr="00E21475">
        <w:rPr>
          <w:sz w:val="16"/>
          <w:szCs w:val="16"/>
        </w:rPr>
        <w:t>Budnikova</w:t>
      </w:r>
      <w:proofErr w:type="spellEnd"/>
      <w:r w:rsidR="00EA3858" w:rsidRPr="00E21475">
        <w:rPr>
          <w:sz w:val="16"/>
          <w:szCs w:val="16"/>
        </w:rPr>
        <w:t xml:space="preserve">, O. G. </w:t>
      </w:r>
      <w:proofErr w:type="spellStart"/>
      <w:r w:rsidR="00EA3858" w:rsidRPr="00E21475">
        <w:rPr>
          <w:sz w:val="16"/>
          <w:szCs w:val="16"/>
        </w:rPr>
        <w:t>Sinyashin</w:t>
      </w:r>
      <w:proofErr w:type="spellEnd"/>
      <w:r w:rsidR="00EA3858" w:rsidRPr="00E21475">
        <w:rPr>
          <w:sz w:val="16"/>
          <w:szCs w:val="16"/>
        </w:rPr>
        <w:t xml:space="preserve">, Z. N. Gafurov, A. O. </w:t>
      </w:r>
      <w:proofErr w:type="spellStart"/>
      <w:r w:rsidR="00EA3858" w:rsidRPr="00E21475">
        <w:rPr>
          <w:sz w:val="16"/>
          <w:szCs w:val="16"/>
        </w:rPr>
        <w:t>Kantyukov</w:t>
      </w:r>
      <w:proofErr w:type="spellEnd"/>
      <w:r w:rsidR="00EA3858" w:rsidRPr="00E21475">
        <w:rPr>
          <w:sz w:val="16"/>
          <w:szCs w:val="16"/>
        </w:rPr>
        <w:t xml:space="preserve">, D. G. </w:t>
      </w:r>
      <w:proofErr w:type="spellStart"/>
      <w:r w:rsidR="00EA3858" w:rsidRPr="00E21475">
        <w:rPr>
          <w:sz w:val="16"/>
          <w:szCs w:val="16"/>
        </w:rPr>
        <w:t>Yakhvarov</w:t>
      </w:r>
      <w:proofErr w:type="spellEnd"/>
      <w:r w:rsidR="00EA3858" w:rsidRPr="00E21475">
        <w:rPr>
          <w:sz w:val="16"/>
          <w:szCs w:val="16"/>
        </w:rPr>
        <w:t>, A. V. Aksenov,</w:t>
      </w:r>
      <w:r w:rsidR="003F501A" w:rsidRPr="00E21475">
        <w:rPr>
          <w:sz w:val="16"/>
          <w:szCs w:val="16"/>
        </w:rPr>
        <w:t xml:space="preserve"> M. N. </w:t>
      </w:r>
      <w:proofErr w:type="spellStart"/>
      <w:r w:rsidR="003F501A" w:rsidRPr="00E21475">
        <w:rPr>
          <w:sz w:val="16"/>
          <w:szCs w:val="16"/>
        </w:rPr>
        <w:t>Elinson</w:t>
      </w:r>
      <w:proofErr w:type="spellEnd"/>
      <w:r w:rsidR="003F501A" w:rsidRPr="00E21475">
        <w:rPr>
          <w:sz w:val="16"/>
          <w:szCs w:val="16"/>
        </w:rPr>
        <w:t xml:space="preserve">, V. G. </w:t>
      </w:r>
      <w:proofErr w:type="spellStart"/>
      <w:r w:rsidR="003F501A" w:rsidRPr="00E21475">
        <w:rPr>
          <w:sz w:val="16"/>
          <w:szCs w:val="16"/>
        </w:rPr>
        <w:t>Nenajdenko</w:t>
      </w:r>
      <w:proofErr w:type="spellEnd"/>
      <w:r w:rsidR="003F501A" w:rsidRPr="00E21475">
        <w:rPr>
          <w:sz w:val="16"/>
          <w:szCs w:val="16"/>
        </w:rPr>
        <w:t xml:space="preserve">, A. M. </w:t>
      </w:r>
      <w:proofErr w:type="spellStart"/>
      <w:r w:rsidR="003F501A" w:rsidRPr="00E21475">
        <w:rPr>
          <w:sz w:val="16"/>
          <w:szCs w:val="16"/>
        </w:rPr>
        <w:t>Chibiryaev</w:t>
      </w:r>
      <w:proofErr w:type="spellEnd"/>
      <w:r w:rsidR="003F501A" w:rsidRPr="00E21475">
        <w:rPr>
          <w:sz w:val="16"/>
          <w:szCs w:val="16"/>
        </w:rPr>
        <w:t xml:space="preserve">, N. S. Nesterov, E. A. Kozlova, O. N. Martynov, I. A. </w:t>
      </w:r>
      <w:proofErr w:type="spellStart"/>
      <w:r w:rsidR="003F501A" w:rsidRPr="00E21475">
        <w:rPr>
          <w:sz w:val="16"/>
          <w:szCs w:val="16"/>
        </w:rPr>
        <w:t>Balova</w:t>
      </w:r>
      <w:proofErr w:type="spellEnd"/>
      <w:r w:rsidR="003F501A" w:rsidRPr="00E21475">
        <w:rPr>
          <w:sz w:val="16"/>
          <w:szCs w:val="16"/>
        </w:rPr>
        <w:t xml:space="preserve">, V. N. </w:t>
      </w:r>
      <w:proofErr w:type="spellStart"/>
      <w:r w:rsidR="003F501A" w:rsidRPr="00E21475">
        <w:rPr>
          <w:sz w:val="16"/>
          <w:szCs w:val="16"/>
        </w:rPr>
        <w:t>Sorokoumov</w:t>
      </w:r>
      <w:proofErr w:type="spellEnd"/>
      <w:r w:rsidR="003F501A" w:rsidRPr="00E21475">
        <w:rPr>
          <w:sz w:val="16"/>
          <w:szCs w:val="16"/>
        </w:rPr>
        <w:t xml:space="preserve">, D. A. Guk, E. K. </w:t>
      </w:r>
      <w:proofErr w:type="spellStart"/>
      <w:r w:rsidR="003F501A" w:rsidRPr="00E21475">
        <w:rPr>
          <w:sz w:val="16"/>
          <w:szCs w:val="16"/>
        </w:rPr>
        <w:t>Beloglazkina</w:t>
      </w:r>
      <w:proofErr w:type="spellEnd"/>
      <w:r w:rsidR="003F501A" w:rsidRPr="00E21475">
        <w:rPr>
          <w:sz w:val="16"/>
          <w:szCs w:val="16"/>
        </w:rPr>
        <w:t xml:space="preserve">, D. A. </w:t>
      </w:r>
      <w:proofErr w:type="spellStart"/>
      <w:r w:rsidR="003F501A" w:rsidRPr="00E21475">
        <w:rPr>
          <w:sz w:val="16"/>
          <w:szCs w:val="16"/>
        </w:rPr>
        <w:t>Lemenovskii</w:t>
      </w:r>
      <w:proofErr w:type="spellEnd"/>
      <w:r w:rsidR="003F501A" w:rsidRPr="00E21475">
        <w:rPr>
          <w:sz w:val="16"/>
          <w:szCs w:val="16"/>
        </w:rPr>
        <w:t xml:space="preserve">, I. Yu. </w:t>
      </w:r>
      <w:proofErr w:type="spellStart"/>
      <w:r w:rsidR="003F501A" w:rsidRPr="00E21475">
        <w:rPr>
          <w:sz w:val="16"/>
          <w:szCs w:val="16"/>
        </w:rPr>
        <w:t>Chukicheva</w:t>
      </w:r>
      <w:proofErr w:type="spellEnd"/>
      <w:r w:rsidR="003F501A" w:rsidRPr="00E21475">
        <w:rPr>
          <w:sz w:val="16"/>
          <w:szCs w:val="16"/>
        </w:rPr>
        <w:t xml:space="preserve">, L. L. Frolova, </w:t>
      </w:r>
      <w:r w:rsidR="00701307" w:rsidRPr="00E21475">
        <w:rPr>
          <w:sz w:val="16"/>
          <w:szCs w:val="16"/>
        </w:rPr>
        <w:t xml:space="preserve">E. S. </w:t>
      </w:r>
      <w:proofErr w:type="spellStart"/>
      <w:r w:rsidR="00701307" w:rsidRPr="00E21475">
        <w:rPr>
          <w:sz w:val="16"/>
          <w:szCs w:val="16"/>
        </w:rPr>
        <w:t>Izmest'ev</w:t>
      </w:r>
      <w:proofErr w:type="spellEnd"/>
      <w:r w:rsidR="00701307" w:rsidRPr="00E21475">
        <w:rPr>
          <w:sz w:val="16"/>
          <w:szCs w:val="16"/>
        </w:rPr>
        <w:t xml:space="preserve">, I. A. </w:t>
      </w:r>
      <w:proofErr w:type="spellStart"/>
      <w:r w:rsidR="00701307" w:rsidRPr="00E21475">
        <w:rPr>
          <w:sz w:val="16"/>
          <w:szCs w:val="16"/>
        </w:rPr>
        <w:t>Dvornikova</w:t>
      </w:r>
      <w:proofErr w:type="spellEnd"/>
      <w:r w:rsidR="00701307" w:rsidRPr="00E21475">
        <w:rPr>
          <w:sz w:val="16"/>
          <w:szCs w:val="16"/>
        </w:rPr>
        <w:t xml:space="preserve">, A. V. Popov, A. V. </w:t>
      </w:r>
      <w:proofErr w:type="spellStart"/>
      <w:r w:rsidR="00701307" w:rsidRPr="00E21475">
        <w:rPr>
          <w:sz w:val="16"/>
          <w:szCs w:val="16"/>
        </w:rPr>
        <w:t>Kuchin</w:t>
      </w:r>
      <w:proofErr w:type="spellEnd"/>
      <w:r w:rsidR="00701307" w:rsidRPr="00E21475">
        <w:rPr>
          <w:sz w:val="16"/>
          <w:szCs w:val="16"/>
        </w:rPr>
        <w:t xml:space="preserve">, D. M. Borisova, A. A. Kalinina, A. M. Muzafarov, I. V. </w:t>
      </w:r>
      <w:proofErr w:type="spellStart"/>
      <w:r w:rsidR="00701307" w:rsidRPr="00E21475">
        <w:rPr>
          <w:sz w:val="16"/>
          <w:szCs w:val="16"/>
        </w:rPr>
        <w:t>Kuchurov</w:t>
      </w:r>
      <w:proofErr w:type="spellEnd"/>
      <w:r w:rsidR="00701307" w:rsidRPr="00E21475">
        <w:rPr>
          <w:sz w:val="16"/>
          <w:szCs w:val="16"/>
        </w:rPr>
        <w:t xml:space="preserve">, A. L. Maximov, A. V. </w:t>
      </w:r>
      <w:proofErr w:type="spellStart"/>
      <w:r w:rsidR="00701307" w:rsidRPr="00E21475">
        <w:rPr>
          <w:sz w:val="16"/>
          <w:szCs w:val="16"/>
        </w:rPr>
        <w:t>Zolotukhina</w:t>
      </w:r>
      <w:proofErr w:type="spellEnd"/>
      <w:r w:rsidR="00701307" w:rsidRPr="00E21475">
        <w:rPr>
          <w:sz w:val="16"/>
          <w:szCs w:val="16"/>
        </w:rPr>
        <w:t xml:space="preserve">, </w:t>
      </w:r>
      <w:r w:rsidR="0013522E" w:rsidRPr="00E21475">
        <w:rPr>
          <w:i/>
          <w:iCs/>
          <w:sz w:val="16"/>
          <w:szCs w:val="16"/>
        </w:rPr>
        <w:t>Russ. Chem. Rev.</w:t>
      </w:r>
      <w:r w:rsidR="0013522E" w:rsidRPr="00E21475">
        <w:rPr>
          <w:sz w:val="16"/>
          <w:szCs w:val="16"/>
        </w:rPr>
        <w:t>,</w:t>
      </w:r>
      <w:r w:rsidR="00ED7A5D" w:rsidRPr="00E21475">
        <w:rPr>
          <w:sz w:val="16"/>
          <w:szCs w:val="16"/>
        </w:rPr>
        <w:t xml:space="preserve"> </w:t>
      </w:r>
      <w:r w:rsidR="00ED7A5D" w:rsidRPr="00E21475">
        <w:rPr>
          <w:b/>
          <w:bCs/>
          <w:sz w:val="16"/>
          <w:szCs w:val="16"/>
        </w:rPr>
        <w:t>2023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i/>
          <w:iCs/>
          <w:sz w:val="16"/>
          <w:szCs w:val="16"/>
        </w:rPr>
        <w:t>92</w:t>
      </w:r>
      <w:r w:rsidR="00ED7A5D" w:rsidRPr="00E21475">
        <w:rPr>
          <w:sz w:val="16"/>
          <w:szCs w:val="16"/>
        </w:rPr>
        <w:t xml:space="preserve">, </w:t>
      </w:r>
      <w:r w:rsidR="00701307" w:rsidRPr="00E21475">
        <w:rPr>
          <w:sz w:val="16"/>
          <w:szCs w:val="16"/>
        </w:rPr>
        <w:t>RCR5104</w:t>
      </w:r>
      <w:r w:rsidR="00ED7A5D" w:rsidRPr="00E21475">
        <w:rPr>
          <w:sz w:val="16"/>
          <w:szCs w:val="16"/>
        </w:rPr>
        <w:t>.</w:t>
      </w:r>
      <w:r w:rsidR="00ED7A5D" w:rsidRPr="00E21475">
        <w:t xml:space="preserve"> </w:t>
      </w:r>
      <w:r w:rsidR="00ED7A5D" w:rsidRPr="00E21475">
        <w:rPr>
          <w:sz w:val="16"/>
          <w:szCs w:val="16"/>
        </w:rPr>
        <w:t>DOI:</w:t>
      </w:r>
      <w:r w:rsidR="0013522E" w:rsidRPr="00E21475">
        <w:rPr>
          <w:sz w:val="16"/>
          <w:szCs w:val="16"/>
        </w:rPr>
        <w:t xml:space="preserve"> </w:t>
      </w:r>
      <w:r w:rsidR="00ED7A5D" w:rsidRPr="00E21475">
        <w:rPr>
          <w:sz w:val="16"/>
          <w:szCs w:val="16"/>
        </w:rPr>
        <w:t>10.59761/RCR5104</w:t>
      </w:r>
    </w:p>
    <w:p w:rsidR="003B4488" w:rsidRPr="00E21475" w:rsidRDefault="004D40CD" w:rsidP="00ED7A5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2.</w:t>
      </w:r>
      <w:r w:rsidRPr="00E21475">
        <w:rPr>
          <w:sz w:val="16"/>
          <w:szCs w:val="16"/>
        </w:rPr>
        <w:tab/>
      </w:r>
      <w:r w:rsidR="003B4488" w:rsidRPr="00E21475">
        <w:rPr>
          <w:sz w:val="16"/>
          <w:szCs w:val="16"/>
        </w:rPr>
        <w:t xml:space="preserve">E. S. Klyuzhin, E. P. </w:t>
      </w:r>
      <w:proofErr w:type="spellStart"/>
      <w:r w:rsidR="003B4488" w:rsidRPr="00E21475">
        <w:rPr>
          <w:sz w:val="16"/>
          <w:szCs w:val="16"/>
        </w:rPr>
        <w:t>Shvarev</w:t>
      </w:r>
      <w:proofErr w:type="spellEnd"/>
      <w:r w:rsidR="003B4488" w:rsidRPr="00E21475">
        <w:rPr>
          <w:sz w:val="16"/>
          <w:szCs w:val="16"/>
        </w:rPr>
        <w:t xml:space="preserve">, T. V. </w:t>
      </w:r>
      <w:proofErr w:type="spellStart"/>
      <w:r w:rsidR="003B4488" w:rsidRPr="00E21475">
        <w:rPr>
          <w:sz w:val="16"/>
          <w:szCs w:val="16"/>
        </w:rPr>
        <w:t>Palaeva</w:t>
      </w:r>
      <w:proofErr w:type="spellEnd"/>
      <w:r w:rsidR="003B4488" w:rsidRPr="00E21475">
        <w:rPr>
          <w:sz w:val="16"/>
          <w:szCs w:val="16"/>
        </w:rPr>
        <w:t xml:space="preserve">, G. L. </w:t>
      </w:r>
      <w:proofErr w:type="spellStart"/>
      <w:r w:rsidR="003B4488" w:rsidRPr="00E21475">
        <w:rPr>
          <w:sz w:val="16"/>
          <w:szCs w:val="16"/>
        </w:rPr>
        <w:t>Kulikova</w:t>
      </w:r>
      <w:proofErr w:type="spellEnd"/>
      <w:r w:rsidR="003B4488" w:rsidRPr="00E21475">
        <w:rPr>
          <w:sz w:val="16"/>
          <w:szCs w:val="16"/>
        </w:rPr>
        <w:t xml:space="preserve">, </w:t>
      </w:r>
      <w:proofErr w:type="spellStart"/>
      <w:r w:rsidR="00FB6E99" w:rsidRPr="00E21475">
        <w:rPr>
          <w:i/>
          <w:iCs/>
          <w:sz w:val="16"/>
          <w:szCs w:val="16"/>
        </w:rPr>
        <w:t>Klei</w:t>
      </w:r>
      <w:proofErr w:type="spellEnd"/>
      <w:r w:rsidR="00FB6E99" w:rsidRPr="00E21475">
        <w:rPr>
          <w:sz w:val="16"/>
          <w:szCs w:val="16"/>
        </w:rPr>
        <w:t>,</w:t>
      </w:r>
      <w:r w:rsidR="003B4488" w:rsidRPr="00E21475">
        <w:rPr>
          <w:i/>
          <w:iCs/>
          <w:sz w:val="16"/>
          <w:szCs w:val="16"/>
        </w:rPr>
        <w:t xml:space="preserve"> </w:t>
      </w:r>
      <w:proofErr w:type="spellStart"/>
      <w:r w:rsidR="00FB6E99" w:rsidRPr="00E21475">
        <w:rPr>
          <w:i/>
          <w:iCs/>
          <w:sz w:val="16"/>
          <w:szCs w:val="16"/>
        </w:rPr>
        <w:t>Germetiki</w:t>
      </w:r>
      <w:proofErr w:type="spellEnd"/>
      <w:r w:rsidR="00FB6E99" w:rsidRPr="00E21475">
        <w:rPr>
          <w:sz w:val="16"/>
          <w:szCs w:val="16"/>
        </w:rPr>
        <w:t xml:space="preserve">, </w:t>
      </w:r>
      <w:proofErr w:type="spellStart"/>
      <w:r w:rsidR="003B4488" w:rsidRPr="00E21475">
        <w:rPr>
          <w:i/>
          <w:iCs/>
          <w:sz w:val="16"/>
          <w:szCs w:val="16"/>
        </w:rPr>
        <w:t>Te</w:t>
      </w:r>
      <w:r w:rsidR="00FB6E99" w:rsidRPr="00E21475">
        <w:rPr>
          <w:i/>
          <w:iCs/>
          <w:sz w:val="16"/>
          <w:szCs w:val="16"/>
        </w:rPr>
        <w:t>k</w:t>
      </w:r>
      <w:r w:rsidR="003B4488" w:rsidRPr="00E21475">
        <w:rPr>
          <w:i/>
          <w:iCs/>
          <w:sz w:val="16"/>
          <w:szCs w:val="16"/>
        </w:rPr>
        <w:t>hnol</w:t>
      </w:r>
      <w:proofErr w:type="spellEnd"/>
      <w:r w:rsidR="003B4488" w:rsidRPr="00E21475">
        <w:rPr>
          <w:sz w:val="16"/>
          <w:szCs w:val="16"/>
        </w:rPr>
        <w:t xml:space="preserve">., </w:t>
      </w:r>
      <w:r w:rsidR="003B4488" w:rsidRPr="00E21475">
        <w:rPr>
          <w:b/>
          <w:bCs/>
          <w:sz w:val="16"/>
          <w:szCs w:val="16"/>
        </w:rPr>
        <w:t>2006</w:t>
      </w:r>
      <w:r w:rsidR="003B4488" w:rsidRPr="00E21475">
        <w:rPr>
          <w:sz w:val="16"/>
          <w:szCs w:val="16"/>
        </w:rPr>
        <w:t xml:space="preserve">, </w:t>
      </w:r>
      <w:r w:rsidR="003B4488" w:rsidRPr="00E21475">
        <w:rPr>
          <w:i/>
          <w:iCs/>
          <w:sz w:val="16"/>
          <w:szCs w:val="16"/>
        </w:rPr>
        <w:t>1</w:t>
      </w:r>
      <w:r w:rsidR="003B4488" w:rsidRPr="00E21475">
        <w:rPr>
          <w:sz w:val="16"/>
          <w:szCs w:val="16"/>
        </w:rPr>
        <w:t>, 39–44</w:t>
      </w:r>
      <w:r w:rsidR="005C33AA" w:rsidRPr="00E21475">
        <w:rPr>
          <w:sz w:val="16"/>
          <w:szCs w:val="16"/>
        </w:rPr>
        <w:t>.</w:t>
      </w:r>
    </w:p>
    <w:p w:rsidR="004D40CD" w:rsidRPr="00E21475" w:rsidRDefault="004D40CD" w:rsidP="00253DFB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3.</w:t>
      </w:r>
      <w:r w:rsidRPr="00E21475">
        <w:rPr>
          <w:sz w:val="16"/>
          <w:szCs w:val="16"/>
        </w:rPr>
        <w:tab/>
        <w:t xml:space="preserve">E. S. Klyuzhin, A. A. </w:t>
      </w:r>
      <w:proofErr w:type="spellStart"/>
      <w:r w:rsidRPr="00E21475">
        <w:rPr>
          <w:sz w:val="16"/>
          <w:szCs w:val="16"/>
        </w:rPr>
        <w:t>Molyavina</w:t>
      </w:r>
      <w:proofErr w:type="spellEnd"/>
      <w:r w:rsidRPr="00E21475">
        <w:rPr>
          <w:sz w:val="16"/>
          <w:szCs w:val="16"/>
        </w:rPr>
        <w:t xml:space="preserve">, I. A. </w:t>
      </w:r>
      <w:proofErr w:type="spellStart"/>
      <w:r w:rsidRPr="00E21475">
        <w:rPr>
          <w:sz w:val="16"/>
          <w:szCs w:val="16"/>
        </w:rPr>
        <w:t>Gritskova</w:t>
      </w:r>
      <w:proofErr w:type="spellEnd"/>
      <w:r w:rsidRPr="00E21475">
        <w:rPr>
          <w:sz w:val="16"/>
          <w:szCs w:val="16"/>
        </w:rPr>
        <w:t xml:space="preserve">, S. N. </w:t>
      </w:r>
      <w:proofErr w:type="spellStart"/>
      <w:r w:rsidRPr="00E21475">
        <w:rPr>
          <w:sz w:val="16"/>
          <w:szCs w:val="16"/>
        </w:rPr>
        <w:t>Levachev</w:t>
      </w:r>
      <w:proofErr w:type="spellEnd"/>
      <w:r w:rsidRPr="00E21475">
        <w:rPr>
          <w:sz w:val="16"/>
          <w:szCs w:val="16"/>
        </w:rPr>
        <w:t xml:space="preserve">, </w:t>
      </w:r>
      <w:proofErr w:type="spellStart"/>
      <w:r w:rsidRPr="00E21475">
        <w:rPr>
          <w:i/>
          <w:iCs/>
          <w:sz w:val="16"/>
          <w:szCs w:val="16"/>
        </w:rPr>
        <w:t>Plast</w:t>
      </w:r>
      <w:proofErr w:type="spellEnd"/>
      <w:r w:rsidRPr="00E21475">
        <w:rPr>
          <w:i/>
          <w:iCs/>
          <w:sz w:val="16"/>
          <w:szCs w:val="16"/>
        </w:rPr>
        <w:t>. Massy</w:t>
      </w:r>
      <w:r w:rsidRPr="00E21475">
        <w:rPr>
          <w:sz w:val="16"/>
          <w:szCs w:val="16"/>
        </w:rPr>
        <w:t xml:space="preserve">, </w:t>
      </w:r>
      <w:r w:rsidRPr="00E21475">
        <w:rPr>
          <w:b/>
          <w:bCs/>
          <w:sz w:val="16"/>
          <w:szCs w:val="16"/>
        </w:rPr>
        <w:t>2012</w:t>
      </w:r>
      <w:r w:rsidRPr="00E21475">
        <w:rPr>
          <w:sz w:val="16"/>
          <w:szCs w:val="16"/>
        </w:rPr>
        <w:t xml:space="preserve">, </w:t>
      </w:r>
      <w:r w:rsidRPr="00E21475">
        <w:rPr>
          <w:i/>
          <w:iCs/>
          <w:sz w:val="16"/>
          <w:szCs w:val="16"/>
        </w:rPr>
        <w:t>5</w:t>
      </w:r>
      <w:r w:rsidRPr="00E21475">
        <w:rPr>
          <w:sz w:val="16"/>
          <w:szCs w:val="16"/>
        </w:rPr>
        <w:t>, 33–36.</w:t>
      </w:r>
    </w:p>
    <w:p w:rsidR="00ED7A5D" w:rsidRPr="00E21475" w:rsidRDefault="004D40CD" w:rsidP="00ED7A5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4.</w:t>
      </w:r>
      <w:r w:rsidRPr="00E21475">
        <w:rPr>
          <w:sz w:val="16"/>
          <w:szCs w:val="16"/>
        </w:rPr>
        <w:tab/>
        <w:t xml:space="preserve">I. A. </w:t>
      </w:r>
      <w:proofErr w:type="spellStart"/>
      <w:r w:rsidR="00ED7A5D" w:rsidRPr="00E21475">
        <w:rPr>
          <w:sz w:val="16"/>
          <w:szCs w:val="16"/>
        </w:rPr>
        <w:t>Gritskova</w:t>
      </w:r>
      <w:proofErr w:type="spellEnd"/>
      <w:r w:rsidR="00ED7A5D" w:rsidRPr="00E21475">
        <w:rPr>
          <w:sz w:val="16"/>
          <w:szCs w:val="16"/>
        </w:rPr>
        <w:t xml:space="preserve">, </w:t>
      </w:r>
      <w:r w:rsidRPr="00E21475">
        <w:rPr>
          <w:sz w:val="16"/>
          <w:szCs w:val="16"/>
        </w:rPr>
        <w:t xml:space="preserve">N. I. </w:t>
      </w:r>
      <w:r w:rsidR="00ED7A5D" w:rsidRPr="00E21475">
        <w:rPr>
          <w:sz w:val="16"/>
          <w:szCs w:val="16"/>
        </w:rPr>
        <w:t xml:space="preserve">Prokopov, </w:t>
      </w:r>
      <w:r w:rsidR="0057481D" w:rsidRPr="00E21475">
        <w:rPr>
          <w:sz w:val="16"/>
          <w:szCs w:val="16"/>
        </w:rPr>
        <w:t xml:space="preserve">A. A. </w:t>
      </w:r>
      <w:proofErr w:type="spellStart"/>
      <w:r w:rsidR="00ED7A5D" w:rsidRPr="00E21475">
        <w:rPr>
          <w:sz w:val="16"/>
          <w:szCs w:val="16"/>
        </w:rPr>
        <w:t>Ezhova</w:t>
      </w:r>
      <w:proofErr w:type="spellEnd"/>
      <w:r w:rsidRPr="00E21475">
        <w:rPr>
          <w:sz w:val="16"/>
          <w:szCs w:val="16"/>
        </w:rPr>
        <w:t>,</w:t>
      </w:r>
      <w:r w:rsidR="00ED7A5D" w:rsidRPr="00E21475">
        <w:rPr>
          <w:sz w:val="16"/>
          <w:szCs w:val="16"/>
        </w:rPr>
        <w:t xml:space="preserve"> </w:t>
      </w:r>
      <w:r w:rsidR="0057481D" w:rsidRPr="00E21475">
        <w:rPr>
          <w:sz w:val="16"/>
          <w:szCs w:val="16"/>
        </w:rPr>
        <w:t xml:space="preserve">A. E. </w:t>
      </w:r>
      <w:proofErr w:type="spellStart"/>
      <w:r w:rsidR="0057481D" w:rsidRPr="00E21475">
        <w:rPr>
          <w:sz w:val="16"/>
          <w:szCs w:val="16"/>
        </w:rPr>
        <w:t>Chalykh</w:t>
      </w:r>
      <w:proofErr w:type="spellEnd"/>
      <w:r w:rsidR="0057481D" w:rsidRPr="00E21475">
        <w:rPr>
          <w:sz w:val="16"/>
          <w:szCs w:val="16"/>
        </w:rPr>
        <w:t xml:space="preserve">, S. A. Gusev, S. M. </w:t>
      </w:r>
      <w:proofErr w:type="spellStart"/>
      <w:r w:rsidR="0057481D" w:rsidRPr="00E21475">
        <w:rPr>
          <w:sz w:val="16"/>
          <w:szCs w:val="16"/>
        </w:rPr>
        <w:t>Levachev</w:t>
      </w:r>
      <w:proofErr w:type="spellEnd"/>
      <w:r w:rsidR="0057481D" w:rsidRPr="00E21475">
        <w:rPr>
          <w:sz w:val="16"/>
          <w:szCs w:val="16"/>
        </w:rPr>
        <w:t xml:space="preserve">, V. P. Zubov, V. I. </w:t>
      </w:r>
      <w:proofErr w:type="spellStart"/>
      <w:r w:rsidR="0057481D" w:rsidRPr="00E21475">
        <w:rPr>
          <w:sz w:val="16"/>
          <w:szCs w:val="16"/>
        </w:rPr>
        <w:t>Gomzyak</w:t>
      </w:r>
      <w:proofErr w:type="spellEnd"/>
      <w:r w:rsidR="0057481D" w:rsidRPr="00E21475">
        <w:rPr>
          <w:sz w:val="16"/>
          <w:szCs w:val="16"/>
        </w:rPr>
        <w:t xml:space="preserve">, I. V. </w:t>
      </w:r>
      <w:proofErr w:type="spellStart"/>
      <w:r w:rsidR="0057481D" w:rsidRPr="00E21475">
        <w:rPr>
          <w:sz w:val="16"/>
          <w:szCs w:val="16"/>
        </w:rPr>
        <w:t>Skopintsev</w:t>
      </w:r>
      <w:proofErr w:type="spellEnd"/>
      <w:r w:rsidR="0057481D" w:rsidRPr="00E21475">
        <w:rPr>
          <w:sz w:val="16"/>
          <w:szCs w:val="16"/>
        </w:rPr>
        <w:t xml:space="preserve">, A. N. </w:t>
      </w:r>
      <w:proofErr w:type="spellStart"/>
      <w:r w:rsidR="0057481D" w:rsidRPr="00E21475">
        <w:rPr>
          <w:sz w:val="16"/>
          <w:szCs w:val="16"/>
        </w:rPr>
        <w:t>Stuzhuk</w:t>
      </w:r>
      <w:proofErr w:type="spellEnd"/>
      <w:r w:rsidR="0057481D" w:rsidRPr="00E21475">
        <w:rPr>
          <w:sz w:val="16"/>
          <w:szCs w:val="16"/>
        </w:rPr>
        <w:t xml:space="preserve">, I. D. Kovtun, A. M. Shulgin, D. S. Ivashkevich, G. A. Romanenko, </w:t>
      </w:r>
      <w:r w:rsidR="000E7A83" w:rsidRPr="00E21475">
        <w:rPr>
          <w:sz w:val="16"/>
          <w:szCs w:val="16"/>
        </w:rPr>
        <w:t xml:space="preserve">V. G. </w:t>
      </w:r>
      <w:proofErr w:type="spellStart"/>
      <w:r w:rsidR="000E7A83" w:rsidRPr="00E21475">
        <w:rPr>
          <w:sz w:val="16"/>
          <w:szCs w:val="16"/>
        </w:rPr>
        <w:t>Lakhtin</w:t>
      </w:r>
      <w:proofErr w:type="spellEnd"/>
      <w:r w:rsidR="000E7A83" w:rsidRPr="00E21475">
        <w:rPr>
          <w:sz w:val="16"/>
          <w:szCs w:val="16"/>
        </w:rPr>
        <w:t xml:space="preserve">, S. N. </w:t>
      </w:r>
      <w:proofErr w:type="spellStart"/>
      <w:r w:rsidR="000E7A83" w:rsidRPr="00E21475">
        <w:rPr>
          <w:sz w:val="16"/>
          <w:szCs w:val="16"/>
        </w:rPr>
        <w:t>Chvalun</w:t>
      </w:r>
      <w:proofErr w:type="spellEnd"/>
      <w:r w:rsidR="000E7A83" w:rsidRPr="00E21475">
        <w:rPr>
          <w:sz w:val="16"/>
          <w:szCs w:val="16"/>
        </w:rPr>
        <w:t xml:space="preserve">, </w:t>
      </w:r>
      <w:r w:rsidR="00ED7A5D" w:rsidRPr="00E21475">
        <w:rPr>
          <w:i/>
          <w:iCs/>
          <w:sz w:val="16"/>
          <w:szCs w:val="16"/>
        </w:rPr>
        <w:t>Polymers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b/>
          <w:bCs/>
          <w:sz w:val="16"/>
          <w:szCs w:val="16"/>
        </w:rPr>
        <w:t>2023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i/>
          <w:iCs/>
          <w:sz w:val="16"/>
          <w:szCs w:val="16"/>
        </w:rPr>
        <w:t>15</w:t>
      </w:r>
      <w:r w:rsidR="00ED7A5D" w:rsidRPr="00E21475">
        <w:rPr>
          <w:sz w:val="16"/>
          <w:szCs w:val="16"/>
        </w:rPr>
        <w:t>, 2464. DOI: 10.3390/polym15112464</w:t>
      </w:r>
    </w:p>
    <w:p w:rsidR="00ED7A5D" w:rsidRPr="00E21475" w:rsidRDefault="004D40CD" w:rsidP="00ED7A5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5.</w:t>
      </w:r>
      <w:r w:rsidRPr="00E21475">
        <w:rPr>
          <w:sz w:val="16"/>
          <w:szCs w:val="16"/>
        </w:rPr>
        <w:tab/>
      </w:r>
      <w:r w:rsidR="00ED7A5D" w:rsidRPr="00E21475">
        <w:rPr>
          <w:sz w:val="16"/>
          <w:szCs w:val="16"/>
        </w:rPr>
        <w:t xml:space="preserve">D. </w:t>
      </w:r>
      <w:proofErr w:type="spellStart"/>
      <w:r w:rsidR="00ED7A5D" w:rsidRPr="00E21475">
        <w:rPr>
          <w:sz w:val="16"/>
          <w:szCs w:val="16"/>
        </w:rPr>
        <w:t>Migulin</w:t>
      </w:r>
      <w:proofErr w:type="spellEnd"/>
      <w:r w:rsidR="00ED7A5D" w:rsidRPr="00E21475">
        <w:rPr>
          <w:sz w:val="16"/>
          <w:szCs w:val="16"/>
        </w:rPr>
        <w:t xml:space="preserve">, E. </w:t>
      </w:r>
      <w:proofErr w:type="spellStart"/>
      <w:r w:rsidR="00ED7A5D" w:rsidRPr="00E21475">
        <w:rPr>
          <w:sz w:val="16"/>
          <w:szCs w:val="16"/>
        </w:rPr>
        <w:t>Tatarinova</w:t>
      </w:r>
      <w:proofErr w:type="spellEnd"/>
      <w:r w:rsidR="00ED7A5D" w:rsidRPr="00E21475">
        <w:rPr>
          <w:sz w:val="16"/>
          <w:szCs w:val="16"/>
        </w:rPr>
        <w:t xml:space="preserve">, I. Meshkov, G. </w:t>
      </w:r>
      <w:proofErr w:type="spellStart"/>
      <w:r w:rsidR="00ED7A5D" w:rsidRPr="00E21475">
        <w:rPr>
          <w:sz w:val="16"/>
          <w:szCs w:val="16"/>
        </w:rPr>
        <w:t>Cherkaev</w:t>
      </w:r>
      <w:proofErr w:type="spellEnd"/>
      <w:r w:rsidR="00ED7A5D" w:rsidRPr="00E21475">
        <w:rPr>
          <w:sz w:val="16"/>
          <w:szCs w:val="16"/>
        </w:rPr>
        <w:t>, N. Vasilenko, M. Buzin, A.</w:t>
      </w:r>
      <w:r w:rsidRPr="00E21475">
        <w:rPr>
          <w:sz w:val="16"/>
          <w:szCs w:val="16"/>
        </w:rPr>
        <w:t xml:space="preserve"> </w:t>
      </w:r>
      <w:proofErr w:type="spellStart"/>
      <w:r w:rsidR="00ED7A5D" w:rsidRPr="00E21475">
        <w:rPr>
          <w:sz w:val="16"/>
          <w:szCs w:val="16"/>
        </w:rPr>
        <w:t>Muzafarov</w:t>
      </w:r>
      <w:proofErr w:type="spellEnd"/>
      <w:r w:rsidR="00ED7A5D" w:rsidRPr="00E21475">
        <w:rPr>
          <w:sz w:val="16"/>
          <w:szCs w:val="16"/>
        </w:rPr>
        <w:t xml:space="preserve">, </w:t>
      </w:r>
      <w:proofErr w:type="spellStart"/>
      <w:r w:rsidR="00ED7A5D" w:rsidRPr="00E21475">
        <w:rPr>
          <w:i/>
          <w:iCs/>
          <w:sz w:val="16"/>
          <w:szCs w:val="16"/>
        </w:rPr>
        <w:t>Polym</w:t>
      </w:r>
      <w:proofErr w:type="spellEnd"/>
      <w:r w:rsidR="00ED7A5D" w:rsidRPr="00E21475">
        <w:rPr>
          <w:i/>
          <w:iCs/>
          <w:sz w:val="16"/>
          <w:szCs w:val="16"/>
        </w:rPr>
        <w:t>. Int.</w:t>
      </w:r>
      <w:r w:rsidRPr="00E21475">
        <w:rPr>
          <w:sz w:val="16"/>
          <w:szCs w:val="16"/>
        </w:rPr>
        <w:t xml:space="preserve">, </w:t>
      </w:r>
      <w:r w:rsidR="00ED7A5D" w:rsidRPr="00E21475">
        <w:rPr>
          <w:b/>
          <w:bCs/>
          <w:sz w:val="16"/>
          <w:szCs w:val="16"/>
        </w:rPr>
        <w:t>2016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i/>
          <w:iCs/>
          <w:sz w:val="16"/>
          <w:szCs w:val="16"/>
        </w:rPr>
        <w:t>65</w:t>
      </w:r>
      <w:r w:rsidR="00ED7A5D" w:rsidRPr="00E21475">
        <w:rPr>
          <w:sz w:val="16"/>
          <w:szCs w:val="16"/>
        </w:rPr>
        <w:t>, 72</w:t>
      </w:r>
      <w:r w:rsidRPr="00E21475">
        <w:rPr>
          <w:sz w:val="16"/>
          <w:szCs w:val="16"/>
        </w:rPr>
        <w:t>–</w:t>
      </w:r>
      <w:r w:rsidR="00ED7A5D" w:rsidRPr="00E21475">
        <w:rPr>
          <w:sz w:val="16"/>
          <w:szCs w:val="16"/>
        </w:rPr>
        <w:t xml:space="preserve">83. DOI: </w:t>
      </w:r>
      <w:r w:rsidR="00ED7A5D" w:rsidRPr="00E21475">
        <w:rPr>
          <w:bCs/>
          <w:sz w:val="16"/>
          <w:szCs w:val="16"/>
          <w:shd w:val="clear" w:color="auto" w:fill="FFFFFF"/>
        </w:rPr>
        <w:t>10.1002/pi.5029</w:t>
      </w:r>
    </w:p>
    <w:p w:rsidR="00166162" w:rsidRPr="00E21475" w:rsidRDefault="004D40CD" w:rsidP="00ED7A5D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E21475">
        <w:rPr>
          <w:sz w:val="16"/>
          <w:szCs w:val="16"/>
        </w:rPr>
        <w:t>6.</w:t>
      </w:r>
      <w:r w:rsidRPr="00E21475">
        <w:rPr>
          <w:sz w:val="16"/>
          <w:szCs w:val="16"/>
        </w:rPr>
        <w:tab/>
      </w:r>
      <w:r w:rsidR="00ED7A5D" w:rsidRPr="00E21475">
        <w:rPr>
          <w:sz w:val="16"/>
          <w:szCs w:val="16"/>
        </w:rPr>
        <w:t xml:space="preserve">K. Borisov, A. Kalinina, A. </w:t>
      </w:r>
      <w:proofErr w:type="spellStart"/>
      <w:r w:rsidR="00ED7A5D" w:rsidRPr="00E21475">
        <w:rPr>
          <w:sz w:val="16"/>
          <w:szCs w:val="16"/>
        </w:rPr>
        <w:t>Bystrova</w:t>
      </w:r>
      <w:proofErr w:type="spellEnd"/>
      <w:r w:rsidR="00ED7A5D" w:rsidRPr="00E21475">
        <w:rPr>
          <w:sz w:val="16"/>
          <w:szCs w:val="16"/>
        </w:rPr>
        <w:t xml:space="preserve">, A. Muzafarov, </w:t>
      </w:r>
      <w:r w:rsidR="00ED7A5D" w:rsidRPr="00E21475">
        <w:rPr>
          <w:i/>
          <w:iCs/>
          <w:sz w:val="16"/>
          <w:szCs w:val="16"/>
        </w:rPr>
        <w:t>Polymers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b/>
          <w:bCs/>
          <w:sz w:val="16"/>
          <w:szCs w:val="16"/>
        </w:rPr>
        <w:t>2023</w:t>
      </w:r>
      <w:r w:rsidR="00ED7A5D" w:rsidRPr="00E21475">
        <w:rPr>
          <w:sz w:val="16"/>
          <w:szCs w:val="16"/>
        </w:rPr>
        <w:t xml:space="preserve">, </w:t>
      </w:r>
      <w:r w:rsidR="00ED7A5D" w:rsidRPr="00E21475">
        <w:rPr>
          <w:i/>
          <w:iCs/>
          <w:sz w:val="16"/>
          <w:szCs w:val="16"/>
        </w:rPr>
        <w:t>15</w:t>
      </w:r>
      <w:r w:rsidR="00ED7A5D" w:rsidRPr="00E21475">
        <w:rPr>
          <w:sz w:val="16"/>
          <w:szCs w:val="16"/>
        </w:rPr>
        <w:t>, 4012. DOI: 10.3390/polym15194012</w:t>
      </w:r>
    </w:p>
    <w:p w:rsidR="00E66C60" w:rsidRPr="00E21475" w:rsidRDefault="00E66C60" w:rsidP="00E66C60">
      <w:pPr>
        <w:pStyle w:val="References"/>
        <w:spacing w:line="264" w:lineRule="auto"/>
        <w:ind w:left="454" w:hanging="454"/>
        <w:rPr>
          <w:color w:val="000000" w:themeColor="text1"/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E66C60" w:rsidRPr="003A13B7" w:rsidTr="00B30D2A">
        <w:trPr>
          <w:jc w:val="right"/>
        </w:trPr>
        <w:tc>
          <w:tcPr>
            <w:tcW w:w="3255" w:type="dxa"/>
            <w:vAlign w:val="center"/>
          </w:tcPr>
          <w:p w:rsidR="00E66C60" w:rsidRPr="00E21475" w:rsidRDefault="00E66C60" w:rsidP="00B30D2A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E21475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E21475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E21475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986" w:type="dxa"/>
            <w:vAlign w:val="center"/>
          </w:tcPr>
          <w:p w:rsidR="00E66C60" w:rsidRPr="003A13B7" w:rsidRDefault="00E66C60" w:rsidP="00B30D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E21475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C60" w:rsidRPr="00B120C2" w:rsidRDefault="00E66C60" w:rsidP="00E66C60">
      <w:pPr>
        <w:pStyle w:val="References"/>
        <w:spacing w:line="264" w:lineRule="auto"/>
        <w:ind w:left="511" w:hanging="454"/>
        <w:rPr>
          <w:sz w:val="16"/>
          <w:szCs w:val="16"/>
        </w:rPr>
      </w:pPr>
    </w:p>
    <w:p w:rsidR="00E66C60" w:rsidRPr="007A3351" w:rsidRDefault="00E66C60" w:rsidP="00ED7A5D">
      <w:pPr>
        <w:pStyle w:val="References"/>
        <w:spacing w:line="264" w:lineRule="auto"/>
        <w:ind w:left="454" w:hanging="454"/>
      </w:pPr>
    </w:p>
    <w:sectPr w:rsidR="00E66C60" w:rsidRPr="007A3351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0A5" w:rsidRDefault="00A110A5" w:rsidP="00427E5A">
      <w:pPr>
        <w:spacing w:after="0" w:line="240" w:lineRule="auto"/>
      </w:pPr>
      <w:r>
        <w:separator/>
      </w:r>
    </w:p>
    <w:p w:rsidR="00A110A5" w:rsidRDefault="00A110A5"/>
  </w:endnote>
  <w:endnote w:type="continuationSeparator" w:id="0">
    <w:p w:rsidR="00A110A5" w:rsidRDefault="00A110A5" w:rsidP="00427E5A">
      <w:pPr>
        <w:spacing w:after="0" w:line="240" w:lineRule="auto"/>
      </w:pPr>
      <w:r>
        <w:continuationSeparator/>
      </w:r>
    </w:p>
    <w:p w:rsidR="00A110A5" w:rsidRDefault="00A110A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9F23F1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D. M. Borisova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24</w:t>
    </w:r>
    <w:r w:rsidR="00DF4999" w:rsidRPr="00110678">
      <w:rPr>
        <w:rStyle w:val="MainText0"/>
      </w:rPr>
      <w:t xml:space="preserve">, </w:t>
    </w:r>
    <w:r w:rsidR="000255FC">
      <w:rPr>
        <w:rStyle w:val="MainText0"/>
        <w:i/>
        <w:iCs/>
      </w:rPr>
      <w:t>7</w:t>
    </w:r>
    <w:r w:rsidR="00DF4999" w:rsidRPr="005C7369">
      <w:rPr>
        <w:rStyle w:val="MainText0"/>
        <w:i/>
        <w:iCs/>
      </w:rPr>
      <w:t xml:space="preserve"> (</w:t>
    </w:r>
    <w:r w:rsidR="00E23192" w:rsidRPr="00E23192">
      <w:rPr>
        <w:rFonts w:ascii="Times New Roman" w:hAnsi="Times New Roman" w:cs="Times New Roman"/>
        <w:i/>
        <w:iCs/>
        <w:sz w:val="18"/>
        <w:szCs w:val="18"/>
        <w:lang w:val="en-US"/>
      </w:rPr>
      <w:t>1</w:t>
    </w:r>
    <w:r w:rsidR="00E23192" w:rsidRPr="00E23192">
      <w:rPr>
        <w:rFonts w:ascii="Times New Roman" w:hAnsi="Times New Roman" w:cs="Times New Roman"/>
        <w:i/>
        <w:sz w:val="18"/>
        <w:szCs w:val="18"/>
        <w:lang w:val="en-US"/>
      </w:rPr>
      <w:t>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0255FC">
      <w:rPr>
        <w:rStyle w:val="MainText0"/>
      </w:rPr>
      <w:t>13</w:t>
    </w:r>
    <w:r w:rsidR="00DF4999">
      <w:rPr>
        <w:rStyle w:val="MainText0"/>
      </w:rPr>
      <w:t>–</w:t>
    </w:r>
    <w:r w:rsidR="000255FC">
      <w:rPr>
        <w:rStyle w:val="MainText0"/>
      </w:rPr>
      <w:t>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0A5" w:rsidRDefault="00A110A5" w:rsidP="00427E5A">
      <w:pPr>
        <w:spacing w:after="0" w:line="240" w:lineRule="auto"/>
      </w:pPr>
      <w:r>
        <w:separator/>
      </w:r>
    </w:p>
    <w:p w:rsidR="00A110A5" w:rsidRDefault="00A110A5"/>
  </w:footnote>
  <w:footnote w:type="continuationSeparator" w:id="0">
    <w:p w:rsidR="00A110A5" w:rsidRDefault="00A110A5" w:rsidP="00427E5A">
      <w:pPr>
        <w:spacing w:after="0" w:line="240" w:lineRule="auto"/>
      </w:pPr>
      <w:r>
        <w:continuationSeparator/>
      </w:r>
    </w:p>
    <w:p w:rsidR="00A110A5" w:rsidRDefault="00A110A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392EC4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392EC4" w:rsidRPr="001E7945">
          <w:rPr>
            <w:rFonts w:ascii="Times New Roman" w:hAnsi="Times New Roman" w:cs="Times New Roman"/>
            <w:i/>
          </w:rPr>
          <w:fldChar w:fldCharType="separate"/>
        </w:r>
        <w:r w:rsidR="00A902AE">
          <w:rPr>
            <w:rFonts w:ascii="Times New Roman" w:hAnsi="Times New Roman" w:cs="Times New Roman"/>
            <w:i/>
            <w:noProof/>
            <w:lang w:val="en-US"/>
          </w:rPr>
          <w:t>13</w:t>
        </w:r>
        <w:r w:rsidR="00392EC4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2490B"/>
    <w:rsid w:val="000255FC"/>
    <w:rsid w:val="000309C8"/>
    <w:rsid w:val="00052C07"/>
    <w:rsid w:val="000538F8"/>
    <w:rsid w:val="00064622"/>
    <w:rsid w:val="00067EC7"/>
    <w:rsid w:val="00071D12"/>
    <w:rsid w:val="00080691"/>
    <w:rsid w:val="0008088D"/>
    <w:rsid w:val="00092FD5"/>
    <w:rsid w:val="000A2631"/>
    <w:rsid w:val="000B5E27"/>
    <w:rsid w:val="000C3BC6"/>
    <w:rsid w:val="000E1B06"/>
    <w:rsid w:val="000E3ED4"/>
    <w:rsid w:val="000E7A83"/>
    <w:rsid w:val="00112B62"/>
    <w:rsid w:val="0013522E"/>
    <w:rsid w:val="001353AB"/>
    <w:rsid w:val="00135C2C"/>
    <w:rsid w:val="00161894"/>
    <w:rsid w:val="00166162"/>
    <w:rsid w:val="00171E90"/>
    <w:rsid w:val="00186290"/>
    <w:rsid w:val="00190072"/>
    <w:rsid w:val="00194BA5"/>
    <w:rsid w:val="001A1A0F"/>
    <w:rsid w:val="001A5598"/>
    <w:rsid w:val="001A79D1"/>
    <w:rsid w:val="001B0919"/>
    <w:rsid w:val="001B4D6E"/>
    <w:rsid w:val="001B6750"/>
    <w:rsid w:val="001D6B58"/>
    <w:rsid w:val="001E7945"/>
    <w:rsid w:val="002003B2"/>
    <w:rsid w:val="002359F8"/>
    <w:rsid w:val="002500A5"/>
    <w:rsid w:val="002518E2"/>
    <w:rsid w:val="00253DFB"/>
    <w:rsid w:val="002768A2"/>
    <w:rsid w:val="002A1602"/>
    <w:rsid w:val="002A43E2"/>
    <w:rsid w:val="002D6411"/>
    <w:rsid w:val="0031578F"/>
    <w:rsid w:val="00321C31"/>
    <w:rsid w:val="00346507"/>
    <w:rsid w:val="0035333D"/>
    <w:rsid w:val="003576AB"/>
    <w:rsid w:val="003662A9"/>
    <w:rsid w:val="00392EC4"/>
    <w:rsid w:val="003B067D"/>
    <w:rsid w:val="003B4488"/>
    <w:rsid w:val="003D310D"/>
    <w:rsid w:val="003E2893"/>
    <w:rsid w:val="003F501A"/>
    <w:rsid w:val="00427E5A"/>
    <w:rsid w:val="00431782"/>
    <w:rsid w:val="0043689E"/>
    <w:rsid w:val="00436D4B"/>
    <w:rsid w:val="00440577"/>
    <w:rsid w:val="00463737"/>
    <w:rsid w:val="004972C6"/>
    <w:rsid w:val="004A44BC"/>
    <w:rsid w:val="004A5676"/>
    <w:rsid w:val="004C0411"/>
    <w:rsid w:val="004D40CD"/>
    <w:rsid w:val="004E48FB"/>
    <w:rsid w:val="004E67BB"/>
    <w:rsid w:val="00502985"/>
    <w:rsid w:val="00511EB6"/>
    <w:rsid w:val="005138E7"/>
    <w:rsid w:val="00524995"/>
    <w:rsid w:val="00533D73"/>
    <w:rsid w:val="00534762"/>
    <w:rsid w:val="0057481D"/>
    <w:rsid w:val="0058304C"/>
    <w:rsid w:val="00587D83"/>
    <w:rsid w:val="005C013F"/>
    <w:rsid w:val="005C33AA"/>
    <w:rsid w:val="005C7369"/>
    <w:rsid w:val="005E76C3"/>
    <w:rsid w:val="0061591F"/>
    <w:rsid w:val="00622DF1"/>
    <w:rsid w:val="0062499A"/>
    <w:rsid w:val="006410C2"/>
    <w:rsid w:val="0065245B"/>
    <w:rsid w:val="00673988"/>
    <w:rsid w:val="00683408"/>
    <w:rsid w:val="006A764F"/>
    <w:rsid w:val="006D1C74"/>
    <w:rsid w:val="006E0C73"/>
    <w:rsid w:val="006E6487"/>
    <w:rsid w:val="00701307"/>
    <w:rsid w:val="00706F05"/>
    <w:rsid w:val="0072037E"/>
    <w:rsid w:val="007269CE"/>
    <w:rsid w:val="007516EA"/>
    <w:rsid w:val="00757B2D"/>
    <w:rsid w:val="007714D5"/>
    <w:rsid w:val="007A3351"/>
    <w:rsid w:val="007C1E42"/>
    <w:rsid w:val="007D3F5F"/>
    <w:rsid w:val="007D67C0"/>
    <w:rsid w:val="007E47B1"/>
    <w:rsid w:val="008114FB"/>
    <w:rsid w:val="008163C4"/>
    <w:rsid w:val="00820A77"/>
    <w:rsid w:val="00831C45"/>
    <w:rsid w:val="00835242"/>
    <w:rsid w:val="00842E5C"/>
    <w:rsid w:val="008622A1"/>
    <w:rsid w:val="00863A30"/>
    <w:rsid w:val="00875175"/>
    <w:rsid w:val="0089304F"/>
    <w:rsid w:val="008942BE"/>
    <w:rsid w:val="00894EE2"/>
    <w:rsid w:val="0089576F"/>
    <w:rsid w:val="008A02BF"/>
    <w:rsid w:val="008A0337"/>
    <w:rsid w:val="008A6A35"/>
    <w:rsid w:val="008C2DE1"/>
    <w:rsid w:val="008C4D66"/>
    <w:rsid w:val="008C5206"/>
    <w:rsid w:val="008C6630"/>
    <w:rsid w:val="008C68C0"/>
    <w:rsid w:val="008D2BCF"/>
    <w:rsid w:val="008E062B"/>
    <w:rsid w:val="008E564F"/>
    <w:rsid w:val="008F79D5"/>
    <w:rsid w:val="00904B7F"/>
    <w:rsid w:val="00916E1F"/>
    <w:rsid w:val="00930DA8"/>
    <w:rsid w:val="009667F3"/>
    <w:rsid w:val="00990B1F"/>
    <w:rsid w:val="009A6DAE"/>
    <w:rsid w:val="009B0118"/>
    <w:rsid w:val="009B1ECD"/>
    <w:rsid w:val="009D7C10"/>
    <w:rsid w:val="009E4F21"/>
    <w:rsid w:val="009F23F1"/>
    <w:rsid w:val="00A110A5"/>
    <w:rsid w:val="00A231BA"/>
    <w:rsid w:val="00A30EF2"/>
    <w:rsid w:val="00A51B00"/>
    <w:rsid w:val="00A61BFF"/>
    <w:rsid w:val="00A6442F"/>
    <w:rsid w:val="00A73ED5"/>
    <w:rsid w:val="00A76F33"/>
    <w:rsid w:val="00A902AE"/>
    <w:rsid w:val="00AE231F"/>
    <w:rsid w:val="00B23601"/>
    <w:rsid w:val="00B34C4D"/>
    <w:rsid w:val="00B5202A"/>
    <w:rsid w:val="00B55F48"/>
    <w:rsid w:val="00B773EB"/>
    <w:rsid w:val="00BA1CC1"/>
    <w:rsid w:val="00BB1D07"/>
    <w:rsid w:val="00BC6337"/>
    <w:rsid w:val="00BE4FEF"/>
    <w:rsid w:val="00BE5454"/>
    <w:rsid w:val="00C146BE"/>
    <w:rsid w:val="00C25139"/>
    <w:rsid w:val="00C25E43"/>
    <w:rsid w:val="00C3686C"/>
    <w:rsid w:val="00C65E59"/>
    <w:rsid w:val="00CA605E"/>
    <w:rsid w:val="00CC279F"/>
    <w:rsid w:val="00CD0C06"/>
    <w:rsid w:val="00CD128C"/>
    <w:rsid w:val="00CD6FAC"/>
    <w:rsid w:val="00CE6470"/>
    <w:rsid w:val="00D0702F"/>
    <w:rsid w:val="00D15EA4"/>
    <w:rsid w:val="00D30E76"/>
    <w:rsid w:val="00D33D37"/>
    <w:rsid w:val="00D3474F"/>
    <w:rsid w:val="00D36C9F"/>
    <w:rsid w:val="00D71473"/>
    <w:rsid w:val="00D75DE8"/>
    <w:rsid w:val="00D90B7A"/>
    <w:rsid w:val="00D93853"/>
    <w:rsid w:val="00DA0A72"/>
    <w:rsid w:val="00DD1BF6"/>
    <w:rsid w:val="00DF1FCB"/>
    <w:rsid w:val="00DF4999"/>
    <w:rsid w:val="00E066E1"/>
    <w:rsid w:val="00E21475"/>
    <w:rsid w:val="00E22402"/>
    <w:rsid w:val="00E23192"/>
    <w:rsid w:val="00E3050C"/>
    <w:rsid w:val="00E42F79"/>
    <w:rsid w:val="00E55205"/>
    <w:rsid w:val="00E60451"/>
    <w:rsid w:val="00E6189A"/>
    <w:rsid w:val="00E63331"/>
    <w:rsid w:val="00E66C60"/>
    <w:rsid w:val="00E76E65"/>
    <w:rsid w:val="00E81EDE"/>
    <w:rsid w:val="00E8461E"/>
    <w:rsid w:val="00E95346"/>
    <w:rsid w:val="00EA3858"/>
    <w:rsid w:val="00EA6C3B"/>
    <w:rsid w:val="00EB2FCC"/>
    <w:rsid w:val="00ED7A5D"/>
    <w:rsid w:val="00EE0429"/>
    <w:rsid w:val="00EE4066"/>
    <w:rsid w:val="00EF625A"/>
    <w:rsid w:val="00F32209"/>
    <w:rsid w:val="00F376FB"/>
    <w:rsid w:val="00F44BBC"/>
    <w:rsid w:val="00F467A5"/>
    <w:rsid w:val="00F6796A"/>
    <w:rsid w:val="00F86864"/>
    <w:rsid w:val="00F87995"/>
    <w:rsid w:val="00F94740"/>
    <w:rsid w:val="00F95280"/>
    <w:rsid w:val="00FA0CD1"/>
    <w:rsid w:val="00FA7B94"/>
    <w:rsid w:val="00FB4DBE"/>
    <w:rsid w:val="00FB5D13"/>
    <w:rsid w:val="00FB6E99"/>
    <w:rsid w:val="00FC44F4"/>
    <w:rsid w:val="00FD129A"/>
    <w:rsid w:val="00FD2F8B"/>
    <w:rsid w:val="00FD3A7B"/>
    <w:rsid w:val="00FE45D6"/>
    <w:rsid w:val="00FF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E66C6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120E9-C724-4C76-B136-C25661EA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111</cp:revision>
  <dcterms:created xsi:type="dcterms:W3CDTF">2018-09-10T13:23:00Z</dcterms:created>
  <dcterms:modified xsi:type="dcterms:W3CDTF">2025-03-15T19:54:00Z</dcterms:modified>
</cp:coreProperties>
</file>