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0E" w:rsidRPr="00565D0F" w:rsidRDefault="00F46F0E" w:rsidP="0010088C">
      <w:pPr>
        <w:pStyle w:val="MainText"/>
        <w:spacing w:after="60"/>
        <w:ind w:firstLine="6"/>
        <w:jc w:val="left"/>
        <w:rPr>
          <w:rFonts w:ascii="Arial" w:hAnsi="Arial" w:cs="Arial"/>
          <w:sz w:val="22"/>
        </w:rPr>
      </w:pPr>
    </w:p>
    <w:p w:rsidR="00F46F0E" w:rsidRPr="00CB0173" w:rsidRDefault="00BB2DF9" w:rsidP="007B67DA">
      <w:pPr>
        <w:pStyle w:val="11"/>
        <w:rPr>
          <w:sz w:val="36"/>
          <w:szCs w:val="36"/>
        </w:rPr>
      </w:pPr>
      <w:r>
        <w:rPr>
          <w:sz w:val="36"/>
          <w:szCs w:val="36"/>
        </w:rPr>
        <w:t>Supramolecular nanocontainer with the mithochondria-targeting function based on a calixresorcine cavitand</w:t>
      </w:r>
    </w:p>
    <w:p w:rsidR="00F46F0E" w:rsidRPr="00565D0F" w:rsidRDefault="00F46F0E" w:rsidP="007516EA">
      <w:pPr>
        <w:pStyle w:val="MainText"/>
        <w:ind w:firstLine="0"/>
        <w:jc w:val="left"/>
        <w:rPr>
          <w:rFonts w:ascii="Arial" w:hAnsi="Arial" w:cs="Arial"/>
          <w:sz w:val="22"/>
        </w:rPr>
      </w:pPr>
      <w:r w:rsidRPr="00565D0F">
        <w:rPr>
          <w:rFonts w:ascii="Arial" w:hAnsi="Arial" w:cs="Arial"/>
          <w:sz w:val="22"/>
        </w:rPr>
        <w:t xml:space="preserve">Cite this: </w:t>
      </w:r>
      <w:r w:rsidRPr="00565D0F">
        <w:rPr>
          <w:rFonts w:ascii="Arial" w:hAnsi="Arial" w:cs="Arial"/>
          <w:i/>
          <w:sz w:val="22"/>
        </w:rPr>
        <w:t>INEOS OPEN</w:t>
      </w:r>
      <w:r w:rsidRPr="00565D0F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565D0F">
        <w:rPr>
          <w:rFonts w:ascii="Arial" w:hAnsi="Arial" w:cs="Arial"/>
          <w:b/>
          <w:sz w:val="22"/>
        </w:rPr>
        <w:t>202</w:t>
      </w:r>
      <w:r w:rsidR="00CB0173">
        <w:rPr>
          <w:rFonts w:ascii="Arial" w:hAnsi="Arial" w:cs="Arial"/>
          <w:b/>
          <w:sz w:val="22"/>
        </w:rPr>
        <w:t>5</w:t>
      </w:r>
      <w:r w:rsidRPr="00565D0F">
        <w:rPr>
          <w:rFonts w:ascii="Arial" w:hAnsi="Arial" w:cs="Arial"/>
          <w:sz w:val="22"/>
        </w:rPr>
        <w:t xml:space="preserve">, </w:t>
      </w:r>
      <w:r w:rsidR="00CB0173">
        <w:rPr>
          <w:rFonts w:ascii="Arial" w:hAnsi="Arial" w:cs="Arial"/>
          <w:i/>
          <w:iCs/>
          <w:sz w:val="22"/>
        </w:rPr>
        <w:t>8 (1</w:t>
      </w:r>
      <w:r w:rsidR="00CB0173" w:rsidRPr="00CB0173">
        <w:rPr>
          <w:rFonts w:ascii="Arial" w:hAnsi="Arial" w:cs="Arial"/>
          <w:i/>
          <w:iCs/>
          <w:sz w:val="22"/>
          <w:szCs w:val="22"/>
        </w:rPr>
        <w:t>–3</w:t>
      </w:r>
      <w:r w:rsidRPr="00565D0F">
        <w:rPr>
          <w:rFonts w:ascii="Arial" w:hAnsi="Arial" w:cs="Arial"/>
          <w:i/>
          <w:iCs/>
          <w:sz w:val="22"/>
        </w:rPr>
        <w:t>)</w:t>
      </w:r>
      <w:r w:rsidR="00E86508">
        <w:rPr>
          <w:rFonts w:ascii="Arial" w:hAnsi="Arial" w:cs="Arial"/>
          <w:sz w:val="22"/>
        </w:rPr>
        <w:t>, 4</w:t>
      </w:r>
      <w:r w:rsidRPr="00565D0F">
        <w:rPr>
          <w:rFonts w:ascii="Arial" w:hAnsi="Arial" w:cs="Arial"/>
          <w:sz w:val="22"/>
        </w:rPr>
        <w:t>–</w:t>
      </w:r>
      <w:r w:rsidR="00E86508"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 xml:space="preserve"> </w:t>
      </w:r>
      <w:r w:rsidRPr="00565D0F">
        <w:rPr>
          <w:rFonts w:ascii="Arial" w:hAnsi="Arial" w:cs="Arial"/>
          <w:sz w:val="22"/>
        </w:rPr>
        <w:t xml:space="preserve">DOI: </w:t>
      </w:r>
      <w:r w:rsidR="00CB0173" w:rsidRPr="00CB0173">
        <w:rPr>
          <w:rFonts w:ascii="Arial" w:hAnsi="Arial" w:cs="Arial"/>
          <w:sz w:val="22"/>
        </w:rPr>
        <w:t>10.32931/io250</w:t>
      </w:r>
      <w:r w:rsidR="00E86508">
        <w:rPr>
          <w:rFonts w:ascii="Arial" w:hAnsi="Arial" w:cs="Arial"/>
          <w:sz w:val="22"/>
        </w:rPr>
        <w:t>8</w:t>
      </w:r>
      <w:r w:rsidR="00CB0173" w:rsidRPr="00CB0173">
        <w:rPr>
          <w:rFonts w:ascii="Arial" w:hAnsi="Arial" w:cs="Arial"/>
          <w:sz w:val="22"/>
        </w:rPr>
        <w:t>a</w:t>
      </w:r>
    </w:p>
    <w:p w:rsidR="00F46F0E" w:rsidRPr="00565D0F" w:rsidRDefault="00F46F0E" w:rsidP="007516EA">
      <w:pPr>
        <w:pStyle w:val="MainText"/>
        <w:ind w:firstLine="0"/>
        <w:jc w:val="left"/>
        <w:rPr>
          <w:rFonts w:ascii="Arial" w:hAnsi="Arial" w:cs="Arial"/>
          <w:sz w:val="22"/>
        </w:rPr>
      </w:pPr>
    </w:p>
    <w:p w:rsidR="00F46F0E" w:rsidRPr="00565D0F" w:rsidRDefault="00E86508" w:rsidP="007516EA">
      <w:pPr>
        <w:pStyle w:val="MainText"/>
        <w:ind w:firstLine="0"/>
        <w:rPr>
          <w:rFonts w:ascii="Arial" w:hAnsi="Arial" w:cs="Arial"/>
          <w:i/>
          <w:sz w:val="22"/>
          <w:szCs w:val="14"/>
        </w:rPr>
      </w:pPr>
      <w:r>
        <w:rPr>
          <w:rFonts w:ascii="Arial" w:hAnsi="Arial" w:cs="Arial"/>
          <w:i/>
          <w:sz w:val="22"/>
          <w:szCs w:val="14"/>
        </w:rPr>
        <w:t>Received 07</w:t>
      </w:r>
      <w:r w:rsidR="00F46F0E" w:rsidRPr="00565D0F">
        <w:rPr>
          <w:rFonts w:ascii="Arial" w:hAnsi="Arial" w:cs="Arial"/>
          <w:i/>
          <w:sz w:val="22"/>
          <w:szCs w:val="14"/>
        </w:rPr>
        <w:t xml:space="preserve"> </w:t>
      </w:r>
      <w:r>
        <w:rPr>
          <w:rFonts w:ascii="Arial" w:hAnsi="Arial" w:cs="Arial"/>
          <w:i/>
          <w:sz w:val="22"/>
          <w:szCs w:val="14"/>
        </w:rPr>
        <w:t>October</w:t>
      </w:r>
      <w:r w:rsidR="00CB0173" w:rsidRPr="00CB0173">
        <w:rPr>
          <w:rFonts w:ascii="Arial" w:hAnsi="Arial" w:cs="Arial"/>
          <w:i/>
          <w:sz w:val="22"/>
          <w:szCs w:val="14"/>
        </w:rPr>
        <w:t xml:space="preserve"> 2024</w:t>
      </w:r>
      <w:r w:rsidR="00F46F0E" w:rsidRPr="00565D0F">
        <w:rPr>
          <w:rFonts w:ascii="Arial" w:hAnsi="Arial" w:cs="Arial"/>
          <w:i/>
          <w:sz w:val="22"/>
          <w:szCs w:val="14"/>
        </w:rPr>
        <w:t>,</w:t>
      </w:r>
      <w:r w:rsidR="00F46F0E">
        <w:rPr>
          <w:rFonts w:ascii="Arial" w:hAnsi="Arial" w:cs="Arial"/>
          <w:i/>
          <w:sz w:val="22"/>
          <w:szCs w:val="14"/>
        </w:rPr>
        <w:t xml:space="preserve"> </w:t>
      </w:r>
      <w:r>
        <w:rPr>
          <w:rFonts w:ascii="Arial" w:hAnsi="Arial" w:cs="Arial"/>
          <w:i/>
          <w:sz w:val="22"/>
          <w:szCs w:val="14"/>
        </w:rPr>
        <w:t>Accepted 2</w:t>
      </w:r>
      <w:r w:rsidR="00CB0173" w:rsidRPr="00CB0173">
        <w:rPr>
          <w:rFonts w:ascii="Arial" w:hAnsi="Arial" w:cs="Arial"/>
          <w:i/>
          <w:sz w:val="22"/>
          <w:szCs w:val="14"/>
        </w:rPr>
        <w:t xml:space="preserve"> </w:t>
      </w:r>
      <w:r>
        <w:rPr>
          <w:rFonts w:ascii="Arial" w:hAnsi="Arial" w:cs="Arial"/>
          <w:i/>
          <w:sz w:val="22"/>
          <w:szCs w:val="14"/>
        </w:rPr>
        <w:t>November</w:t>
      </w:r>
      <w:r w:rsidR="00CB0173" w:rsidRPr="00CB0173">
        <w:rPr>
          <w:rFonts w:ascii="Arial" w:hAnsi="Arial" w:cs="Arial"/>
          <w:i/>
          <w:sz w:val="22"/>
          <w:szCs w:val="14"/>
        </w:rPr>
        <w:t xml:space="preserve"> 2024</w:t>
      </w:r>
    </w:p>
    <w:p w:rsidR="00F46F0E" w:rsidRPr="00565D0F" w:rsidRDefault="00F46F0E" w:rsidP="007516EA">
      <w:pPr>
        <w:pStyle w:val="MainText"/>
        <w:ind w:firstLine="0"/>
        <w:rPr>
          <w:rFonts w:ascii="Arial" w:hAnsi="Arial" w:cs="Arial"/>
          <w:sz w:val="22"/>
          <w:szCs w:val="14"/>
        </w:rPr>
      </w:pPr>
    </w:p>
    <w:p w:rsidR="00F46F0E" w:rsidRPr="00565D0F" w:rsidRDefault="00F46F0E" w:rsidP="007516EA">
      <w:pPr>
        <w:pStyle w:val="MainText"/>
        <w:ind w:firstLine="0"/>
        <w:rPr>
          <w:rFonts w:ascii="Arial" w:hAnsi="Arial" w:cs="Arial"/>
          <w:sz w:val="22"/>
        </w:rPr>
      </w:pPr>
      <w:r w:rsidRPr="00565D0F">
        <w:rPr>
          <w:rFonts w:ascii="Arial" w:hAnsi="Arial" w:cs="Arial"/>
          <w:sz w:val="22"/>
          <w:szCs w:val="14"/>
        </w:rPr>
        <w:t>http://ineosopen.org</w:t>
      </w:r>
    </w:p>
    <w:p w:rsidR="00F46F0E" w:rsidRPr="00BF27CD" w:rsidRDefault="00E86508" w:rsidP="007516EA">
      <w:pPr>
        <w:pStyle w:val="AuthorNames"/>
        <w:ind w:left="0"/>
        <w:rPr>
          <w:rFonts w:ascii="Arial" w:hAnsi="Arial" w:cs="Arial"/>
          <w:color w:val="000066"/>
          <w:sz w:val="26"/>
          <w:szCs w:val="26"/>
        </w:rPr>
      </w:pPr>
      <w:r w:rsidRPr="00BF27CD">
        <w:rPr>
          <w:rFonts w:ascii="Arial" w:hAnsi="Arial" w:cs="Arial"/>
          <w:color w:val="000066"/>
          <w:sz w:val="26"/>
          <w:szCs w:val="26"/>
        </w:rPr>
        <w:t>Y. E. Morozova,*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a</w:t>
      </w:r>
      <w:r w:rsidRPr="00BF27CD">
        <w:rPr>
          <w:rFonts w:ascii="Arial" w:hAnsi="Arial" w:cs="Arial"/>
          <w:color w:val="000066"/>
          <w:sz w:val="26"/>
          <w:szCs w:val="26"/>
        </w:rPr>
        <w:t xml:space="preserve"> A. M. Shumatbaeva,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b</w:t>
      </w:r>
      <w:r w:rsidRPr="00BF27CD">
        <w:rPr>
          <w:rFonts w:ascii="Arial" w:hAnsi="Arial" w:cs="Arial"/>
          <w:color w:val="000066"/>
          <w:sz w:val="26"/>
          <w:szCs w:val="26"/>
        </w:rPr>
        <w:t xml:space="preserve"> Z. R. Gilmullina,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a</w:t>
      </w:r>
      <w:r w:rsidRPr="00BF27CD">
        <w:rPr>
          <w:rFonts w:ascii="Arial" w:hAnsi="Arial" w:cs="Arial"/>
          <w:color w:val="000066"/>
          <w:sz w:val="26"/>
          <w:szCs w:val="26"/>
        </w:rPr>
        <w:t xml:space="preserve"> A. P. Lyubina,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a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br/>
      </w:r>
      <w:r w:rsidRPr="00BF27CD">
        <w:rPr>
          <w:rFonts w:ascii="Arial" w:hAnsi="Arial" w:cs="Arial"/>
          <w:color w:val="000066"/>
          <w:sz w:val="26"/>
          <w:szCs w:val="26"/>
        </w:rPr>
        <w:t>S. K. Amerhanova,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a</w:t>
      </w:r>
      <w:r w:rsidRPr="00BF27CD">
        <w:rPr>
          <w:rFonts w:ascii="Arial" w:hAnsi="Arial" w:cs="Arial"/>
          <w:color w:val="000066"/>
          <w:sz w:val="26"/>
          <w:szCs w:val="26"/>
        </w:rPr>
        <w:t xml:space="preserve"> A. D. Voloshina,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a</w:t>
      </w:r>
      <w:r w:rsidRPr="00BF27CD">
        <w:rPr>
          <w:rFonts w:ascii="Arial" w:hAnsi="Arial" w:cs="Arial"/>
          <w:color w:val="000066"/>
          <w:sz w:val="26"/>
          <w:szCs w:val="26"/>
        </w:rPr>
        <w:t xml:space="preserve"> V. V. Syakaev,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a</w:t>
      </w:r>
      <w:r w:rsidRPr="00BF27CD">
        <w:rPr>
          <w:rFonts w:ascii="Arial" w:hAnsi="Arial" w:cs="Arial"/>
          <w:color w:val="000066"/>
          <w:sz w:val="26"/>
          <w:szCs w:val="26"/>
        </w:rPr>
        <w:t xml:space="preserve"> and I. S. Antipin</w:t>
      </w:r>
      <w:r w:rsidRPr="00BF27CD">
        <w:rPr>
          <w:rFonts w:ascii="Arial" w:hAnsi="Arial" w:cs="Arial"/>
          <w:i/>
          <w:color w:val="000066"/>
          <w:sz w:val="26"/>
          <w:szCs w:val="26"/>
          <w:vertAlign w:val="superscript"/>
        </w:rPr>
        <w:t>b</w:t>
      </w:r>
    </w:p>
    <w:p w:rsidR="00F46F0E" w:rsidRPr="00565D0F" w:rsidRDefault="00F46F0E" w:rsidP="00D71473">
      <w:pPr>
        <w:pStyle w:val="AuthorNames"/>
        <w:rPr>
          <w:rFonts w:ascii="Arial" w:hAnsi="Arial" w:cs="Arial"/>
          <w:sz w:val="28"/>
        </w:rPr>
      </w:pPr>
    </w:p>
    <w:p w:rsidR="00E86508" w:rsidRPr="00BF27CD" w:rsidRDefault="00E86508" w:rsidP="00BF27CD">
      <w:pPr>
        <w:pStyle w:val="Affiliations"/>
        <w:ind w:left="0"/>
        <w:jc w:val="left"/>
        <w:rPr>
          <w:rFonts w:ascii="Arial" w:hAnsi="Arial" w:cs="Arial"/>
          <w:sz w:val="22"/>
          <w:szCs w:val="22"/>
          <w:lang w:val="en-US"/>
        </w:rPr>
      </w:pPr>
      <w:proofErr w:type="gramStart"/>
      <w:r w:rsidRPr="00BF27CD">
        <w:rPr>
          <w:rFonts w:ascii="Arial" w:hAnsi="Arial" w:cs="Arial"/>
          <w:sz w:val="22"/>
          <w:szCs w:val="22"/>
          <w:vertAlign w:val="superscript"/>
          <w:lang w:val="en-US"/>
        </w:rPr>
        <w:t>a</w:t>
      </w:r>
      <w:proofErr w:type="gramEnd"/>
      <w:r w:rsidRPr="00BF27C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F27CD">
        <w:rPr>
          <w:rFonts w:ascii="Arial" w:hAnsi="Arial" w:cs="Arial"/>
          <w:sz w:val="22"/>
          <w:szCs w:val="22"/>
          <w:lang w:val="en-US"/>
        </w:rPr>
        <w:t>Arbuzov</w:t>
      </w:r>
      <w:proofErr w:type="spellEnd"/>
      <w:r w:rsidRPr="00BF27CD">
        <w:rPr>
          <w:rFonts w:ascii="Arial" w:hAnsi="Arial" w:cs="Arial"/>
          <w:sz w:val="22"/>
          <w:szCs w:val="22"/>
          <w:lang w:val="en-US"/>
        </w:rPr>
        <w:t xml:space="preserve"> Institute of Organic and Physical Chemistry, FRC Kazan Scientific Center of the Russian Academy of Sciences, </w:t>
      </w:r>
      <w:proofErr w:type="spellStart"/>
      <w:r w:rsidRPr="00BF27CD">
        <w:rPr>
          <w:rFonts w:ascii="Arial" w:hAnsi="Arial" w:cs="Arial"/>
          <w:sz w:val="22"/>
          <w:szCs w:val="22"/>
          <w:lang w:val="en-US"/>
        </w:rPr>
        <w:t>ul</w:t>
      </w:r>
      <w:proofErr w:type="spellEnd"/>
      <w:r w:rsidRPr="00BF27CD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BF27CD">
        <w:rPr>
          <w:rFonts w:ascii="Arial" w:hAnsi="Arial" w:cs="Arial"/>
          <w:sz w:val="22"/>
          <w:szCs w:val="22"/>
          <w:lang w:val="en-US"/>
        </w:rPr>
        <w:t>Arbuzova</w:t>
      </w:r>
      <w:proofErr w:type="spellEnd"/>
      <w:r w:rsidRPr="00BF27CD">
        <w:rPr>
          <w:rFonts w:ascii="Arial" w:hAnsi="Arial" w:cs="Arial"/>
          <w:sz w:val="22"/>
          <w:szCs w:val="22"/>
          <w:lang w:val="en-US"/>
        </w:rPr>
        <w:t xml:space="preserve"> 8, Kazan, 420088 Russia</w:t>
      </w:r>
    </w:p>
    <w:p w:rsidR="00F46F0E" w:rsidRDefault="00E86508" w:rsidP="00BF27CD">
      <w:pPr>
        <w:pStyle w:val="Affiliations"/>
        <w:ind w:left="0"/>
        <w:jc w:val="left"/>
        <w:rPr>
          <w:rFonts w:ascii="Arial" w:hAnsi="Arial" w:cs="Arial"/>
          <w:sz w:val="24"/>
        </w:rPr>
      </w:pPr>
      <w:proofErr w:type="gramStart"/>
      <w:r w:rsidRPr="00BF27CD">
        <w:rPr>
          <w:rFonts w:ascii="Arial" w:hAnsi="Arial" w:cs="Arial"/>
          <w:sz w:val="22"/>
          <w:szCs w:val="22"/>
          <w:vertAlign w:val="superscript"/>
          <w:lang w:val="en-US"/>
        </w:rPr>
        <w:t>b</w:t>
      </w:r>
      <w:proofErr w:type="gramEnd"/>
      <w:r w:rsidRPr="00BF27CD">
        <w:rPr>
          <w:rFonts w:ascii="Arial" w:hAnsi="Arial" w:cs="Arial"/>
          <w:sz w:val="22"/>
          <w:szCs w:val="22"/>
          <w:lang w:val="en-US"/>
        </w:rPr>
        <w:t xml:space="preserve"> Kazan Federal University, </w:t>
      </w:r>
      <w:proofErr w:type="spellStart"/>
      <w:r w:rsidRPr="00BF27CD">
        <w:rPr>
          <w:rFonts w:ascii="Arial" w:hAnsi="Arial" w:cs="Arial"/>
          <w:sz w:val="22"/>
          <w:szCs w:val="22"/>
          <w:lang w:val="en-US"/>
        </w:rPr>
        <w:t>ul</w:t>
      </w:r>
      <w:proofErr w:type="spellEnd"/>
      <w:r w:rsidRPr="00BF27CD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BF27CD">
        <w:rPr>
          <w:rFonts w:ascii="Arial" w:hAnsi="Arial" w:cs="Arial"/>
          <w:sz w:val="22"/>
          <w:szCs w:val="22"/>
          <w:lang w:val="en-US"/>
        </w:rPr>
        <w:t>Kremlevskaya</w:t>
      </w:r>
      <w:proofErr w:type="spellEnd"/>
      <w:r w:rsidRPr="00BF27CD">
        <w:rPr>
          <w:rFonts w:ascii="Arial" w:hAnsi="Arial" w:cs="Arial"/>
          <w:sz w:val="22"/>
          <w:szCs w:val="22"/>
          <w:lang w:val="en-US"/>
        </w:rPr>
        <w:t xml:space="preserve"> 18, Kazan, 420008 Russia</w:t>
      </w:r>
    </w:p>
    <w:p w:rsidR="00F46F0E" w:rsidRPr="00565D0F" w:rsidRDefault="00F46F0E" w:rsidP="00F46F0E">
      <w:pPr>
        <w:pStyle w:val="Header1"/>
        <w:spacing w:before="240" w:after="240"/>
        <w:rPr>
          <w:sz w:val="28"/>
        </w:rPr>
      </w:pPr>
      <w:r w:rsidRPr="00565D0F">
        <w:rPr>
          <w:sz w:val="28"/>
        </w:rPr>
        <w:t>Corresponding author</w:t>
      </w:r>
    </w:p>
    <w:p w:rsidR="00F46F0E" w:rsidRPr="00565D0F" w:rsidRDefault="00F46F0E" w:rsidP="00F46F0E">
      <w:pPr>
        <w:pStyle w:val="MainText"/>
        <w:ind w:firstLine="284"/>
        <w:rPr>
          <w:rFonts w:ascii="Arial" w:hAnsi="Arial" w:cs="Arial"/>
          <w:sz w:val="22"/>
        </w:rPr>
      </w:pPr>
      <w:r w:rsidRPr="00E86508">
        <w:rPr>
          <w:rFonts w:ascii="Arial" w:hAnsi="Arial" w:cs="Arial"/>
          <w:sz w:val="22"/>
        </w:rPr>
        <w:t>* E-m</w:t>
      </w:r>
      <w:r w:rsidR="00E86508">
        <w:rPr>
          <w:rFonts w:ascii="Arial" w:hAnsi="Arial" w:cs="Arial"/>
          <w:sz w:val="22"/>
        </w:rPr>
        <w:t xml:space="preserve">ail: </w:t>
      </w:r>
      <w:r w:rsidR="00E86508" w:rsidRPr="00E86508">
        <w:rPr>
          <w:rFonts w:ascii="Arial" w:hAnsi="Arial" w:cs="Arial"/>
          <w:sz w:val="22"/>
        </w:rPr>
        <w:t>moroz@iopc.ru</w:t>
      </w:r>
    </w:p>
    <w:p w:rsidR="00F46F0E" w:rsidRPr="00F46F0E" w:rsidRDefault="00F46F0E" w:rsidP="005F5908">
      <w:pPr>
        <w:pStyle w:val="Affiliations"/>
        <w:ind w:left="0"/>
        <w:rPr>
          <w:rFonts w:ascii="Arial" w:hAnsi="Arial" w:cs="Arial"/>
          <w:sz w:val="24"/>
          <w:lang w:val="en-US"/>
        </w:rPr>
      </w:pPr>
    </w:p>
    <w:p w:rsidR="00F46F0E" w:rsidRPr="00565D0F" w:rsidRDefault="00F46F0E" w:rsidP="009667F3">
      <w:pPr>
        <w:pStyle w:val="Header1"/>
        <w:rPr>
          <w:sz w:val="28"/>
        </w:rPr>
      </w:pPr>
      <w:r w:rsidRPr="00565D0F">
        <w:rPr>
          <w:sz w:val="28"/>
        </w:rPr>
        <w:t>Abstract</w:t>
      </w:r>
    </w:p>
    <w:p w:rsidR="00F46F0E" w:rsidRPr="00E86508" w:rsidRDefault="00E86508" w:rsidP="00E502D9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To create a mitochondria-targeted drug delivery system (MT DDS), a </w:t>
      </w:r>
      <w:proofErr w:type="spellStart"/>
      <w:r w:rsidRPr="00E86508">
        <w:rPr>
          <w:rFonts w:ascii="Arial" w:hAnsi="Arial" w:cs="Arial"/>
          <w:sz w:val="22"/>
          <w:szCs w:val="22"/>
        </w:rPr>
        <w:t>calixresorcine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modified with </w:t>
      </w:r>
      <w:proofErr w:type="spellStart"/>
      <w:r w:rsidRPr="00E86508">
        <w:rPr>
          <w:rFonts w:ascii="Arial" w:hAnsi="Arial" w:cs="Arial"/>
          <w:sz w:val="22"/>
          <w:szCs w:val="22"/>
        </w:rPr>
        <w:t>triphenylphosphonium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units (C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-TPP) and its polymer complex with </w:t>
      </w:r>
      <w:proofErr w:type="spellStart"/>
      <w:r w:rsidRPr="00E86508">
        <w:rPr>
          <w:rFonts w:ascii="Arial" w:hAnsi="Arial" w:cs="Arial"/>
          <w:sz w:val="22"/>
          <w:szCs w:val="22"/>
        </w:rPr>
        <w:t>polyacrylic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acid (PAA) were synthesized. An optimal composition of the polymer complex and its parameters were found. It was shown that PAA reduced the </w:t>
      </w:r>
      <w:proofErr w:type="spellStart"/>
      <w:r w:rsidRPr="00E86508">
        <w:rPr>
          <w:rFonts w:ascii="Arial" w:hAnsi="Arial" w:cs="Arial"/>
          <w:sz w:val="22"/>
          <w:szCs w:val="22"/>
        </w:rPr>
        <w:t>hemotoxicity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of 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>-TPP and its toxicity to normal cells (Chang liver). However, the toxicity of 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>-TPP+PAA complex against tumor cells (M-</w:t>
      </w:r>
      <w:proofErr w:type="spellStart"/>
      <w:r w:rsidRPr="00E86508">
        <w:rPr>
          <w:rFonts w:ascii="Arial" w:hAnsi="Arial" w:cs="Arial"/>
          <w:sz w:val="22"/>
          <w:szCs w:val="22"/>
        </w:rPr>
        <w:t>HeLa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) was higher than that of the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>. Moreover, the mitochondria-dependent apoptotic pathway of M-</w:t>
      </w:r>
      <w:proofErr w:type="spellStart"/>
      <w:r w:rsidRPr="00E86508">
        <w:rPr>
          <w:rFonts w:ascii="Arial" w:hAnsi="Arial" w:cs="Arial"/>
          <w:sz w:val="22"/>
          <w:szCs w:val="22"/>
        </w:rPr>
        <w:t>HeLa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cells was found in the presence of 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>-TPP+PAA complex, indicating its potential as MT DDS.</w:t>
      </w:r>
    </w:p>
    <w:p w:rsidR="00F46F0E" w:rsidRPr="00565D0F" w:rsidRDefault="00E86508" w:rsidP="005C7369">
      <w:pPr>
        <w:pStyle w:val="MainText"/>
        <w:ind w:firstLine="0"/>
        <w:jc w:val="center"/>
        <w:rPr>
          <w:rFonts w:ascii="Arial" w:hAnsi="Arial" w:cs="Arial"/>
          <w:sz w:val="22"/>
        </w:rPr>
      </w:pPr>
      <w:r w:rsidRPr="00E86508">
        <w:rPr>
          <w:rFonts w:ascii="Arial" w:hAnsi="Arial" w:cs="Arial"/>
          <w:sz w:val="22"/>
        </w:rPr>
        <w:drawing>
          <wp:inline distT="0" distB="0" distL="0" distR="0">
            <wp:extent cx="2635624" cy="1018864"/>
            <wp:effectExtent l="0" t="0" r="0" b="0"/>
            <wp:docPr id="4" name="Рисунок 4" descr="E:\Julia\2024\конференция ИНЭОС\статья\Gr 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ulia\2024\конференция ИНЭОС\статья\Gr Ab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82" cy="102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0E" w:rsidRPr="00E86508" w:rsidRDefault="00F46F0E" w:rsidP="00930DA8">
      <w:pPr>
        <w:pStyle w:val="MainText"/>
        <w:spacing w:before="120" w:after="120"/>
        <w:ind w:firstLine="284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b/>
          <w:sz w:val="22"/>
          <w:szCs w:val="22"/>
        </w:rPr>
        <w:t>Key words:</w:t>
      </w:r>
      <w:r w:rsidRPr="00E8650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86508" w:rsidRPr="00E86508">
        <w:rPr>
          <w:rFonts w:ascii="Arial" w:hAnsi="Arial" w:cs="Arial"/>
          <w:sz w:val="22"/>
          <w:szCs w:val="22"/>
        </w:rPr>
        <w:t>calixresorcine</w:t>
      </w:r>
      <w:proofErr w:type="spellEnd"/>
      <w:r w:rsidR="00E86508" w:rsidRPr="00E86508">
        <w:rPr>
          <w:rFonts w:ascii="Arial" w:hAnsi="Arial" w:cs="Arial"/>
          <w:sz w:val="22"/>
          <w:szCs w:val="22"/>
        </w:rPr>
        <w:t>, mitochondria-targeted drug delivery system, polymer complex.</w:t>
      </w:r>
    </w:p>
    <w:p w:rsidR="00166162" w:rsidRPr="00E86508" w:rsidRDefault="00166162" w:rsidP="00427E5A">
      <w:pPr>
        <w:rPr>
          <w:rFonts w:ascii="Arial" w:hAnsi="Arial" w:cs="Arial"/>
          <w:lang w:val="en-US"/>
        </w:rPr>
        <w:sectPr w:rsidR="00166162" w:rsidRPr="00E86508" w:rsidSect="00565D0F">
          <w:headerReference w:type="default" r:id="rId9"/>
          <w:footerReference w:type="default" r:id="rId10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Pr="00E86508" w:rsidRDefault="00166162" w:rsidP="00427E5A">
      <w:pPr>
        <w:rPr>
          <w:rFonts w:ascii="Arial" w:hAnsi="Arial" w:cs="Arial"/>
          <w:lang w:val="en-US"/>
        </w:rPr>
        <w:sectPr w:rsidR="00166162" w:rsidRPr="00E86508" w:rsidSect="00565D0F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565D0F" w:rsidRDefault="00427E5A" w:rsidP="008E392F">
      <w:pPr>
        <w:spacing w:after="240"/>
        <w:rPr>
          <w:rFonts w:ascii="Arial" w:hAnsi="Arial" w:cs="Arial"/>
          <w:b/>
          <w:sz w:val="28"/>
          <w:lang w:val="en-US"/>
        </w:rPr>
      </w:pPr>
      <w:r w:rsidRPr="00565D0F">
        <w:rPr>
          <w:rFonts w:ascii="Arial" w:hAnsi="Arial" w:cs="Arial"/>
          <w:b/>
          <w:sz w:val="28"/>
          <w:lang w:val="en-US"/>
        </w:rPr>
        <w:lastRenderedPageBreak/>
        <w:t>Introduction</w:t>
      </w:r>
    </w:p>
    <w:p w:rsidR="00E86508" w:rsidRPr="00E86508" w:rsidRDefault="00E86508" w:rsidP="00E86508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As is known, drug delivery systems (DDSs) are a valuable tool for improving patient treatment and reducing the risk of adverse effects [1]. At the same time, the development of DDSs which can carry target </w:t>
      </w:r>
      <w:proofErr w:type="spellStart"/>
      <w:r w:rsidRPr="00E86508">
        <w:rPr>
          <w:rFonts w:ascii="Arial" w:hAnsi="Arial" w:cs="Arial"/>
          <w:sz w:val="22"/>
          <w:szCs w:val="22"/>
        </w:rPr>
        <w:t>ligands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to enhance the specificity of delivery has become increasingly important [2].</w:t>
      </w:r>
    </w:p>
    <w:p w:rsidR="00E86508" w:rsidRPr="00E86508" w:rsidRDefault="00E86508" w:rsidP="00E86508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lastRenderedPageBreak/>
        <w:t xml:space="preserve">Among them, the DDSs oriented towards intracellular specificity, such as DDSs bearing mitochondria-targeted (MT) </w:t>
      </w:r>
      <w:proofErr w:type="spellStart"/>
      <w:r w:rsidRPr="00E86508">
        <w:rPr>
          <w:rFonts w:ascii="Arial" w:hAnsi="Arial" w:cs="Arial"/>
          <w:sz w:val="22"/>
          <w:szCs w:val="22"/>
        </w:rPr>
        <w:t>ligands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, hold great promise. Their action is based on the highly negative charge of the mitochondria membrane in cancer cells, which can provide the effectiveness of the MT DDS [3]. For example, </w:t>
      </w:r>
      <w:proofErr w:type="spellStart"/>
      <w:r w:rsidRPr="00E86508">
        <w:rPr>
          <w:rFonts w:ascii="Arial" w:hAnsi="Arial" w:cs="Arial"/>
          <w:sz w:val="22"/>
          <w:szCs w:val="22"/>
        </w:rPr>
        <w:t>triphenylphosphonium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(ТРР) derivatives can target mitochondria due to their delocalized charge and </w:t>
      </w:r>
      <w:proofErr w:type="spellStart"/>
      <w:r w:rsidRPr="00E86508">
        <w:rPr>
          <w:rFonts w:ascii="Arial" w:hAnsi="Arial" w:cs="Arial"/>
          <w:sz w:val="22"/>
          <w:szCs w:val="22"/>
        </w:rPr>
        <w:t>lipophilic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nature [4].</w:t>
      </w:r>
    </w:p>
    <w:p w:rsidR="00E86508" w:rsidRPr="00E86508" w:rsidRDefault="00E86508" w:rsidP="00E86508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One of the ways to obtain effective and inexpensive DDS is the use of </w:t>
      </w:r>
      <w:proofErr w:type="spellStart"/>
      <w:r w:rsidRPr="00E86508">
        <w:rPr>
          <w:rFonts w:ascii="Arial" w:hAnsi="Arial" w:cs="Arial"/>
          <w:sz w:val="22"/>
          <w:szCs w:val="22"/>
        </w:rPr>
        <w:t>amphiphilic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molecules that can self-organize, such as </w:t>
      </w:r>
      <w:proofErr w:type="spellStart"/>
      <w:r w:rsidRPr="00E86508">
        <w:rPr>
          <w:rFonts w:ascii="Arial" w:hAnsi="Arial" w:cs="Arial"/>
          <w:sz w:val="22"/>
          <w:szCs w:val="22"/>
        </w:rPr>
        <w:t>amphiphilic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508">
        <w:rPr>
          <w:rFonts w:ascii="Arial" w:hAnsi="Arial" w:cs="Arial"/>
          <w:sz w:val="22"/>
          <w:szCs w:val="22"/>
        </w:rPr>
        <w:t>calixresorcine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508">
        <w:rPr>
          <w:rFonts w:ascii="Arial" w:hAnsi="Arial" w:cs="Arial"/>
          <w:sz w:val="22"/>
          <w:szCs w:val="22"/>
        </w:rPr>
        <w:t>cavitands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86508">
        <w:rPr>
          <w:rFonts w:ascii="Arial" w:hAnsi="Arial" w:cs="Arial"/>
          <w:sz w:val="22"/>
          <w:szCs w:val="22"/>
        </w:rPr>
        <w:t>Calixresorcines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and their </w:t>
      </w:r>
      <w:proofErr w:type="spellStart"/>
      <w:r w:rsidRPr="00E86508">
        <w:rPr>
          <w:rFonts w:ascii="Arial" w:hAnsi="Arial" w:cs="Arial"/>
          <w:sz w:val="22"/>
          <w:szCs w:val="22"/>
        </w:rPr>
        <w:t>cavitands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are receptor molecules that can be easily functionalized [5]. </w:t>
      </w:r>
    </w:p>
    <w:p w:rsidR="00E86508" w:rsidRPr="00E86508" w:rsidRDefault="00E86508" w:rsidP="00E86508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In order to obtain MT DDS, we modified a </w:t>
      </w:r>
      <w:proofErr w:type="spellStart"/>
      <w:r w:rsidRPr="00E86508">
        <w:rPr>
          <w:rFonts w:ascii="Arial" w:hAnsi="Arial" w:cs="Arial"/>
          <w:sz w:val="22"/>
          <w:szCs w:val="22"/>
        </w:rPr>
        <w:t>calixresorcine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with TPP units and then obtained a </w:t>
      </w:r>
      <w:proofErr w:type="spellStart"/>
      <w:r w:rsidRPr="00E86508">
        <w:rPr>
          <w:rFonts w:ascii="Arial" w:hAnsi="Arial" w:cs="Arial"/>
          <w:sz w:val="22"/>
          <w:szCs w:val="22"/>
        </w:rPr>
        <w:t>supramolecular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polymer–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complex. The production of these complexes is one of the ways to optimize the sizes of DDS [6] in order to meet the requirements of the </w:t>
      </w:r>
      <w:proofErr w:type="spellStart"/>
      <w:r w:rsidRPr="00E86508">
        <w:rPr>
          <w:rFonts w:ascii="Arial" w:hAnsi="Arial" w:cs="Arial"/>
          <w:sz w:val="22"/>
          <w:szCs w:val="22"/>
        </w:rPr>
        <w:t>enchanced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permeability and retention (EPR) effect [7]. Thus, our goal was to synthesize a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bearing TPP units and to create a </w:t>
      </w:r>
      <w:proofErr w:type="spellStart"/>
      <w:r w:rsidRPr="00E86508">
        <w:rPr>
          <w:rFonts w:ascii="Arial" w:hAnsi="Arial" w:cs="Arial"/>
          <w:sz w:val="22"/>
          <w:szCs w:val="22"/>
        </w:rPr>
        <w:t>nanoscale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polymer complex, as well as to investigate </w:t>
      </w:r>
      <w:proofErr w:type="spellStart"/>
      <w:r w:rsidRPr="00E86508">
        <w:rPr>
          <w:rFonts w:ascii="Arial" w:hAnsi="Arial" w:cs="Arial"/>
          <w:sz w:val="22"/>
          <w:szCs w:val="22"/>
        </w:rPr>
        <w:t>their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</w:t>
      </w:r>
      <w:r w:rsidRPr="00E86508">
        <w:rPr>
          <w:rFonts w:ascii="Arial" w:hAnsi="Arial" w:cs="Arial"/>
          <w:i/>
          <w:iCs/>
          <w:sz w:val="22"/>
          <w:szCs w:val="22"/>
        </w:rPr>
        <w:t>in vitro</w:t>
      </w:r>
      <w:r w:rsidRPr="00E86508">
        <w:rPr>
          <w:rFonts w:ascii="Arial" w:hAnsi="Arial" w:cs="Arial"/>
          <w:sz w:val="22"/>
          <w:szCs w:val="22"/>
        </w:rPr>
        <w:t xml:space="preserve"> toxicity.</w:t>
      </w:r>
    </w:p>
    <w:p w:rsidR="00FA707E" w:rsidRPr="00E86508" w:rsidRDefault="00E86508" w:rsidP="00E86508">
      <w:pPr>
        <w:pStyle w:val="MainText"/>
        <w:ind w:firstLine="0"/>
        <w:rPr>
          <w:rFonts w:ascii="Arial" w:hAnsi="Arial" w:cs="Arial"/>
          <w:b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Some </w:t>
      </w:r>
      <w:r w:rsidRPr="00E86508">
        <w:rPr>
          <w:rStyle w:val="rynqvb"/>
          <w:rFonts w:ascii="Arial" w:hAnsi="Arial" w:cs="Arial"/>
          <w:sz w:val="22"/>
          <w:szCs w:val="22"/>
        </w:rPr>
        <w:t>inspiring examples of</w:t>
      </w:r>
      <w:r w:rsidRPr="00E86508">
        <w:rPr>
          <w:rFonts w:ascii="Arial" w:hAnsi="Arial" w:cs="Arial"/>
          <w:sz w:val="22"/>
          <w:szCs w:val="22"/>
        </w:rPr>
        <w:t xml:space="preserve"> mitochondria-targeted systems based on </w:t>
      </w:r>
      <w:proofErr w:type="spellStart"/>
      <w:r w:rsidRPr="00E86508">
        <w:rPr>
          <w:rFonts w:ascii="Arial" w:hAnsi="Arial" w:cs="Arial"/>
          <w:sz w:val="22"/>
          <w:szCs w:val="22"/>
        </w:rPr>
        <w:t>cucurbiturils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E86508">
        <w:rPr>
          <w:rFonts w:ascii="Arial" w:hAnsi="Arial" w:cs="Arial"/>
          <w:sz w:val="22"/>
          <w:szCs w:val="22"/>
        </w:rPr>
        <w:t>cyclodextrins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are presented in the Electronic Supplementary Information (ESI).</w:t>
      </w:r>
    </w:p>
    <w:p w:rsidR="004F7D17" w:rsidRPr="00565D0F" w:rsidRDefault="00B02B82" w:rsidP="00315C19">
      <w:pPr>
        <w:pStyle w:val="Header1"/>
        <w:spacing w:before="240" w:after="240"/>
        <w:rPr>
          <w:sz w:val="28"/>
        </w:rPr>
      </w:pPr>
      <w:r w:rsidRPr="00B02B82">
        <w:rPr>
          <w:sz w:val="28"/>
        </w:rPr>
        <w:t>Results and discussion</w:t>
      </w:r>
    </w:p>
    <w:p w:rsidR="00E86508" w:rsidRPr="00E86508" w:rsidRDefault="00E86508" w:rsidP="00E86508">
      <w:pPr>
        <w:pStyle w:val="MainText"/>
        <w:widowControl w:val="0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A new </w:t>
      </w:r>
      <w:proofErr w:type="spellStart"/>
      <w:r w:rsidRPr="00E86508">
        <w:rPr>
          <w:rFonts w:ascii="Arial" w:hAnsi="Arial" w:cs="Arial"/>
          <w:sz w:val="22"/>
          <w:szCs w:val="22"/>
        </w:rPr>
        <w:t>tetraundecylcalixresorcine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bearing TPP units (Fig. 1) was synthesized from </w:t>
      </w:r>
      <w:proofErr w:type="spellStart"/>
      <w:r w:rsidRPr="00E86508">
        <w:rPr>
          <w:rFonts w:ascii="Arial" w:hAnsi="Arial" w:cs="Arial"/>
          <w:sz w:val="22"/>
          <w:szCs w:val="22"/>
        </w:rPr>
        <w:t>methylhydroxo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-substituted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and 3-(</w:t>
      </w:r>
      <w:proofErr w:type="spellStart"/>
      <w:r w:rsidRPr="00E86508">
        <w:rPr>
          <w:rFonts w:ascii="Arial" w:hAnsi="Arial" w:cs="Arial"/>
          <w:sz w:val="22"/>
          <w:szCs w:val="22"/>
        </w:rPr>
        <w:t>carboxypropyl</w:t>
      </w:r>
      <w:proofErr w:type="spellEnd"/>
      <w:proofErr w:type="gramStart"/>
      <w:r w:rsidRPr="00E86508">
        <w:rPr>
          <w:rFonts w:ascii="Arial" w:hAnsi="Arial" w:cs="Arial"/>
          <w:sz w:val="22"/>
          <w:szCs w:val="22"/>
        </w:rPr>
        <w:t>)</w:t>
      </w:r>
      <w:proofErr w:type="spellStart"/>
      <w:r w:rsidRPr="00E86508">
        <w:rPr>
          <w:rFonts w:ascii="Arial" w:hAnsi="Arial" w:cs="Arial"/>
          <w:sz w:val="22"/>
          <w:szCs w:val="22"/>
        </w:rPr>
        <w:t>triphenylphosphonium</w:t>
      </w:r>
      <w:proofErr w:type="spellEnd"/>
      <w:proofErr w:type="gramEnd"/>
      <w:r w:rsidRPr="00E86508">
        <w:rPr>
          <w:rFonts w:ascii="Arial" w:hAnsi="Arial" w:cs="Arial"/>
          <w:sz w:val="22"/>
          <w:szCs w:val="22"/>
        </w:rPr>
        <w:t xml:space="preserve"> bromide by the </w:t>
      </w:r>
      <w:proofErr w:type="spellStart"/>
      <w:r w:rsidRPr="00E86508">
        <w:rPr>
          <w:rFonts w:ascii="Arial" w:hAnsi="Arial" w:cs="Arial"/>
          <w:sz w:val="22"/>
          <w:szCs w:val="22"/>
        </w:rPr>
        <w:t>Steglich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508">
        <w:rPr>
          <w:rFonts w:ascii="Arial" w:hAnsi="Arial" w:cs="Arial"/>
          <w:sz w:val="22"/>
          <w:szCs w:val="22"/>
        </w:rPr>
        <w:t>esterification</w:t>
      </w:r>
      <w:proofErr w:type="spellEnd"/>
      <w:r w:rsidRPr="00E86508">
        <w:rPr>
          <w:rFonts w:ascii="Arial" w:hAnsi="Arial" w:cs="Arial"/>
          <w:sz w:val="22"/>
          <w:szCs w:val="22"/>
        </w:rPr>
        <w:t>. The synthetic procedure is described in the ESI. The structure of С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-ТРР was confirmed by the </w:t>
      </w:r>
      <w:r w:rsidRPr="00E86508">
        <w:rPr>
          <w:rFonts w:ascii="Arial" w:hAnsi="Arial" w:cs="Arial"/>
          <w:sz w:val="22"/>
          <w:szCs w:val="22"/>
          <w:vertAlign w:val="superscript"/>
        </w:rPr>
        <w:t>1</w:t>
      </w:r>
      <w:r w:rsidRPr="00E86508">
        <w:rPr>
          <w:rFonts w:ascii="Arial" w:hAnsi="Arial" w:cs="Arial"/>
          <w:sz w:val="22"/>
          <w:szCs w:val="22"/>
        </w:rPr>
        <w:t xml:space="preserve">Н and </w:t>
      </w:r>
      <w:r w:rsidRPr="00E86508">
        <w:rPr>
          <w:rFonts w:ascii="Arial" w:hAnsi="Arial" w:cs="Arial"/>
          <w:sz w:val="22"/>
          <w:szCs w:val="22"/>
          <w:vertAlign w:val="superscript"/>
        </w:rPr>
        <w:t>13</w:t>
      </w:r>
      <w:r w:rsidRPr="00E86508">
        <w:rPr>
          <w:rFonts w:ascii="Arial" w:hAnsi="Arial" w:cs="Arial"/>
          <w:sz w:val="22"/>
          <w:szCs w:val="22"/>
        </w:rPr>
        <w:t xml:space="preserve">С NMR spectra, IR spectrum (Figs. </w:t>
      </w:r>
      <w:proofErr w:type="gramStart"/>
      <w:r w:rsidRPr="00E86508">
        <w:rPr>
          <w:rFonts w:ascii="Arial" w:hAnsi="Arial" w:cs="Arial"/>
          <w:sz w:val="22"/>
          <w:szCs w:val="22"/>
        </w:rPr>
        <w:t>S1–S3 in the ESI) and elemental analysis data.</w:t>
      </w:r>
      <w:proofErr w:type="gramEnd"/>
    </w:p>
    <w:p w:rsidR="00922AD7" w:rsidRDefault="00E86508" w:rsidP="00E86508">
      <w:pPr>
        <w:spacing w:after="0"/>
        <w:jc w:val="both"/>
        <w:rPr>
          <w:rFonts w:ascii="Arial" w:hAnsi="Arial" w:cs="Arial"/>
          <w:lang w:val="en-US"/>
        </w:rPr>
      </w:pPr>
      <w:r w:rsidRPr="00E86508">
        <w:rPr>
          <w:rFonts w:ascii="Arial" w:hAnsi="Arial" w:cs="Arial"/>
          <w:lang w:val="en-US"/>
        </w:rPr>
        <w:t>The investigation of C</w:t>
      </w:r>
      <w:r w:rsidRPr="00E86508">
        <w:rPr>
          <w:rFonts w:ascii="Arial" w:hAnsi="Arial" w:cs="Arial"/>
          <w:vertAlign w:val="subscript"/>
          <w:lang w:val="en-US"/>
        </w:rPr>
        <w:t>11</w:t>
      </w:r>
      <w:r w:rsidRPr="00E86508">
        <w:rPr>
          <w:rFonts w:ascii="Arial" w:hAnsi="Arial" w:cs="Arial"/>
          <w:lang w:val="en-US"/>
        </w:rPr>
        <w:t>-TPP+PAA polymer complex formation was started with the determination of the optimal C</w:t>
      </w:r>
      <w:r w:rsidRPr="00E86508">
        <w:rPr>
          <w:rFonts w:ascii="Arial" w:hAnsi="Arial" w:cs="Arial"/>
          <w:vertAlign w:val="subscript"/>
          <w:lang w:val="en-US"/>
        </w:rPr>
        <w:t>11</w:t>
      </w:r>
      <w:r w:rsidRPr="00E86508">
        <w:rPr>
          <w:rFonts w:ascii="Arial" w:hAnsi="Arial" w:cs="Arial"/>
          <w:lang w:val="en-US"/>
        </w:rPr>
        <w:t>-TPP/PAA molar ratio using the continuous variations method (Job's plot method) by the variation of molar fraction (</w:t>
      </w:r>
      <w:r w:rsidRPr="00E86508">
        <w:rPr>
          <w:rFonts w:ascii="Arial" w:hAnsi="Arial" w:cs="Arial"/>
        </w:rPr>
        <w:t>χ</w:t>
      </w:r>
      <w:r w:rsidRPr="00E86508">
        <w:rPr>
          <w:rFonts w:ascii="Arial" w:hAnsi="Arial" w:cs="Arial"/>
          <w:lang w:val="en-US"/>
        </w:rPr>
        <w:t xml:space="preserve">) of the components from 0 to 1 in a solution with a constant concentration of 1 </w:t>
      </w:r>
      <w:proofErr w:type="spellStart"/>
      <w:r w:rsidRPr="00E86508">
        <w:rPr>
          <w:rFonts w:ascii="Arial" w:hAnsi="Arial" w:cs="Arial"/>
          <w:lang w:val="en-US"/>
        </w:rPr>
        <w:t>mM</w:t>
      </w:r>
      <w:proofErr w:type="spellEnd"/>
      <w:r w:rsidRPr="00E86508">
        <w:rPr>
          <w:rFonts w:ascii="Arial" w:hAnsi="Arial" w:cs="Arial"/>
          <w:lang w:val="en-US"/>
        </w:rPr>
        <w:t xml:space="preserve"> (in a solution of H</w:t>
      </w:r>
      <w:r w:rsidRPr="00E86508">
        <w:rPr>
          <w:rFonts w:ascii="Arial" w:hAnsi="Arial" w:cs="Arial"/>
          <w:vertAlign w:val="subscript"/>
          <w:lang w:val="en-US"/>
        </w:rPr>
        <w:t>2</w:t>
      </w:r>
      <w:r w:rsidRPr="00E86508">
        <w:rPr>
          <w:rFonts w:ascii="Arial" w:hAnsi="Arial" w:cs="Arial"/>
          <w:lang w:val="en-US"/>
        </w:rPr>
        <w:t>O–DMSO 95/5 (v/v); for details, see the ESI and Table S1). The size (</w:t>
      </w:r>
      <w:proofErr w:type="gramStart"/>
      <w:r w:rsidRPr="00E86508">
        <w:rPr>
          <w:rFonts w:ascii="Arial" w:hAnsi="Arial" w:cs="Arial"/>
          <w:lang w:val="en-US"/>
        </w:rPr>
        <w:t>d</w:t>
      </w:r>
      <w:r w:rsidRPr="00E86508">
        <w:rPr>
          <w:rFonts w:ascii="Arial" w:hAnsi="Arial" w:cs="Arial"/>
          <w:vertAlign w:val="subscript"/>
          <w:lang w:val="en-US"/>
        </w:rPr>
        <w:t>h</w:t>
      </w:r>
      <w:proofErr w:type="gramEnd"/>
      <w:r w:rsidRPr="00E86508">
        <w:rPr>
          <w:rFonts w:ascii="Arial" w:hAnsi="Arial" w:cs="Arial"/>
          <w:lang w:val="en-US"/>
        </w:rPr>
        <w:t xml:space="preserve">) and </w:t>
      </w:r>
      <w:proofErr w:type="spellStart"/>
      <w:r w:rsidRPr="00E86508">
        <w:rPr>
          <w:rFonts w:ascii="Arial" w:hAnsi="Arial" w:cs="Arial"/>
          <w:lang w:val="en-US"/>
        </w:rPr>
        <w:t>electrokinetic</w:t>
      </w:r>
      <w:proofErr w:type="spellEnd"/>
      <w:r w:rsidRPr="00E86508">
        <w:rPr>
          <w:rFonts w:ascii="Arial" w:hAnsi="Arial" w:cs="Arial"/>
          <w:lang w:val="en-US"/>
        </w:rPr>
        <w:t xml:space="preserve"> potential (</w:t>
      </w:r>
      <w:r w:rsidRPr="00E86508">
        <w:rPr>
          <w:rFonts w:ascii="Arial" w:hAnsi="Arial" w:cs="Arial"/>
        </w:rPr>
        <w:t>ξ</w:t>
      </w:r>
      <w:r w:rsidRPr="00E86508">
        <w:rPr>
          <w:rFonts w:ascii="Arial" w:hAnsi="Arial" w:cs="Arial"/>
          <w:lang w:val="en-US"/>
        </w:rPr>
        <w:t xml:space="preserve">) of the solutions were analyzed (Figs. </w:t>
      </w:r>
      <w:proofErr w:type="gramStart"/>
      <w:r w:rsidRPr="00E86508">
        <w:rPr>
          <w:rFonts w:ascii="Arial" w:hAnsi="Arial" w:cs="Arial"/>
        </w:rPr>
        <w:t xml:space="preserve">S4–S6 </w:t>
      </w:r>
      <w:proofErr w:type="spellStart"/>
      <w:r w:rsidRPr="00E86508">
        <w:rPr>
          <w:rFonts w:ascii="Arial" w:hAnsi="Arial" w:cs="Arial"/>
        </w:rPr>
        <w:t>in</w:t>
      </w:r>
      <w:proofErr w:type="spellEnd"/>
      <w:r w:rsidRPr="00E86508">
        <w:rPr>
          <w:rFonts w:ascii="Arial" w:hAnsi="Arial" w:cs="Arial"/>
        </w:rPr>
        <w:t xml:space="preserve"> </w:t>
      </w:r>
      <w:proofErr w:type="spellStart"/>
      <w:r w:rsidRPr="00E86508">
        <w:rPr>
          <w:rFonts w:ascii="Arial" w:hAnsi="Arial" w:cs="Arial"/>
        </w:rPr>
        <w:t>the</w:t>
      </w:r>
      <w:proofErr w:type="spellEnd"/>
      <w:r w:rsidRPr="00E86508">
        <w:rPr>
          <w:rFonts w:ascii="Arial" w:hAnsi="Arial" w:cs="Arial"/>
        </w:rPr>
        <w:t xml:space="preserve"> ESI).</w:t>
      </w:r>
      <w:proofErr w:type="gramEnd"/>
    </w:p>
    <w:p w:rsidR="00E86508" w:rsidRPr="00E86508" w:rsidRDefault="00E86508" w:rsidP="00AF635D">
      <w:pPr>
        <w:spacing w:before="120"/>
        <w:jc w:val="center"/>
        <w:rPr>
          <w:rFonts w:ascii="Arial" w:hAnsi="Arial" w:cs="Arial"/>
          <w:sz w:val="20"/>
          <w:szCs w:val="20"/>
          <w:lang w:val="en-US"/>
        </w:rPr>
      </w:pPr>
      <w:proofErr w:type="gramStart"/>
      <w:r w:rsidRPr="00E86508">
        <w:rPr>
          <w:rFonts w:ascii="Arial" w:hAnsi="Arial" w:cs="Arial"/>
          <w:b/>
          <w:sz w:val="20"/>
          <w:szCs w:val="20"/>
          <w:lang w:val="en-US"/>
        </w:rPr>
        <w:t>Figure 1.</w:t>
      </w:r>
      <w:proofErr w:type="gramEnd"/>
      <w:r w:rsidRPr="00E865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E86508">
        <w:rPr>
          <w:rFonts w:ascii="Arial" w:hAnsi="Arial" w:cs="Arial"/>
          <w:sz w:val="20"/>
          <w:szCs w:val="20"/>
          <w:lang w:val="en-US"/>
        </w:rPr>
        <w:t xml:space="preserve">Structure of </w:t>
      </w:r>
      <w:r w:rsidRPr="00E86508">
        <w:rPr>
          <w:rFonts w:ascii="Arial" w:hAnsi="Arial" w:cs="Arial"/>
          <w:sz w:val="20"/>
          <w:szCs w:val="20"/>
        </w:rPr>
        <w:t>С</w:t>
      </w:r>
      <w:r w:rsidRPr="00E86508">
        <w:rPr>
          <w:rFonts w:ascii="Arial" w:hAnsi="Arial" w:cs="Arial"/>
          <w:sz w:val="20"/>
          <w:szCs w:val="20"/>
          <w:vertAlign w:val="subscript"/>
          <w:lang w:val="en-US"/>
        </w:rPr>
        <w:t>11</w:t>
      </w:r>
      <w:r w:rsidRPr="00E86508">
        <w:rPr>
          <w:rFonts w:ascii="Arial" w:hAnsi="Arial" w:cs="Arial"/>
          <w:sz w:val="20"/>
          <w:szCs w:val="20"/>
          <w:lang w:val="en-US"/>
        </w:rPr>
        <w:t>-</w:t>
      </w:r>
      <w:r w:rsidRPr="00E86508">
        <w:rPr>
          <w:rFonts w:ascii="Arial" w:hAnsi="Arial" w:cs="Arial"/>
          <w:sz w:val="20"/>
          <w:szCs w:val="20"/>
        </w:rPr>
        <w:t>ТРР</w:t>
      </w:r>
      <w:r w:rsidRPr="00E86508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:rsidR="00E86508" w:rsidRPr="00E86508" w:rsidRDefault="00E86508" w:rsidP="00E86508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In PAA individual solution, the particles with </w:t>
      </w:r>
      <w:proofErr w:type="gramStart"/>
      <w:r w:rsidRPr="00E86508">
        <w:rPr>
          <w:rFonts w:ascii="Arial" w:hAnsi="Arial" w:cs="Arial"/>
          <w:sz w:val="22"/>
          <w:szCs w:val="22"/>
        </w:rPr>
        <w:t>d</w:t>
      </w:r>
      <w:r w:rsidRPr="00E86508">
        <w:rPr>
          <w:rFonts w:ascii="Arial" w:hAnsi="Arial" w:cs="Arial"/>
          <w:sz w:val="22"/>
          <w:szCs w:val="22"/>
          <w:vertAlign w:val="subscript"/>
        </w:rPr>
        <w:t>h</w:t>
      </w:r>
      <w:proofErr w:type="gramEnd"/>
      <w:r w:rsidRPr="00E86508">
        <w:rPr>
          <w:rFonts w:ascii="Arial" w:hAnsi="Arial" w:cs="Arial"/>
          <w:sz w:val="22"/>
          <w:szCs w:val="22"/>
        </w:rPr>
        <w:t xml:space="preserve"> of 342 nm (PDI 0.366) and</w:t>
      </w:r>
      <w:r w:rsidR="006D75C2" w:rsidRPr="006D75C2">
        <w:rPr>
          <w:rFonts w:ascii="Arial" w:hAnsi="Arial" w:cs="Arial"/>
          <w:sz w:val="22"/>
          <w:szCs w:val="22"/>
        </w:rPr>
        <w:t xml:space="preserve"> </w:t>
      </w:r>
      <w:r w:rsidR="006D75C2">
        <w:rPr>
          <w:rFonts w:ascii="Arial" w:hAnsi="Arial" w:cs="Arial"/>
          <w:sz w:val="22"/>
          <w:szCs w:val="22"/>
        </w:rPr>
        <w:t>ζ</w:t>
      </w:r>
      <w:r w:rsidRPr="00E86508">
        <w:rPr>
          <w:rFonts w:ascii="Arial" w:hAnsi="Arial" w:cs="Arial"/>
          <w:sz w:val="22"/>
          <w:szCs w:val="22"/>
        </w:rPr>
        <w:t xml:space="preserve"> of –34.2 mV were observed. The largest size of 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-TPP+PAA particles was observed at </w:t>
      </w:r>
      <w:proofErr w:type="gramStart"/>
      <w:r w:rsidR="006D75C2" w:rsidRPr="006D75C2">
        <w:rPr>
          <w:rFonts w:ascii="Arial" w:hAnsi="Arial" w:cs="Arial"/>
          <w:sz w:val="22"/>
          <w:szCs w:val="22"/>
        </w:rPr>
        <w:t>χ</w:t>
      </w:r>
      <w:r w:rsidRPr="00E86508">
        <w:rPr>
          <w:rFonts w:ascii="Arial" w:hAnsi="Arial" w:cs="Arial"/>
          <w:sz w:val="22"/>
          <w:szCs w:val="22"/>
        </w:rPr>
        <w:t>(</w:t>
      </w:r>
      <w:proofErr w:type="gramEnd"/>
      <w:r w:rsidRPr="00E86508">
        <w:rPr>
          <w:rFonts w:ascii="Arial" w:hAnsi="Arial" w:cs="Arial"/>
          <w:sz w:val="22"/>
          <w:szCs w:val="22"/>
        </w:rPr>
        <w:t>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>-TPP) = 0.1 due to the charge compensation (1484 nm, +10 mV). An increase in the 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-TPP fraction led to a decrease in the size and a gradual increase in the value of ξ (Fig. </w:t>
      </w:r>
      <w:proofErr w:type="gramStart"/>
      <w:r w:rsidRPr="00E86508">
        <w:rPr>
          <w:rFonts w:ascii="Arial" w:hAnsi="Arial" w:cs="Arial"/>
          <w:sz w:val="22"/>
          <w:szCs w:val="22"/>
        </w:rPr>
        <w:t>S6 in the ESI).</w:t>
      </w:r>
      <w:proofErr w:type="gramEnd"/>
      <w:r w:rsidRPr="00E86508">
        <w:rPr>
          <w:rFonts w:ascii="Arial" w:hAnsi="Arial" w:cs="Arial"/>
          <w:sz w:val="22"/>
          <w:szCs w:val="22"/>
        </w:rPr>
        <w:t xml:space="preserve"> As a result, a 0.5/0.5 molar ratio was chosen. The </w:t>
      </w:r>
      <w:proofErr w:type="gramStart"/>
      <w:r w:rsidRPr="00E86508">
        <w:rPr>
          <w:rFonts w:ascii="Arial" w:hAnsi="Arial" w:cs="Arial"/>
          <w:sz w:val="22"/>
          <w:szCs w:val="22"/>
        </w:rPr>
        <w:t>d</w:t>
      </w:r>
      <w:r w:rsidRPr="00E86508">
        <w:rPr>
          <w:rFonts w:ascii="Arial" w:hAnsi="Arial" w:cs="Arial"/>
          <w:sz w:val="22"/>
          <w:szCs w:val="22"/>
          <w:vertAlign w:val="subscript"/>
        </w:rPr>
        <w:t>h</w:t>
      </w:r>
      <w:proofErr w:type="gramEnd"/>
      <w:r w:rsidRPr="00E86508">
        <w:rPr>
          <w:rFonts w:ascii="Arial" w:hAnsi="Arial" w:cs="Arial"/>
          <w:sz w:val="22"/>
          <w:szCs w:val="22"/>
        </w:rPr>
        <w:t xml:space="preserve"> value of С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>-ТРР/PAA 0.5/0.5 particles in PB solution (pH 7.4) was 295 nm (PDI 0.214, Fig. 2).</w:t>
      </w:r>
    </w:p>
    <w:p w:rsidR="00E86508" w:rsidRPr="00E86508" w:rsidRDefault="00E86508" w:rsidP="00E86508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E86508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E86508">
        <w:rPr>
          <w:rFonts w:ascii="Arial" w:hAnsi="Arial" w:cs="Arial"/>
          <w:sz w:val="22"/>
          <w:szCs w:val="22"/>
        </w:rPr>
        <w:t>macrocycle</w:t>
      </w:r>
      <w:proofErr w:type="spellEnd"/>
      <w:r w:rsidRPr="00E86508">
        <w:rPr>
          <w:rFonts w:ascii="Arial" w:hAnsi="Arial" w:cs="Arial"/>
          <w:sz w:val="22"/>
          <w:szCs w:val="22"/>
        </w:rPr>
        <w:t>–polymer complex can be formed primarily due to electrostatic interaction [6]. To confirm PAA–С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-ТРР association, IR spectroscopy, </w:t>
      </w:r>
      <w:proofErr w:type="spellStart"/>
      <w:r w:rsidRPr="00E86508">
        <w:rPr>
          <w:rFonts w:ascii="Arial" w:hAnsi="Arial" w:cs="Arial"/>
          <w:sz w:val="22"/>
          <w:szCs w:val="22"/>
        </w:rPr>
        <w:t>fluorimetry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E86508">
        <w:rPr>
          <w:rFonts w:ascii="Arial" w:hAnsi="Arial" w:cs="Arial"/>
          <w:sz w:val="22"/>
          <w:szCs w:val="22"/>
        </w:rPr>
        <w:t>conductometry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were used. In the IR spectrum, the C=O absorption bands of PAA and the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are overlapped, and only minor shifts of С=О and С–О–С bands of 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-TPP are observed, which might indicate the formation of hydrogen bonds with COOH groups of PAA or with water molecules (Fig. </w:t>
      </w:r>
      <w:proofErr w:type="gramStart"/>
      <w:r w:rsidRPr="00E86508">
        <w:rPr>
          <w:rFonts w:ascii="Arial" w:hAnsi="Arial" w:cs="Arial"/>
          <w:sz w:val="22"/>
          <w:szCs w:val="22"/>
        </w:rPr>
        <w:t>S3 in the ESI).</w:t>
      </w:r>
      <w:proofErr w:type="gramEnd"/>
      <w:r w:rsidRPr="00E86508">
        <w:rPr>
          <w:rFonts w:ascii="Arial" w:hAnsi="Arial" w:cs="Arial"/>
          <w:sz w:val="22"/>
          <w:szCs w:val="22"/>
        </w:rPr>
        <w:t xml:space="preserve"> According to the results of the </w:t>
      </w:r>
      <w:proofErr w:type="spellStart"/>
      <w:r w:rsidRPr="00E86508">
        <w:rPr>
          <w:rFonts w:ascii="Arial" w:hAnsi="Arial" w:cs="Arial"/>
          <w:sz w:val="22"/>
          <w:szCs w:val="22"/>
        </w:rPr>
        <w:t>fluorometric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analysis, in the presence of PAA, the critical association concentration (</w:t>
      </w:r>
      <w:proofErr w:type="spellStart"/>
      <w:r w:rsidRPr="00E86508">
        <w:rPr>
          <w:rFonts w:ascii="Arial" w:hAnsi="Arial" w:cs="Arial"/>
          <w:i/>
          <w:sz w:val="22"/>
          <w:szCs w:val="22"/>
        </w:rPr>
        <w:t>cac</w:t>
      </w:r>
      <w:proofErr w:type="spellEnd"/>
      <w:r w:rsidRPr="00E86508">
        <w:rPr>
          <w:rFonts w:ascii="Arial" w:hAnsi="Arial" w:cs="Arial"/>
          <w:sz w:val="22"/>
          <w:szCs w:val="22"/>
        </w:rPr>
        <w:t>) value of С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-ТРР shifts from 0.095 to 0.050 </w:t>
      </w:r>
      <w:proofErr w:type="spellStart"/>
      <w:r w:rsidRPr="00E86508">
        <w:rPr>
          <w:rFonts w:ascii="Arial" w:hAnsi="Arial" w:cs="Arial"/>
          <w:sz w:val="22"/>
          <w:szCs w:val="22"/>
        </w:rPr>
        <w:t>mM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(Figs. </w:t>
      </w:r>
      <w:proofErr w:type="gramStart"/>
      <w:r w:rsidRPr="00E86508">
        <w:rPr>
          <w:rFonts w:ascii="Arial" w:hAnsi="Arial" w:cs="Arial"/>
          <w:sz w:val="22"/>
          <w:szCs w:val="22"/>
        </w:rPr>
        <w:t>S7 and S8 in the ESI), which can be explained by the formation of С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>-ТРР+PAA complex.</w:t>
      </w:r>
      <w:proofErr w:type="gramEnd"/>
      <w:r w:rsidRPr="00E86508">
        <w:rPr>
          <w:rFonts w:ascii="Arial" w:hAnsi="Arial" w:cs="Arial"/>
          <w:sz w:val="22"/>
          <w:szCs w:val="22"/>
        </w:rPr>
        <w:t xml:space="preserve"> The data of conductivity isotherms are more </w:t>
      </w:r>
      <w:r w:rsidRPr="00E86508">
        <w:rPr>
          <w:rStyle w:val="rynqvb"/>
          <w:rFonts w:ascii="Arial" w:hAnsi="Arial" w:cs="Arial"/>
          <w:sz w:val="22"/>
          <w:szCs w:val="22"/>
        </w:rPr>
        <w:t>informative</w:t>
      </w:r>
      <w:r w:rsidRPr="00E86508">
        <w:rPr>
          <w:rFonts w:ascii="Arial" w:hAnsi="Arial" w:cs="Arial"/>
          <w:sz w:val="22"/>
          <w:szCs w:val="22"/>
        </w:rPr>
        <w:t xml:space="preserve"> (Fig. S9 in the ESI) and demonstrate that PAA increases the </w:t>
      </w:r>
      <w:proofErr w:type="spellStart"/>
      <w:r w:rsidRPr="00E86508">
        <w:rPr>
          <w:rFonts w:ascii="Arial" w:hAnsi="Arial" w:cs="Arial"/>
          <w:i/>
          <w:sz w:val="22"/>
          <w:szCs w:val="22"/>
        </w:rPr>
        <w:t>cac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value of C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-TPP (from 0.120 to 0.153 </w:t>
      </w:r>
      <w:proofErr w:type="spellStart"/>
      <w:r w:rsidRPr="00E86508">
        <w:rPr>
          <w:rFonts w:ascii="Arial" w:hAnsi="Arial" w:cs="Arial"/>
          <w:sz w:val="22"/>
          <w:szCs w:val="22"/>
        </w:rPr>
        <w:t>mM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), indicating a strong affinity of the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molecules to the PAA surface. According to these data, it can be proposed that at 0.5/0.5 </w:t>
      </w:r>
      <w:r w:rsidRPr="00E86508">
        <w:rPr>
          <w:rFonts w:ascii="Arial" w:hAnsi="Arial" w:cs="Arial"/>
          <w:sz w:val="22"/>
          <w:szCs w:val="22"/>
        </w:rPr>
        <w:lastRenderedPageBreak/>
        <w:t>С</w:t>
      </w:r>
      <w:r w:rsidRPr="00E86508">
        <w:rPr>
          <w:rFonts w:ascii="Arial" w:hAnsi="Arial" w:cs="Arial"/>
          <w:sz w:val="22"/>
          <w:szCs w:val="22"/>
          <w:vertAlign w:val="subscript"/>
        </w:rPr>
        <w:t>11</w:t>
      </w:r>
      <w:r w:rsidRPr="00E86508">
        <w:rPr>
          <w:rFonts w:ascii="Arial" w:hAnsi="Arial" w:cs="Arial"/>
          <w:sz w:val="22"/>
          <w:szCs w:val="22"/>
        </w:rPr>
        <w:t xml:space="preserve">-ТРР/РАА molar ratio, the </w:t>
      </w:r>
      <w:proofErr w:type="spellStart"/>
      <w:r w:rsidRPr="00E86508">
        <w:rPr>
          <w:rFonts w:ascii="Arial" w:hAnsi="Arial" w:cs="Arial"/>
          <w:sz w:val="22"/>
          <w:szCs w:val="22"/>
        </w:rPr>
        <w:t>cavitand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self-associates absorb on PAA molecules (Fig. 2b). The encapsulation and release ability of the complex were studied using optical probe </w:t>
      </w:r>
      <w:proofErr w:type="spellStart"/>
      <w:r w:rsidRPr="00E86508">
        <w:rPr>
          <w:rFonts w:ascii="Arial" w:hAnsi="Arial" w:cs="Arial"/>
          <w:sz w:val="22"/>
          <w:szCs w:val="22"/>
        </w:rPr>
        <w:t>fluorescein</w:t>
      </w:r>
      <w:proofErr w:type="spellEnd"/>
      <w:r w:rsidRPr="00E86508">
        <w:rPr>
          <w:rFonts w:ascii="Arial" w:hAnsi="Arial" w:cs="Arial"/>
          <w:sz w:val="22"/>
          <w:szCs w:val="22"/>
        </w:rPr>
        <w:t xml:space="preserve"> (Fl) (for details, see the ESI). A slow rate of the FI release was observed, with 24% released Fl in 8 h (Fig. </w:t>
      </w:r>
      <w:proofErr w:type="gramStart"/>
      <w:r w:rsidRPr="00E86508">
        <w:rPr>
          <w:rFonts w:ascii="Arial" w:hAnsi="Arial" w:cs="Arial"/>
          <w:sz w:val="22"/>
          <w:szCs w:val="22"/>
        </w:rPr>
        <w:t>S10 in the ESI).</w:t>
      </w:r>
      <w:proofErr w:type="gramEnd"/>
      <w:r w:rsidRPr="00E86508">
        <w:rPr>
          <w:rFonts w:ascii="Arial" w:hAnsi="Arial" w:cs="Arial"/>
          <w:sz w:val="22"/>
          <w:szCs w:val="22"/>
        </w:rPr>
        <w:t xml:space="preserve"> </w:t>
      </w:r>
      <w:r w:rsidRPr="00E86508">
        <w:rPr>
          <w:rStyle w:val="h9rpj5gkjhrwbrml3kdi"/>
          <w:rFonts w:ascii="Arial" w:hAnsi="Arial" w:cs="Arial"/>
          <w:sz w:val="22"/>
          <w:szCs w:val="22"/>
        </w:rPr>
        <w:t>Therefore</w:t>
      </w:r>
      <w:r w:rsidRPr="00E86508">
        <w:rPr>
          <w:rFonts w:ascii="Arial" w:hAnsi="Arial" w:cs="Arial"/>
          <w:sz w:val="22"/>
          <w:szCs w:val="22"/>
        </w:rPr>
        <w:t xml:space="preserve">, passive diffusion of </w:t>
      </w:r>
      <w:r w:rsidRPr="00E86508">
        <w:rPr>
          <w:rStyle w:val="h9rpj5gkjhrwbrml3kdi"/>
          <w:rFonts w:ascii="Arial" w:hAnsi="Arial" w:cs="Arial"/>
          <w:sz w:val="22"/>
          <w:szCs w:val="22"/>
        </w:rPr>
        <w:t>the</w:t>
      </w:r>
      <w:r w:rsidRPr="00E86508">
        <w:rPr>
          <w:rFonts w:ascii="Arial" w:hAnsi="Arial" w:cs="Arial"/>
          <w:sz w:val="22"/>
          <w:szCs w:val="22"/>
        </w:rPr>
        <w:t xml:space="preserve"> drug from the studied complex </w:t>
      </w:r>
      <w:r w:rsidRPr="00E86508">
        <w:rPr>
          <w:rStyle w:val="h9rpj5gkjhrwbrml3kdi"/>
          <w:rFonts w:ascii="Arial" w:hAnsi="Arial" w:cs="Arial"/>
          <w:sz w:val="22"/>
          <w:szCs w:val="22"/>
        </w:rPr>
        <w:t>may</w:t>
      </w:r>
      <w:r w:rsidRPr="00E86508">
        <w:rPr>
          <w:rFonts w:ascii="Arial" w:hAnsi="Arial" w:cs="Arial"/>
          <w:sz w:val="22"/>
          <w:szCs w:val="22"/>
        </w:rPr>
        <w:t xml:space="preserve"> be </w:t>
      </w:r>
      <w:r w:rsidRPr="00E86508">
        <w:rPr>
          <w:rStyle w:val="h9rpj5gkjhrwbrml3kdi"/>
          <w:rFonts w:ascii="Arial" w:hAnsi="Arial" w:cs="Arial"/>
          <w:sz w:val="22"/>
          <w:szCs w:val="22"/>
        </w:rPr>
        <w:t>considered</w:t>
      </w:r>
      <w:r w:rsidRPr="00E86508">
        <w:rPr>
          <w:rFonts w:ascii="Arial" w:hAnsi="Arial" w:cs="Arial"/>
          <w:sz w:val="22"/>
          <w:szCs w:val="22"/>
        </w:rPr>
        <w:t>.</w:t>
      </w:r>
    </w:p>
    <w:p w:rsidR="00B02B82" w:rsidRDefault="00E86508" w:rsidP="00E86508">
      <w:pPr>
        <w:pStyle w:val="Header1"/>
        <w:spacing w:before="0" w:after="0"/>
        <w:jc w:val="both"/>
        <w:rPr>
          <w:b w:val="0"/>
          <w:lang w:val="ru-RU"/>
        </w:rPr>
      </w:pPr>
      <w:r w:rsidRPr="00E86508">
        <w:rPr>
          <w:rStyle w:val="rynqvb"/>
          <w:b w:val="0"/>
        </w:rPr>
        <w:t>The</w:t>
      </w:r>
      <w:r w:rsidRPr="00E86508">
        <w:rPr>
          <w:b w:val="0"/>
        </w:rPr>
        <w:t xml:space="preserve"> </w:t>
      </w:r>
      <w:r w:rsidRPr="00E86508">
        <w:rPr>
          <w:b w:val="0"/>
          <w:i/>
          <w:iCs/>
        </w:rPr>
        <w:t>in vitro</w:t>
      </w:r>
      <w:r w:rsidRPr="00E86508">
        <w:rPr>
          <w:b w:val="0"/>
        </w:rPr>
        <w:t xml:space="preserve"> toxicity of C</w:t>
      </w:r>
      <w:r w:rsidRPr="00E86508">
        <w:rPr>
          <w:b w:val="0"/>
          <w:vertAlign w:val="subscript"/>
        </w:rPr>
        <w:t>11</w:t>
      </w:r>
      <w:r w:rsidRPr="00E86508">
        <w:rPr>
          <w:b w:val="0"/>
        </w:rPr>
        <w:t xml:space="preserve">-TPP, PAA, and the complex were studied (Table 1). PAA was found to be low toxic. The toxicity of the </w:t>
      </w:r>
      <w:proofErr w:type="spellStart"/>
      <w:r w:rsidRPr="00E86508">
        <w:rPr>
          <w:b w:val="0"/>
        </w:rPr>
        <w:t>cavitand</w:t>
      </w:r>
      <w:proofErr w:type="spellEnd"/>
      <w:r w:rsidRPr="00E86508">
        <w:rPr>
          <w:b w:val="0"/>
        </w:rPr>
        <w:t xml:space="preserve"> in the complex against erythrocytes and normal cells reduced, while the toxicity against tumor cells increased. The ability of the </w:t>
      </w:r>
      <w:proofErr w:type="spellStart"/>
      <w:r w:rsidRPr="00E86508">
        <w:rPr>
          <w:b w:val="0"/>
        </w:rPr>
        <w:t>cavitand</w:t>
      </w:r>
      <w:proofErr w:type="spellEnd"/>
      <w:r w:rsidRPr="00E86508">
        <w:rPr>
          <w:b w:val="0"/>
        </w:rPr>
        <w:t xml:space="preserve"> and the complex to decrease the mitochondrial potential (</w:t>
      </w:r>
      <w:proofErr w:type="spellStart"/>
      <w:r w:rsidRPr="00E86508">
        <w:rPr>
          <w:rStyle w:val="hgkelc"/>
          <w:b w:val="0"/>
        </w:rPr>
        <w:t>ΔΨ</w:t>
      </w:r>
      <w:r w:rsidRPr="00E86508">
        <w:rPr>
          <w:rStyle w:val="hgkelc"/>
          <w:b w:val="0"/>
          <w:vertAlign w:val="subscript"/>
        </w:rPr>
        <w:t>m</w:t>
      </w:r>
      <w:proofErr w:type="spellEnd"/>
      <w:r w:rsidRPr="00E86508">
        <w:rPr>
          <w:b w:val="0"/>
        </w:rPr>
        <w:t>) of M-</w:t>
      </w:r>
      <w:proofErr w:type="spellStart"/>
      <w:r w:rsidRPr="00E86508">
        <w:rPr>
          <w:b w:val="0"/>
        </w:rPr>
        <w:t>HeLa</w:t>
      </w:r>
      <w:proofErr w:type="spellEnd"/>
      <w:r w:rsidRPr="00E86508">
        <w:rPr>
          <w:b w:val="0"/>
        </w:rPr>
        <w:t xml:space="preserve"> cells and to induce their apoptosis through the intrinsic mitochondrial pathway was investigated by flow </w:t>
      </w:r>
      <w:proofErr w:type="spellStart"/>
      <w:r w:rsidRPr="00E86508">
        <w:rPr>
          <w:b w:val="0"/>
        </w:rPr>
        <w:t>cytometry</w:t>
      </w:r>
      <w:proofErr w:type="spellEnd"/>
      <w:r w:rsidRPr="00E86508">
        <w:rPr>
          <w:b w:val="0"/>
        </w:rPr>
        <w:t xml:space="preserve"> using JC-10 dye. In normal cells with a high </w:t>
      </w:r>
      <w:proofErr w:type="spellStart"/>
      <w:r w:rsidRPr="00E86508">
        <w:rPr>
          <w:rStyle w:val="hgkelc"/>
          <w:b w:val="0"/>
        </w:rPr>
        <w:t>ΔΨ</w:t>
      </w:r>
      <w:r w:rsidRPr="00E86508">
        <w:rPr>
          <w:rStyle w:val="hgkelc"/>
          <w:b w:val="0"/>
          <w:vertAlign w:val="subscript"/>
        </w:rPr>
        <w:t>m</w:t>
      </w:r>
      <w:proofErr w:type="spellEnd"/>
      <w:r w:rsidRPr="00E86508">
        <w:rPr>
          <w:rStyle w:val="hgkelc"/>
          <w:b w:val="0"/>
        </w:rPr>
        <w:t xml:space="preserve"> value</w:t>
      </w:r>
      <w:r w:rsidRPr="00E86508">
        <w:rPr>
          <w:b w:val="0"/>
        </w:rPr>
        <w:t xml:space="preserve">, JC-10 forms aggregates with red fluorescence. When </w:t>
      </w:r>
      <w:proofErr w:type="spellStart"/>
      <w:r w:rsidRPr="00E86508">
        <w:rPr>
          <w:rStyle w:val="hgkelc"/>
          <w:b w:val="0"/>
        </w:rPr>
        <w:t>ΔΨ</w:t>
      </w:r>
      <w:r w:rsidRPr="00E86508">
        <w:rPr>
          <w:rStyle w:val="hgkelc"/>
          <w:b w:val="0"/>
          <w:vertAlign w:val="subscript"/>
        </w:rPr>
        <w:t>m</w:t>
      </w:r>
      <w:proofErr w:type="spellEnd"/>
      <w:r w:rsidRPr="00E86508">
        <w:rPr>
          <w:b w:val="0"/>
        </w:rPr>
        <w:t xml:space="preserve"> decreases due to apoptosis, JC-10 becomes uniformly distributed throughout the cell in a </w:t>
      </w:r>
      <w:proofErr w:type="spellStart"/>
      <w:r w:rsidRPr="00E86508">
        <w:rPr>
          <w:b w:val="0"/>
        </w:rPr>
        <w:t>monomeric</w:t>
      </w:r>
      <w:proofErr w:type="spellEnd"/>
      <w:r w:rsidRPr="00E86508">
        <w:rPr>
          <w:b w:val="0"/>
        </w:rPr>
        <w:t xml:space="preserve"> form with green fluorescence. The analysis of the red/green fluorescence ratio allows </w:t>
      </w:r>
      <w:proofErr w:type="gramStart"/>
      <w:r w:rsidRPr="00E86508">
        <w:rPr>
          <w:b w:val="0"/>
        </w:rPr>
        <w:t>to detect</w:t>
      </w:r>
      <w:proofErr w:type="gramEnd"/>
      <w:r w:rsidRPr="00E86508">
        <w:rPr>
          <w:b w:val="0"/>
        </w:rPr>
        <w:t xml:space="preserve"> apoptosis onset. The results obtained suggest that C</w:t>
      </w:r>
      <w:r w:rsidRPr="00E86508">
        <w:rPr>
          <w:b w:val="0"/>
          <w:vertAlign w:val="subscript"/>
        </w:rPr>
        <w:t>11</w:t>
      </w:r>
      <w:r w:rsidRPr="00E86508">
        <w:rPr>
          <w:b w:val="0"/>
        </w:rPr>
        <w:t xml:space="preserve">-TPP is able to reduce </w:t>
      </w:r>
      <w:proofErr w:type="spellStart"/>
      <w:r w:rsidRPr="00E86508">
        <w:rPr>
          <w:rStyle w:val="hgkelc"/>
          <w:b w:val="0"/>
        </w:rPr>
        <w:t>ΔΨ</w:t>
      </w:r>
      <w:r w:rsidRPr="00E86508">
        <w:rPr>
          <w:rStyle w:val="hgkelc"/>
          <w:b w:val="0"/>
          <w:vertAlign w:val="subscript"/>
        </w:rPr>
        <w:t>m</w:t>
      </w:r>
      <w:proofErr w:type="spellEnd"/>
      <w:r w:rsidRPr="00E86508">
        <w:rPr>
          <w:b w:val="0"/>
        </w:rPr>
        <w:t xml:space="preserve"> and maintain this effect in the complex (Fig. </w:t>
      </w:r>
      <w:proofErr w:type="gramStart"/>
      <w:r w:rsidRPr="00E86508">
        <w:rPr>
          <w:b w:val="0"/>
        </w:rPr>
        <w:t>S11 in the ESI).</w:t>
      </w:r>
      <w:proofErr w:type="gramEnd"/>
      <w:r w:rsidRPr="00E86508">
        <w:rPr>
          <w:b w:val="0"/>
        </w:rPr>
        <w:t xml:space="preserve"> The most significant decrease in the value of</w:t>
      </w:r>
      <w:r w:rsidRPr="00E86508">
        <w:rPr>
          <w:rStyle w:val="hgkelc"/>
          <w:b w:val="0"/>
        </w:rPr>
        <w:t xml:space="preserve"> </w:t>
      </w:r>
      <w:proofErr w:type="spellStart"/>
      <w:r w:rsidRPr="00E86508">
        <w:rPr>
          <w:rStyle w:val="hgkelc"/>
          <w:b w:val="0"/>
        </w:rPr>
        <w:t>ΔΨ</w:t>
      </w:r>
      <w:r w:rsidRPr="00E86508">
        <w:rPr>
          <w:rStyle w:val="hgkelc"/>
          <w:b w:val="0"/>
          <w:vertAlign w:val="subscript"/>
        </w:rPr>
        <w:t>m</w:t>
      </w:r>
      <w:proofErr w:type="spellEnd"/>
      <w:r w:rsidRPr="00E86508">
        <w:rPr>
          <w:b w:val="0"/>
        </w:rPr>
        <w:t xml:space="preserve"> in M-</w:t>
      </w:r>
      <w:proofErr w:type="spellStart"/>
      <w:r w:rsidRPr="00E86508">
        <w:rPr>
          <w:b w:val="0"/>
        </w:rPr>
        <w:t>HeLa</w:t>
      </w:r>
      <w:proofErr w:type="spellEnd"/>
      <w:r w:rsidRPr="00E86508">
        <w:rPr>
          <w:b w:val="0"/>
        </w:rPr>
        <w:t xml:space="preserve"> cells was observed for C</w:t>
      </w:r>
      <w:r w:rsidRPr="00E86508">
        <w:rPr>
          <w:b w:val="0"/>
          <w:vertAlign w:val="subscript"/>
        </w:rPr>
        <w:t>11</w:t>
      </w:r>
      <w:r w:rsidRPr="00E86508">
        <w:rPr>
          <w:b w:val="0"/>
        </w:rPr>
        <w:t xml:space="preserve">-TPP+PAA complex at 8 </w:t>
      </w:r>
      <w:proofErr w:type="spellStart"/>
      <w:r w:rsidRPr="00E86508">
        <w:rPr>
          <w:b w:val="0"/>
        </w:rPr>
        <w:t>μM</w:t>
      </w:r>
      <w:proofErr w:type="spellEnd"/>
      <w:r w:rsidRPr="00E86508">
        <w:rPr>
          <w:b w:val="0"/>
        </w:rPr>
        <w:t xml:space="preserve"> (Fig. 3).</w:t>
      </w:r>
    </w:p>
    <w:p w:rsidR="00AF635D" w:rsidRPr="00AF635D" w:rsidRDefault="006D75C2" w:rsidP="00AF635D">
      <w:pPr>
        <w:pStyle w:val="Captions"/>
        <w:spacing w:after="120" w:line="276" w:lineRule="auto"/>
        <w:ind w:firstLine="0"/>
        <w:jc w:val="center"/>
        <w:rPr>
          <w:rFonts w:ascii="Arial" w:hAnsi="Arial" w:cs="Arial"/>
          <w:b w:val="0"/>
          <w:sz w:val="20"/>
          <w:szCs w:val="20"/>
        </w:rPr>
      </w:pPr>
      <w:proofErr w:type="gramStart"/>
      <w:r w:rsidRPr="006D75C2">
        <w:rPr>
          <w:rFonts w:ascii="Arial" w:hAnsi="Arial" w:cs="Arial"/>
          <w:sz w:val="20"/>
          <w:szCs w:val="20"/>
        </w:rPr>
        <w:t>Table 1.</w:t>
      </w:r>
      <w:proofErr w:type="gramEnd"/>
      <w:r w:rsidRPr="006D75C2">
        <w:rPr>
          <w:rFonts w:ascii="Arial" w:hAnsi="Arial" w:cs="Arial"/>
          <w:sz w:val="20"/>
          <w:szCs w:val="20"/>
        </w:rPr>
        <w:t xml:space="preserve"> </w:t>
      </w:r>
      <w:r w:rsidRPr="006D75C2">
        <w:rPr>
          <w:rFonts w:ascii="Arial" w:hAnsi="Arial" w:cs="Arial"/>
          <w:b w:val="0"/>
          <w:sz w:val="20"/>
          <w:szCs w:val="20"/>
        </w:rPr>
        <w:t xml:space="preserve">Hemolytic activity and </w:t>
      </w:r>
      <w:proofErr w:type="spellStart"/>
      <w:r w:rsidRPr="006D75C2">
        <w:rPr>
          <w:rFonts w:ascii="Arial" w:hAnsi="Arial" w:cs="Arial"/>
          <w:b w:val="0"/>
          <w:sz w:val="20"/>
          <w:szCs w:val="20"/>
        </w:rPr>
        <w:t>cytotoxicity</w:t>
      </w:r>
      <w:proofErr w:type="spellEnd"/>
      <w:r w:rsidRPr="006D75C2">
        <w:rPr>
          <w:rFonts w:ascii="Arial" w:hAnsi="Arial" w:cs="Arial"/>
          <w:b w:val="0"/>
          <w:sz w:val="20"/>
          <w:szCs w:val="20"/>
        </w:rPr>
        <w:t xml:space="preserve"> of C</w:t>
      </w:r>
      <w:r w:rsidRPr="006D75C2">
        <w:rPr>
          <w:rFonts w:ascii="Arial" w:hAnsi="Arial" w:cs="Arial"/>
          <w:b w:val="0"/>
          <w:sz w:val="20"/>
          <w:szCs w:val="20"/>
          <w:vertAlign w:val="subscript"/>
        </w:rPr>
        <w:t>11</w:t>
      </w:r>
      <w:r w:rsidRPr="006D75C2">
        <w:rPr>
          <w:rFonts w:ascii="Arial" w:hAnsi="Arial" w:cs="Arial"/>
          <w:b w:val="0"/>
          <w:sz w:val="20"/>
          <w:szCs w:val="20"/>
        </w:rPr>
        <w:t>-TPP, PAA, and the resulting complex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006"/>
        <w:gridCol w:w="1105"/>
        <w:gridCol w:w="1228"/>
        <w:gridCol w:w="1216"/>
      </w:tblGrid>
      <w:tr w:rsidR="00AF635D" w:rsidRPr="00885D6B" w:rsidTr="00704BD0">
        <w:trPr>
          <w:trHeight w:val="2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HC</w:t>
            </w:r>
            <w:r w:rsidRPr="00AF635D">
              <w:rPr>
                <w:rFonts w:ascii="Arial" w:hAnsi="Arial" w:cs="Arial"/>
                <w:sz w:val="20"/>
                <w:szCs w:val="20"/>
                <w:vertAlign w:val="subscript"/>
              </w:rPr>
              <w:t>50</w:t>
            </w:r>
            <w:r w:rsidRPr="00AF635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6D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IC</w:t>
            </w:r>
            <w:r w:rsidRPr="00AF635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50</w:t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6D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</w:tr>
      <w:tr w:rsidR="00AF635D" w:rsidRPr="00885D6B" w:rsidTr="00704BD0">
        <w:trPr>
          <w:trHeight w:val="24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Chang liver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M-</w:t>
            </w:r>
            <w:proofErr w:type="spellStart"/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HeLa</w:t>
            </w:r>
            <w:proofErr w:type="spellEnd"/>
          </w:p>
        </w:tc>
      </w:tr>
      <w:tr w:rsidR="00AF635D" w:rsidRPr="00885D6B" w:rsidTr="00704BD0">
        <w:trPr>
          <w:trHeight w:val="245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AF635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-TPP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30.1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635D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12.6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18.4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</w:rPr>
              <w:t xml:space="preserve"> 1.7</w:t>
            </w:r>
          </w:p>
        </w:tc>
      </w:tr>
      <w:tr w:rsidR="00AF635D" w:rsidRPr="00885D6B" w:rsidTr="007F093C">
        <w:trPr>
          <w:trHeight w:val="245"/>
          <w:jc w:val="center"/>
        </w:trPr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PAA</w:t>
            </w:r>
          </w:p>
        </w:tc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</w:rPr>
              <w:t>&gt;300</w:t>
            </w:r>
          </w:p>
        </w:tc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</w:rPr>
              <w:t xml:space="preserve">121.2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 2.5</w:t>
            </w:r>
          </w:p>
        </w:tc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</w:rPr>
              <w:t>162</w:t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Pr="00AF6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 1.2</w:t>
            </w:r>
          </w:p>
        </w:tc>
      </w:tr>
      <w:tr w:rsidR="00AF635D" w:rsidRPr="00885D6B" w:rsidTr="007F093C">
        <w:trPr>
          <w:trHeight w:val="245"/>
          <w:jc w:val="center"/>
        </w:trPr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</w:rPr>
              <w:t xml:space="preserve">35.8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 2.8</w:t>
            </w:r>
          </w:p>
        </w:tc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</w:rPr>
              <w:t xml:space="preserve">14.2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 2.1</w:t>
            </w:r>
          </w:p>
        </w:tc>
        <w:tc>
          <w:tcPr>
            <w:tcW w:w="0" w:type="auto"/>
            <w:vAlign w:val="center"/>
          </w:tcPr>
          <w:p w:rsidR="00AF635D" w:rsidRPr="00AF635D" w:rsidRDefault="00AF635D" w:rsidP="007F09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635D">
              <w:rPr>
                <w:rFonts w:ascii="Arial" w:hAnsi="Arial" w:cs="Arial"/>
                <w:sz w:val="20"/>
                <w:szCs w:val="20"/>
              </w:rPr>
              <w:t xml:space="preserve">8.0 </w:t>
            </w:r>
            <w:r w:rsidRPr="00AF635D">
              <w:rPr>
                <w:rFonts w:ascii="Arial" w:hAnsi="Arial" w:cs="Arial"/>
                <w:sz w:val="20"/>
                <w:szCs w:val="20"/>
              </w:rPr>
              <w:sym w:font="Symbol" w:char="F0B1"/>
            </w:r>
            <w:r w:rsidRPr="00AF635D">
              <w:rPr>
                <w:rFonts w:ascii="Arial" w:hAnsi="Arial" w:cs="Arial"/>
                <w:sz w:val="20"/>
                <w:szCs w:val="20"/>
                <w:lang w:val="en-US"/>
              </w:rPr>
              <w:t xml:space="preserve"> 0.6</w:t>
            </w:r>
          </w:p>
        </w:tc>
      </w:tr>
    </w:tbl>
    <w:p w:rsidR="00AF635D" w:rsidRDefault="00AF635D" w:rsidP="00AF635D">
      <w:pPr>
        <w:pStyle w:val="Captions"/>
        <w:spacing w:after="120" w:line="276" w:lineRule="auto"/>
        <w:ind w:firstLine="0"/>
        <w:jc w:val="center"/>
        <w:rPr>
          <w:sz w:val="16"/>
          <w:szCs w:val="16"/>
        </w:rPr>
      </w:pPr>
      <w:r w:rsidRPr="00885D6B">
        <w:rPr>
          <w:noProof/>
          <w:lang w:val="ru-RU" w:eastAsia="ru-RU"/>
        </w:rPr>
        <w:drawing>
          <wp:inline distT="0" distB="0" distL="0" distR="0">
            <wp:extent cx="2935656" cy="988926"/>
            <wp:effectExtent l="19050" t="0" r="0" b="0"/>
            <wp:docPr id="5" name="Рисунок 6" descr="E:\Julia\2024\конференция ИНЭОС\статья\Fig 3-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ulia\2024\конференция ИНЭОС\статья\Fig 3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56" cy="9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5D" w:rsidRPr="00AF635D" w:rsidRDefault="00AF635D" w:rsidP="00AF635D">
      <w:pPr>
        <w:pStyle w:val="Captions"/>
        <w:spacing w:after="120" w:line="276" w:lineRule="auto"/>
        <w:ind w:firstLine="0"/>
        <w:rPr>
          <w:rFonts w:ascii="Arial" w:hAnsi="Arial" w:cs="Arial"/>
          <w:b w:val="0"/>
          <w:sz w:val="20"/>
          <w:szCs w:val="20"/>
        </w:rPr>
      </w:pPr>
      <w:proofErr w:type="gramStart"/>
      <w:r w:rsidRPr="00AF635D">
        <w:rPr>
          <w:rFonts w:ascii="Arial" w:hAnsi="Arial" w:cs="Arial"/>
          <w:sz w:val="20"/>
          <w:szCs w:val="20"/>
        </w:rPr>
        <w:t>Figure 2.</w:t>
      </w:r>
      <w:proofErr w:type="gramEnd"/>
      <w:r w:rsidRPr="00AF635D">
        <w:rPr>
          <w:rFonts w:ascii="Arial" w:hAnsi="Arial" w:cs="Arial"/>
          <w:b w:val="0"/>
          <w:sz w:val="20"/>
          <w:szCs w:val="20"/>
        </w:rPr>
        <w:t xml:space="preserve"> </w:t>
      </w:r>
      <w:proofErr w:type="gramStart"/>
      <w:r w:rsidRPr="00AF635D">
        <w:rPr>
          <w:rFonts w:ascii="Arial" w:hAnsi="Arial" w:cs="Arial"/>
          <w:b w:val="0"/>
          <w:sz w:val="20"/>
          <w:szCs w:val="20"/>
        </w:rPr>
        <w:t>Intensity of particle size distribution of C</w:t>
      </w:r>
      <w:r w:rsidRPr="00AF635D">
        <w:rPr>
          <w:rFonts w:ascii="Arial" w:hAnsi="Arial" w:cs="Arial"/>
          <w:b w:val="0"/>
          <w:sz w:val="20"/>
          <w:szCs w:val="20"/>
          <w:vertAlign w:val="subscript"/>
        </w:rPr>
        <w:t>11</w:t>
      </w:r>
      <w:r w:rsidRPr="00AF635D">
        <w:rPr>
          <w:rFonts w:ascii="Arial" w:hAnsi="Arial" w:cs="Arial"/>
          <w:b w:val="0"/>
          <w:sz w:val="20"/>
          <w:szCs w:val="20"/>
        </w:rPr>
        <w:t>-TPP+PAA (0.5/0.5) in PB–DMSO solution (95/5 v/v), pH 7.4 (</w:t>
      </w:r>
      <w:r w:rsidRPr="00AF635D">
        <w:rPr>
          <w:rFonts w:ascii="Arial" w:hAnsi="Arial" w:cs="Arial"/>
          <w:bCs/>
          <w:i/>
          <w:iCs/>
          <w:sz w:val="20"/>
          <w:szCs w:val="20"/>
        </w:rPr>
        <w:t>a</w:t>
      </w:r>
      <w:r w:rsidRPr="00AF635D">
        <w:rPr>
          <w:rFonts w:ascii="Arial" w:hAnsi="Arial" w:cs="Arial"/>
          <w:b w:val="0"/>
          <w:sz w:val="20"/>
          <w:szCs w:val="20"/>
        </w:rPr>
        <w:t>); the proposed scheme of C</w:t>
      </w:r>
      <w:r w:rsidRPr="00AF635D">
        <w:rPr>
          <w:rFonts w:ascii="Arial" w:hAnsi="Arial" w:cs="Arial"/>
          <w:b w:val="0"/>
          <w:sz w:val="20"/>
          <w:szCs w:val="20"/>
          <w:vertAlign w:val="subscript"/>
        </w:rPr>
        <w:t>11</w:t>
      </w:r>
      <w:r w:rsidRPr="00AF635D">
        <w:rPr>
          <w:rFonts w:ascii="Arial" w:hAnsi="Arial" w:cs="Arial"/>
          <w:b w:val="0"/>
          <w:sz w:val="20"/>
          <w:szCs w:val="20"/>
        </w:rPr>
        <w:t>-TPP+PAA complex formation (</w:t>
      </w:r>
      <w:r w:rsidRPr="00AF635D">
        <w:rPr>
          <w:rFonts w:ascii="Arial" w:hAnsi="Arial" w:cs="Arial"/>
          <w:bCs/>
          <w:i/>
          <w:iCs/>
          <w:sz w:val="20"/>
          <w:szCs w:val="20"/>
        </w:rPr>
        <w:t>b</w:t>
      </w:r>
      <w:r w:rsidRPr="00AF635D">
        <w:rPr>
          <w:rFonts w:ascii="Arial" w:hAnsi="Arial" w:cs="Arial"/>
          <w:b w:val="0"/>
          <w:sz w:val="20"/>
          <w:szCs w:val="20"/>
        </w:rPr>
        <w:t>).</w:t>
      </w:r>
      <w:proofErr w:type="gramEnd"/>
    </w:p>
    <w:p w:rsidR="00AF635D" w:rsidRPr="00AF635D" w:rsidRDefault="00AF635D" w:rsidP="00AF635D">
      <w:pPr>
        <w:pStyle w:val="Captions"/>
        <w:spacing w:after="120" w:line="276" w:lineRule="auto"/>
        <w:ind w:firstLine="0"/>
        <w:jc w:val="center"/>
        <w:rPr>
          <w:rFonts w:ascii="Arial" w:hAnsi="Arial" w:cs="Arial"/>
          <w:sz w:val="20"/>
          <w:szCs w:val="20"/>
        </w:rPr>
      </w:pPr>
      <w:r w:rsidRPr="00AF635D">
        <w:rPr>
          <w:rFonts w:ascii="Arial" w:hAnsi="Arial" w:cs="Arial"/>
          <w:noProof/>
          <w:sz w:val="20"/>
          <w:szCs w:val="20"/>
          <w:lang w:val="ru-RU" w:eastAsia="ru-RU"/>
        </w:rPr>
        <w:drawing>
          <wp:inline distT="0" distB="0" distL="0" distR="0">
            <wp:extent cx="1793013" cy="1104595"/>
            <wp:effectExtent l="19050" t="0" r="0" b="0"/>
            <wp:docPr id="1" name="Рисунок 1" descr="E:\Julia\2024\конференция ИНЭОС\статья\Fi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ulia\2024\конференция ИНЭОС\статья\Fig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33" cy="11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5D" w:rsidRPr="00AF635D" w:rsidRDefault="00AF635D" w:rsidP="00AF635D">
      <w:pPr>
        <w:pStyle w:val="Captions"/>
        <w:spacing w:before="120" w:after="200" w:line="276" w:lineRule="auto"/>
        <w:ind w:firstLine="0"/>
        <w:rPr>
          <w:rFonts w:ascii="Arial" w:hAnsi="Arial" w:cs="Arial"/>
          <w:b w:val="0"/>
          <w:sz w:val="20"/>
          <w:szCs w:val="20"/>
        </w:rPr>
      </w:pPr>
      <w:proofErr w:type="gramStart"/>
      <w:r w:rsidRPr="00AF635D">
        <w:rPr>
          <w:rFonts w:ascii="Arial" w:hAnsi="Arial" w:cs="Arial"/>
          <w:sz w:val="20"/>
          <w:szCs w:val="20"/>
        </w:rPr>
        <w:t>Figure 3.</w:t>
      </w:r>
      <w:proofErr w:type="gramEnd"/>
      <w:r w:rsidRPr="00AF635D">
        <w:rPr>
          <w:rFonts w:ascii="Arial" w:hAnsi="Arial" w:cs="Arial"/>
          <w:b w:val="0"/>
          <w:sz w:val="20"/>
          <w:szCs w:val="20"/>
        </w:rPr>
        <w:t xml:space="preserve"> Percentage of cells with green fluorescence of JC-10 after treatment of M-</w:t>
      </w:r>
      <w:proofErr w:type="spellStart"/>
      <w:r w:rsidRPr="00AF635D">
        <w:rPr>
          <w:rFonts w:ascii="Arial" w:hAnsi="Arial" w:cs="Arial"/>
          <w:b w:val="0"/>
          <w:sz w:val="20"/>
          <w:szCs w:val="20"/>
        </w:rPr>
        <w:t>HeLa</w:t>
      </w:r>
      <w:proofErr w:type="spellEnd"/>
      <w:r w:rsidRPr="00AF635D">
        <w:rPr>
          <w:rFonts w:ascii="Arial" w:hAnsi="Arial" w:cs="Arial"/>
          <w:b w:val="0"/>
          <w:sz w:val="20"/>
          <w:szCs w:val="20"/>
        </w:rPr>
        <w:t xml:space="preserve"> cells with the samples. The values are presented as the mean ± SD (standard deviation). The experiments were performed in triplicate. </w:t>
      </w:r>
      <w:r w:rsidRPr="00AF635D">
        <w:rPr>
          <w:rFonts w:ascii="Arial" w:hAnsi="Arial" w:cs="Arial"/>
          <w:b w:val="0"/>
          <w:i/>
          <w:iCs/>
          <w:sz w:val="20"/>
          <w:szCs w:val="20"/>
        </w:rPr>
        <w:t>P</w:t>
      </w:r>
      <w:r w:rsidRPr="00AF635D">
        <w:rPr>
          <w:rFonts w:ascii="Arial" w:hAnsi="Arial" w:cs="Arial"/>
          <w:b w:val="0"/>
          <w:sz w:val="20"/>
          <w:szCs w:val="20"/>
        </w:rPr>
        <w:t xml:space="preserve"> &lt; 0.01 compared to the control.</w:t>
      </w:r>
    </w:p>
    <w:p w:rsidR="00F376FB" w:rsidRPr="00565D0F" w:rsidRDefault="00875175" w:rsidP="00315C19">
      <w:pPr>
        <w:spacing w:before="240" w:after="240"/>
        <w:rPr>
          <w:rFonts w:ascii="Arial" w:hAnsi="Arial" w:cs="Arial"/>
          <w:b/>
          <w:sz w:val="28"/>
          <w:lang w:val="en-US"/>
        </w:rPr>
      </w:pPr>
      <w:r w:rsidRPr="00565D0F">
        <w:rPr>
          <w:rFonts w:ascii="Arial" w:hAnsi="Arial" w:cs="Arial"/>
          <w:b/>
          <w:sz w:val="28"/>
          <w:lang w:val="en-US"/>
        </w:rPr>
        <w:t>Conclusions</w:t>
      </w:r>
    </w:p>
    <w:p w:rsidR="00F94740" w:rsidRPr="00AF635D" w:rsidRDefault="00AF635D" w:rsidP="00922AD7">
      <w:pPr>
        <w:pStyle w:val="MainText"/>
        <w:ind w:firstLine="0"/>
        <w:rPr>
          <w:rFonts w:ascii="Arial" w:hAnsi="Arial" w:cs="Arial"/>
          <w:sz w:val="22"/>
          <w:szCs w:val="22"/>
        </w:rPr>
      </w:pPr>
      <w:r w:rsidRPr="00AF635D">
        <w:rPr>
          <w:rFonts w:ascii="Arial" w:hAnsi="Arial" w:cs="Arial"/>
          <w:sz w:val="22"/>
          <w:szCs w:val="22"/>
        </w:rPr>
        <w:t xml:space="preserve">Hence, the </w:t>
      </w:r>
      <w:proofErr w:type="spellStart"/>
      <w:r w:rsidRPr="00AF635D">
        <w:rPr>
          <w:rFonts w:ascii="Arial" w:hAnsi="Arial" w:cs="Arial"/>
          <w:sz w:val="22"/>
          <w:szCs w:val="22"/>
        </w:rPr>
        <w:t>cavitand</w:t>
      </w:r>
      <w:proofErr w:type="spellEnd"/>
      <w:r w:rsidRPr="00AF635D">
        <w:rPr>
          <w:rFonts w:ascii="Arial" w:hAnsi="Arial" w:cs="Arial"/>
          <w:sz w:val="22"/>
          <w:szCs w:val="22"/>
        </w:rPr>
        <w:t xml:space="preserve"> bearing TPP units was synthesized that exhibit toxicity against M-</w:t>
      </w:r>
      <w:proofErr w:type="spellStart"/>
      <w:r w:rsidRPr="00AF635D">
        <w:rPr>
          <w:rFonts w:ascii="Arial" w:hAnsi="Arial" w:cs="Arial"/>
          <w:sz w:val="22"/>
          <w:szCs w:val="22"/>
        </w:rPr>
        <w:t>HeLa</w:t>
      </w:r>
      <w:proofErr w:type="spellEnd"/>
      <w:r w:rsidRPr="00AF635D">
        <w:rPr>
          <w:rFonts w:ascii="Arial" w:hAnsi="Arial" w:cs="Arial"/>
          <w:sz w:val="22"/>
          <w:szCs w:val="22"/>
        </w:rPr>
        <w:t xml:space="preserve"> cancer cells </w:t>
      </w:r>
      <w:r w:rsidRPr="00AF635D">
        <w:rPr>
          <w:rFonts w:ascii="Arial" w:hAnsi="Arial" w:cs="Arial"/>
          <w:i/>
          <w:iCs/>
          <w:sz w:val="22"/>
          <w:szCs w:val="22"/>
        </w:rPr>
        <w:t>via</w:t>
      </w:r>
      <w:r w:rsidRPr="00AF635D">
        <w:rPr>
          <w:rFonts w:ascii="Arial" w:hAnsi="Arial" w:cs="Arial"/>
          <w:sz w:val="22"/>
          <w:szCs w:val="22"/>
        </w:rPr>
        <w:t xml:space="preserve"> apoptosis through the intrinsic mitochondrial pathway. It was shown that it forms a complex with PAA, which, at the C</w:t>
      </w:r>
      <w:r w:rsidRPr="00AF635D">
        <w:rPr>
          <w:rFonts w:ascii="Arial" w:hAnsi="Arial" w:cs="Arial"/>
          <w:sz w:val="22"/>
          <w:szCs w:val="22"/>
          <w:vertAlign w:val="subscript"/>
        </w:rPr>
        <w:t>11</w:t>
      </w:r>
      <w:r w:rsidRPr="00AF635D">
        <w:rPr>
          <w:rFonts w:ascii="Arial" w:hAnsi="Arial" w:cs="Arial"/>
          <w:sz w:val="22"/>
          <w:szCs w:val="22"/>
        </w:rPr>
        <w:t xml:space="preserve">-TPP/PAA molar ratio of 1/1, has a size of 295 nm (PDI 0.214) in PB pH 7.4 and zeta potential of +36.2 mV, and can serve as a </w:t>
      </w:r>
      <w:proofErr w:type="spellStart"/>
      <w:r w:rsidRPr="00AF635D">
        <w:rPr>
          <w:rFonts w:ascii="Arial" w:hAnsi="Arial" w:cs="Arial"/>
          <w:sz w:val="22"/>
          <w:szCs w:val="22"/>
        </w:rPr>
        <w:t>nanocontainer</w:t>
      </w:r>
      <w:proofErr w:type="spellEnd"/>
      <w:r w:rsidRPr="00AF635D">
        <w:rPr>
          <w:rFonts w:ascii="Arial" w:hAnsi="Arial" w:cs="Arial"/>
          <w:sz w:val="22"/>
          <w:szCs w:val="22"/>
        </w:rPr>
        <w:t xml:space="preserve"> for cargo delivery. It was also demonstrated that C</w:t>
      </w:r>
      <w:r w:rsidRPr="00AF635D">
        <w:rPr>
          <w:rFonts w:ascii="Arial" w:hAnsi="Arial" w:cs="Arial"/>
          <w:sz w:val="22"/>
          <w:szCs w:val="22"/>
          <w:vertAlign w:val="subscript"/>
        </w:rPr>
        <w:t>11</w:t>
      </w:r>
      <w:r w:rsidRPr="00AF635D">
        <w:rPr>
          <w:rFonts w:ascii="Arial" w:hAnsi="Arial" w:cs="Arial"/>
          <w:sz w:val="22"/>
          <w:szCs w:val="22"/>
        </w:rPr>
        <w:t xml:space="preserve">-TPP+PAA complex has lower toxicity towards red blood cells </w:t>
      </w:r>
      <w:r w:rsidRPr="00AF635D">
        <w:rPr>
          <w:rFonts w:ascii="Arial" w:hAnsi="Arial" w:cs="Arial"/>
          <w:sz w:val="22"/>
          <w:szCs w:val="22"/>
        </w:rPr>
        <w:lastRenderedPageBreak/>
        <w:t xml:space="preserve">and normal liver cells compared to the </w:t>
      </w:r>
      <w:proofErr w:type="spellStart"/>
      <w:r w:rsidRPr="00AF635D">
        <w:rPr>
          <w:rFonts w:ascii="Arial" w:hAnsi="Arial" w:cs="Arial"/>
          <w:sz w:val="22"/>
          <w:szCs w:val="22"/>
        </w:rPr>
        <w:t>cavitand</w:t>
      </w:r>
      <w:proofErr w:type="spellEnd"/>
      <w:r w:rsidRPr="00AF635D">
        <w:rPr>
          <w:rFonts w:ascii="Arial" w:hAnsi="Arial" w:cs="Arial"/>
          <w:sz w:val="22"/>
          <w:szCs w:val="22"/>
        </w:rPr>
        <w:t>. However, the toxicity of the complex towards M-</w:t>
      </w:r>
      <w:proofErr w:type="spellStart"/>
      <w:r w:rsidRPr="00AF635D">
        <w:rPr>
          <w:rFonts w:ascii="Arial" w:hAnsi="Arial" w:cs="Arial"/>
          <w:sz w:val="22"/>
          <w:szCs w:val="22"/>
        </w:rPr>
        <w:t>HeLa</w:t>
      </w:r>
      <w:proofErr w:type="spellEnd"/>
      <w:r w:rsidRPr="00AF635D">
        <w:rPr>
          <w:rFonts w:ascii="Arial" w:hAnsi="Arial" w:cs="Arial"/>
          <w:sz w:val="22"/>
          <w:szCs w:val="22"/>
        </w:rPr>
        <w:t xml:space="preserve"> is higher than that of the </w:t>
      </w:r>
      <w:proofErr w:type="spellStart"/>
      <w:r w:rsidRPr="00AF635D">
        <w:rPr>
          <w:rFonts w:ascii="Arial" w:hAnsi="Arial" w:cs="Arial"/>
          <w:sz w:val="22"/>
          <w:szCs w:val="22"/>
        </w:rPr>
        <w:t>cavitand</w:t>
      </w:r>
      <w:proofErr w:type="spellEnd"/>
      <w:r w:rsidRPr="00AF635D">
        <w:rPr>
          <w:rFonts w:ascii="Arial" w:hAnsi="Arial" w:cs="Arial"/>
          <w:sz w:val="22"/>
          <w:szCs w:val="22"/>
        </w:rPr>
        <w:t>, indicating its potential to serve as MT DDS.</w:t>
      </w:r>
    </w:p>
    <w:p w:rsidR="00F94740" w:rsidRPr="00565D0F" w:rsidRDefault="00F94740" w:rsidP="00315C19">
      <w:pPr>
        <w:pStyle w:val="Header1"/>
        <w:spacing w:before="240" w:after="240"/>
        <w:rPr>
          <w:sz w:val="28"/>
        </w:rPr>
      </w:pPr>
      <w:r w:rsidRPr="00565D0F">
        <w:rPr>
          <w:sz w:val="28"/>
        </w:rPr>
        <w:t>Acknowledgements</w:t>
      </w:r>
    </w:p>
    <w:p w:rsidR="00922AD7" w:rsidRPr="00AF635D" w:rsidRDefault="00AF635D" w:rsidP="00922AD7">
      <w:pPr>
        <w:pStyle w:val="MainText"/>
        <w:ind w:firstLine="0"/>
        <w:rPr>
          <w:rFonts w:ascii="Arial" w:hAnsi="Arial" w:cs="Arial"/>
          <w:sz w:val="28"/>
        </w:rPr>
      </w:pPr>
      <w:r w:rsidRPr="00AF635D">
        <w:rPr>
          <w:rFonts w:ascii="Arial" w:hAnsi="Arial" w:cs="Arial"/>
          <w:sz w:val="22"/>
        </w:rPr>
        <w:t>This work was performed within the government assignment for the FRC Kazan Scientific Center of the Russian Academy of Sciences. The authors are grateful to the Assigned Spectral-Analytical Center of the FRC Kazan Scientific Center of the Russian Academy of Sciences.</w:t>
      </w:r>
    </w:p>
    <w:p w:rsidR="00C57C43" w:rsidRPr="00C57C43" w:rsidRDefault="00C57C43" w:rsidP="00C57C43">
      <w:pPr>
        <w:pStyle w:val="Header1"/>
        <w:spacing w:before="240" w:after="240"/>
        <w:rPr>
          <w:sz w:val="28"/>
          <w:szCs w:val="28"/>
        </w:rPr>
      </w:pPr>
      <w:r w:rsidRPr="00C57C43">
        <w:rPr>
          <w:sz w:val="28"/>
          <w:szCs w:val="28"/>
        </w:rPr>
        <w:t>Electronic supplementary information</w:t>
      </w:r>
    </w:p>
    <w:p w:rsidR="00704BD0" w:rsidRPr="00AF635D" w:rsidRDefault="00AF635D" w:rsidP="00704BD0">
      <w:pPr>
        <w:pStyle w:val="Header1"/>
        <w:spacing w:before="0" w:after="0"/>
        <w:jc w:val="both"/>
        <w:rPr>
          <w:b w:val="0"/>
          <w:sz w:val="28"/>
        </w:rPr>
      </w:pPr>
      <w:r w:rsidRPr="00AF635D">
        <w:rPr>
          <w:b w:val="0"/>
          <w:szCs w:val="18"/>
        </w:rPr>
        <w:t>Electronic supplementary information (ESI) available online: the synthesis of C</w:t>
      </w:r>
      <w:r w:rsidRPr="00AF635D">
        <w:rPr>
          <w:b w:val="0"/>
          <w:szCs w:val="18"/>
          <w:vertAlign w:val="subscript"/>
        </w:rPr>
        <w:t>11</w:t>
      </w:r>
      <w:r w:rsidRPr="00AF635D">
        <w:rPr>
          <w:b w:val="0"/>
          <w:szCs w:val="18"/>
        </w:rPr>
        <w:t xml:space="preserve">-TPP, </w:t>
      </w:r>
      <w:r w:rsidRPr="00AF635D">
        <w:rPr>
          <w:b w:val="0"/>
          <w:szCs w:val="18"/>
          <w:vertAlign w:val="superscript"/>
        </w:rPr>
        <w:t>1</w:t>
      </w:r>
      <w:r w:rsidRPr="00AF635D">
        <w:rPr>
          <w:b w:val="0"/>
          <w:szCs w:val="18"/>
        </w:rPr>
        <w:t xml:space="preserve">H and </w:t>
      </w:r>
      <w:r w:rsidRPr="00AF635D">
        <w:rPr>
          <w:b w:val="0"/>
          <w:szCs w:val="18"/>
          <w:vertAlign w:val="superscript"/>
        </w:rPr>
        <w:t>13</w:t>
      </w:r>
      <w:r w:rsidRPr="00AF635D">
        <w:rPr>
          <w:b w:val="0"/>
          <w:szCs w:val="18"/>
        </w:rPr>
        <w:t>C NMR spectra of C</w:t>
      </w:r>
      <w:r w:rsidRPr="00AF635D">
        <w:rPr>
          <w:b w:val="0"/>
          <w:szCs w:val="18"/>
          <w:vertAlign w:val="subscript"/>
        </w:rPr>
        <w:t>11</w:t>
      </w:r>
      <w:r w:rsidRPr="00AF635D">
        <w:rPr>
          <w:b w:val="0"/>
          <w:szCs w:val="18"/>
        </w:rPr>
        <w:t>-TPP, IR spectra of C</w:t>
      </w:r>
      <w:r w:rsidRPr="00AF635D">
        <w:rPr>
          <w:b w:val="0"/>
          <w:szCs w:val="18"/>
          <w:vertAlign w:val="subscript"/>
        </w:rPr>
        <w:t>11</w:t>
      </w:r>
      <w:r w:rsidRPr="00AF635D">
        <w:rPr>
          <w:b w:val="0"/>
          <w:szCs w:val="18"/>
        </w:rPr>
        <w:t xml:space="preserve">-TPP, PAA and the resulting complex, DLS, fluorescence and conductivity data, the data of Fl release, the </w:t>
      </w:r>
      <w:r w:rsidRPr="00AF635D">
        <w:rPr>
          <w:b w:val="0"/>
          <w:i/>
          <w:iCs/>
          <w:szCs w:val="18"/>
        </w:rPr>
        <w:t>in vitro</w:t>
      </w:r>
      <w:r w:rsidRPr="00AF635D">
        <w:rPr>
          <w:b w:val="0"/>
          <w:szCs w:val="18"/>
        </w:rPr>
        <w:t xml:space="preserve"> toxicity and flow </w:t>
      </w:r>
      <w:proofErr w:type="spellStart"/>
      <w:r w:rsidRPr="00AF635D">
        <w:rPr>
          <w:b w:val="0"/>
          <w:szCs w:val="18"/>
        </w:rPr>
        <w:t>cytometry</w:t>
      </w:r>
      <w:proofErr w:type="spellEnd"/>
      <w:r w:rsidRPr="00AF635D">
        <w:rPr>
          <w:b w:val="0"/>
          <w:szCs w:val="18"/>
        </w:rPr>
        <w:t xml:space="preserve"> data. For ESI, see DOI: 10.32931/io2508a.</w:t>
      </w:r>
    </w:p>
    <w:p w:rsidR="00F94740" w:rsidRPr="00565D0F" w:rsidRDefault="00F94740" w:rsidP="00161894">
      <w:pPr>
        <w:pStyle w:val="Header1"/>
        <w:spacing w:before="240" w:after="240"/>
        <w:rPr>
          <w:sz w:val="28"/>
        </w:rPr>
      </w:pPr>
      <w:r w:rsidRPr="00565D0F">
        <w:rPr>
          <w:sz w:val="28"/>
        </w:rPr>
        <w:t>References</w:t>
      </w:r>
    </w:p>
    <w:p w:rsidR="002C295A" w:rsidRPr="00AF635D" w:rsidRDefault="00AF635D" w:rsidP="00C57C43">
      <w:pPr>
        <w:pStyle w:val="References"/>
        <w:numPr>
          <w:ilvl w:val="0"/>
          <w:numId w:val="12"/>
        </w:numPr>
        <w:spacing w:line="264" w:lineRule="auto"/>
        <w:ind w:left="284" w:hanging="284"/>
        <w:rPr>
          <w:rFonts w:ascii="Arial" w:hAnsi="Arial" w:cs="Arial"/>
          <w:sz w:val="32"/>
          <w:szCs w:val="22"/>
        </w:rPr>
      </w:pPr>
      <w:r w:rsidRPr="00AF635D">
        <w:rPr>
          <w:rFonts w:ascii="Arial" w:hAnsi="Arial" w:cs="Arial"/>
          <w:sz w:val="22"/>
          <w:szCs w:val="16"/>
        </w:rPr>
        <w:t xml:space="preserve">B. </w:t>
      </w:r>
      <w:proofErr w:type="spellStart"/>
      <w:r w:rsidRPr="00AF635D">
        <w:rPr>
          <w:rFonts w:ascii="Arial" w:hAnsi="Arial" w:cs="Arial"/>
          <w:sz w:val="22"/>
          <w:szCs w:val="16"/>
        </w:rPr>
        <w:t>Akash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S. </w:t>
      </w:r>
      <w:proofErr w:type="spellStart"/>
      <w:r w:rsidRPr="00AF635D">
        <w:rPr>
          <w:rFonts w:ascii="Arial" w:hAnsi="Arial" w:cs="Arial"/>
          <w:sz w:val="22"/>
          <w:szCs w:val="16"/>
        </w:rPr>
        <w:t>Ravindranath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 xml:space="preserve">J. Drug Delivery </w:t>
      </w:r>
      <w:proofErr w:type="spellStart"/>
      <w:proofErr w:type="gramStart"/>
      <w:r w:rsidRPr="00AF635D">
        <w:rPr>
          <w:rFonts w:ascii="Arial" w:hAnsi="Arial" w:cs="Arial"/>
          <w:i/>
          <w:sz w:val="22"/>
          <w:szCs w:val="16"/>
        </w:rPr>
        <w:t>Ther</w:t>
      </w:r>
      <w:proofErr w:type="spellEnd"/>
      <w:r w:rsidRPr="00AF635D">
        <w:rPr>
          <w:rFonts w:ascii="Arial" w:hAnsi="Arial" w:cs="Arial"/>
          <w:i/>
          <w:sz w:val="22"/>
          <w:szCs w:val="16"/>
        </w:rPr>
        <w:t>.</w:t>
      </w:r>
      <w:r w:rsidRPr="00AF635D">
        <w:rPr>
          <w:rFonts w:ascii="Arial" w:hAnsi="Arial" w:cs="Arial"/>
          <w:iCs/>
          <w:sz w:val="22"/>
          <w:szCs w:val="16"/>
        </w:rPr>
        <w:t>,</w:t>
      </w:r>
      <w:proofErr w:type="gramEnd"/>
      <w:r w:rsidRPr="00AF635D">
        <w:rPr>
          <w:rFonts w:ascii="Arial" w:hAnsi="Arial" w:cs="Arial"/>
          <w:iCs/>
          <w:sz w:val="22"/>
          <w:szCs w:val="16"/>
        </w:rPr>
        <w:t xml:space="preserve"> </w:t>
      </w:r>
      <w:r w:rsidRPr="00AF635D">
        <w:rPr>
          <w:rFonts w:ascii="Arial" w:hAnsi="Arial" w:cs="Arial"/>
          <w:b/>
          <w:sz w:val="22"/>
          <w:szCs w:val="16"/>
        </w:rPr>
        <w:t>2019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9</w:t>
      </w:r>
      <w:r w:rsidRPr="00AF635D">
        <w:rPr>
          <w:rFonts w:ascii="Arial" w:hAnsi="Arial" w:cs="Arial"/>
          <w:sz w:val="22"/>
          <w:szCs w:val="16"/>
        </w:rPr>
        <w:t>, 517–521. DOI: 10.22270/jddt.v9i3.2610</w:t>
      </w:r>
    </w:p>
    <w:p w:rsidR="00C57C43" w:rsidRPr="00AF635D" w:rsidRDefault="00AF635D" w:rsidP="00C57C43">
      <w:pPr>
        <w:pStyle w:val="References"/>
        <w:numPr>
          <w:ilvl w:val="0"/>
          <w:numId w:val="12"/>
        </w:numPr>
        <w:spacing w:line="264" w:lineRule="auto"/>
        <w:ind w:left="284" w:hanging="284"/>
        <w:rPr>
          <w:rFonts w:ascii="Arial" w:hAnsi="Arial" w:cs="Arial"/>
          <w:sz w:val="32"/>
          <w:szCs w:val="22"/>
        </w:rPr>
      </w:pPr>
      <w:r w:rsidRPr="00AF635D">
        <w:rPr>
          <w:rFonts w:ascii="Arial" w:hAnsi="Arial" w:cs="Arial"/>
          <w:sz w:val="22"/>
          <w:szCs w:val="16"/>
        </w:rPr>
        <w:t xml:space="preserve">A. </w:t>
      </w:r>
      <w:proofErr w:type="spellStart"/>
      <w:r w:rsidRPr="00AF635D">
        <w:rPr>
          <w:rFonts w:ascii="Arial" w:hAnsi="Arial" w:cs="Arial"/>
          <w:sz w:val="22"/>
          <w:szCs w:val="16"/>
        </w:rPr>
        <w:t>Prajapati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S. </w:t>
      </w:r>
      <w:proofErr w:type="spellStart"/>
      <w:r w:rsidRPr="00AF635D">
        <w:rPr>
          <w:rFonts w:ascii="Arial" w:hAnsi="Arial" w:cs="Arial"/>
          <w:sz w:val="22"/>
          <w:szCs w:val="16"/>
        </w:rPr>
        <w:t>Rangra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R. </w:t>
      </w:r>
      <w:proofErr w:type="spellStart"/>
      <w:r w:rsidRPr="00AF635D">
        <w:rPr>
          <w:rFonts w:ascii="Arial" w:hAnsi="Arial" w:cs="Arial"/>
          <w:sz w:val="22"/>
          <w:szCs w:val="16"/>
        </w:rPr>
        <w:t>Patil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N. Desai, V. G. S. S. </w:t>
      </w:r>
      <w:proofErr w:type="spellStart"/>
      <w:r w:rsidRPr="00AF635D">
        <w:rPr>
          <w:rFonts w:ascii="Arial" w:hAnsi="Arial" w:cs="Arial"/>
          <w:sz w:val="22"/>
          <w:szCs w:val="16"/>
        </w:rPr>
        <w:t>Jyothi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S. </w:t>
      </w:r>
      <w:proofErr w:type="spellStart"/>
      <w:r w:rsidRPr="00AF635D">
        <w:rPr>
          <w:rFonts w:ascii="Arial" w:hAnsi="Arial" w:cs="Arial"/>
          <w:sz w:val="22"/>
          <w:szCs w:val="16"/>
        </w:rPr>
        <w:t>Salave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P. </w:t>
      </w:r>
      <w:proofErr w:type="spellStart"/>
      <w:r w:rsidRPr="00AF635D">
        <w:rPr>
          <w:rFonts w:ascii="Arial" w:hAnsi="Arial" w:cs="Arial"/>
          <w:sz w:val="22"/>
          <w:szCs w:val="16"/>
        </w:rPr>
        <w:t>Amate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D. </w:t>
      </w:r>
      <w:proofErr w:type="spellStart"/>
      <w:r w:rsidRPr="00AF635D">
        <w:rPr>
          <w:rFonts w:ascii="Arial" w:hAnsi="Arial" w:cs="Arial"/>
          <w:sz w:val="22"/>
          <w:szCs w:val="16"/>
        </w:rPr>
        <w:t>Benival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N. </w:t>
      </w:r>
      <w:proofErr w:type="spellStart"/>
      <w:r w:rsidRPr="00AF635D">
        <w:rPr>
          <w:rFonts w:ascii="Arial" w:hAnsi="Arial" w:cs="Arial"/>
          <w:sz w:val="22"/>
          <w:szCs w:val="16"/>
        </w:rPr>
        <w:t>Kommineni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Receptors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b/>
          <w:sz w:val="22"/>
          <w:szCs w:val="16"/>
        </w:rPr>
        <w:t>2024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3</w:t>
      </w:r>
      <w:r w:rsidRPr="00AF635D">
        <w:rPr>
          <w:rFonts w:ascii="Arial" w:hAnsi="Arial" w:cs="Arial"/>
          <w:sz w:val="22"/>
          <w:szCs w:val="16"/>
        </w:rPr>
        <w:t>, 323–361. DOI: 10.3390/receptors3030016</w:t>
      </w:r>
    </w:p>
    <w:p w:rsidR="00C57C43" w:rsidRPr="00AF635D" w:rsidRDefault="00AF635D" w:rsidP="00C57C43">
      <w:pPr>
        <w:pStyle w:val="References"/>
        <w:numPr>
          <w:ilvl w:val="0"/>
          <w:numId w:val="12"/>
        </w:numPr>
        <w:spacing w:line="264" w:lineRule="auto"/>
        <w:ind w:left="284" w:hanging="284"/>
        <w:rPr>
          <w:rFonts w:ascii="Arial" w:hAnsi="Arial" w:cs="Arial"/>
          <w:sz w:val="32"/>
          <w:szCs w:val="22"/>
        </w:rPr>
      </w:pPr>
      <w:r w:rsidRPr="00AF635D">
        <w:rPr>
          <w:rFonts w:ascii="Arial" w:hAnsi="Arial" w:cs="Arial"/>
          <w:sz w:val="22"/>
          <w:szCs w:val="16"/>
        </w:rPr>
        <w:t xml:space="preserve">D. Singh, </w:t>
      </w:r>
      <w:r w:rsidRPr="00AF635D">
        <w:rPr>
          <w:rFonts w:ascii="Arial" w:hAnsi="Arial" w:cs="Arial"/>
          <w:i/>
          <w:sz w:val="22"/>
          <w:szCs w:val="16"/>
        </w:rPr>
        <w:t>Mitochondrion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b/>
          <w:sz w:val="22"/>
          <w:szCs w:val="16"/>
        </w:rPr>
        <w:t>2024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74</w:t>
      </w:r>
      <w:r w:rsidRPr="00AF635D">
        <w:rPr>
          <w:rFonts w:ascii="Arial" w:hAnsi="Arial" w:cs="Arial"/>
          <w:sz w:val="22"/>
          <w:szCs w:val="16"/>
        </w:rPr>
        <w:t>, 101826. DOI: 10.1016/j.mito.2023.101826</w:t>
      </w:r>
    </w:p>
    <w:p w:rsidR="00C57C43" w:rsidRPr="00AF635D" w:rsidRDefault="00AF635D" w:rsidP="00C57C43">
      <w:pPr>
        <w:pStyle w:val="References"/>
        <w:numPr>
          <w:ilvl w:val="0"/>
          <w:numId w:val="12"/>
        </w:numPr>
        <w:spacing w:line="264" w:lineRule="auto"/>
        <w:ind w:left="284" w:hanging="284"/>
        <w:rPr>
          <w:rFonts w:ascii="Arial" w:hAnsi="Arial" w:cs="Arial"/>
          <w:sz w:val="32"/>
          <w:szCs w:val="22"/>
        </w:rPr>
      </w:pPr>
      <w:r w:rsidRPr="00AF635D">
        <w:rPr>
          <w:rFonts w:ascii="Arial" w:hAnsi="Arial" w:cs="Arial"/>
          <w:sz w:val="22"/>
          <w:szCs w:val="16"/>
        </w:rPr>
        <w:t xml:space="preserve">S. </w:t>
      </w:r>
      <w:proofErr w:type="spellStart"/>
      <w:r w:rsidRPr="00AF635D">
        <w:rPr>
          <w:rFonts w:ascii="Arial" w:hAnsi="Arial" w:cs="Arial"/>
          <w:sz w:val="22"/>
          <w:szCs w:val="16"/>
        </w:rPr>
        <w:t>Batheja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S. Gupta, K. K. </w:t>
      </w:r>
      <w:proofErr w:type="spellStart"/>
      <w:r w:rsidRPr="00AF635D">
        <w:rPr>
          <w:rFonts w:ascii="Arial" w:hAnsi="Arial" w:cs="Arial"/>
          <w:sz w:val="22"/>
          <w:szCs w:val="16"/>
        </w:rPr>
        <w:t>Tejavath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U. Gupta, </w:t>
      </w:r>
      <w:r w:rsidRPr="00AF635D">
        <w:rPr>
          <w:rFonts w:ascii="Arial" w:hAnsi="Arial" w:cs="Arial"/>
          <w:i/>
          <w:sz w:val="22"/>
          <w:szCs w:val="16"/>
        </w:rPr>
        <w:t>Drug Discovery Today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b/>
          <w:sz w:val="22"/>
          <w:szCs w:val="16"/>
        </w:rPr>
        <w:t>2024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29</w:t>
      </w:r>
      <w:r w:rsidRPr="00AF635D">
        <w:rPr>
          <w:rFonts w:ascii="Arial" w:hAnsi="Arial" w:cs="Arial"/>
          <w:sz w:val="22"/>
          <w:szCs w:val="16"/>
        </w:rPr>
        <w:t>, 103983. DOI: 10.1016/j.drudis.2024.103983</w:t>
      </w:r>
    </w:p>
    <w:p w:rsidR="00C57C43" w:rsidRPr="00AF635D" w:rsidRDefault="00AF635D" w:rsidP="00C57C43">
      <w:pPr>
        <w:pStyle w:val="References"/>
        <w:numPr>
          <w:ilvl w:val="0"/>
          <w:numId w:val="12"/>
        </w:numPr>
        <w:spacing w:line="264" w:lineRule="auto"/>
        <w:ind w:left="284" w:hanging="284"/>
        <w:rPr>
          <w:rFonts w:ascii="Arial" w:hAnsi="Arial" w:cs="Arial"/>
          <w:sz w:val="32"/>
          <w:szCs w:val="22"/>
        </w:rPr>
      </w:pPr>
      <w:r w:rsidRPr="00AF635D">
        <w:rPr>
          <w:rFonts w:ascii="Arial" w:hAnsi="Arial" w:cs="Arial"/>
          <w:sz w:val="22"/>
          <w:szCs w:val="16"/>
        </w:rPr>
        <w:t xml:space="preserve">J. A. </w:t>
      </w:r>
      <w:proofErr w:type="spellStart"/>
      <w:r w:rsidRPr="00AF635D">
        <w:rPr>
          <w:rFonts w:ascii="Arial" w:hAnsi="Arial" w:cs="Arial"/>
          <w:sz w:val="22"/>
          <w:szCs w:val="16"/>
        </w:rPr>
        <w:t>Gajjar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R. H. </w:t>
      </w:r>
      <w:proofErr w:type="spellStart"/>
      <w:r w:rsidRPr="00AF635D">
        <w:rPr>
          <w:rFonts w:ascii="Arial" w:hAnsi="Arial" w:cs="Arial"/>
          <w:sz w:val="22"/>
          <w:szCs w:val="16"/>
        </w:rPr>
        <w:t>Vekariya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H. M. Parekh, </w:t>
      </w:r>
      <w:proofErr w:type="spellStart"/>
      <w:r w:rsidRPr="00AF635D">
        <w:rPr>
          <w:rFonts w:ascii="Arial" w:hAnsi="Arial" w:cs="Arial"/>
          <w:i/>
          <w:sz w:val="22"/>
          <w:szCs w:val="16"/>
        </w:rPr>
        <w:t>Synth</w:t>
      </w:r>
      <w:proofErr w:type="spellEnd"/>
      <w:r w:rsidRPr="00AF635D">
        <w:rPr>
          <w:rFonts w:ascii="Arial" w:hAnsi="Arial" w:cs="Arial"/>
          <w:i/>
          <w:sz w:val="22"/>
          <w:szCs w:val="16"/>
        </w:rPr>
        <w:t xml:space="preserve">. </w:t>
      </w:r>
      <w:proofErr w:type="spellStart"/>
      <w:proofErr w:type="gramStart"/>
      <w:r w:rsidRPr="00AF635D">
        <w:rPr>
          <w:rFonts w:ascii="Arial" w:hAnsi="Arial" w:cs="Arial"/>
          <w:i/>
          <w:sz w:val="22"/>
          <w:szCs w:val="16"/>
        </w:rPr>
        <w:t>Commun</w:t>
      </w:r>
      <w:proofErr w:type="spellEnd"/>
      <w:r w:rsidRPr="00AF635D">
        <w:rPr>
          <w:rFonts w:ascii="Arial" w:hAnsi="Arial" w:cs="Arial"/>
          <w:i/>
          <w:sz w:val="22"/>
          <w:szCs w:val="16"/>
        </w:rPr>
        <w:t>.</w:t>
      </w:r>
      <w:r w:rsidRPr="00AF635D">
        <w:rPr>
          <w:rFonts w:ascii="Arial" w:hAnsi="Arial" w:cs="Arial"/>
          <w:sz w:val="22"/>
          <w:szCs w:val="16"/>
        </w:rPr>
        <w:t>,</w:t>
      </w:r>
      <w:proofErr w:type="gramEnd"/>
      <w:r w:rsidRPr="00AF635D">
        <w:rPr>
          <w:rFonts w:ascii="Arial" w:hAnsi="Arial" w:cs="Arial"/>
          <w:sz w:val="22"/>
          <w:szCs w:val="16"/>
        </w:rPr>
        <w:t xml:space="preserve"> </w:t>
      </w:r>
      <w:r w:rsidRPr="00AF635D">
        <w:rPr>
          <w:rFonts w:ascii="Arial" w:hAnsi="Arial" w:cs="Arial"/>
          <w:b/>
          <w:sz w:val="22"/>
          <w:szCs w:val="16"/>
        </w:rPr>
        <w:t>2020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50</w:t>
      </w:r>
      <w:r w:rsidRPr="00AF635D">
        <w:rPr>
          <w:rFonts w:ascii="Arial" w:hAnsi="Arial" w:cs="Arial"/>
          <w:sz w:val="22"/>
          <w:szCs w:val="16"/>
        </w:rPr>
        <w:t>, 2545–2571. DOI: 10.1080/00397911.2020.1766080</w:t>
      </w:r>
    </w:p>
    <w:p w:rsidR="00C57C43" w:rsidRPr="00AF635D" w:rsidRDefault="00AF635D" w:rsidP="00C57C43">
      <w:pPr>
        <w:pStyle w:val="References"/>
        <w:numPr>
          <w:ilvl w:val="0"/>
          <w:numId w:val="12"/>
        </w:numPr>
        <w:spacing w:line="264" w:lineRule="auto"/>
        <w:ind w:left="284" w:hanging="284"/>
        <w:rPr>
          <w:rFonts w:ascii="Arial" w:hAnsi="Arial" w:cs="Arial"/>
          <w:sz w:val="32"/>
          <w:szCs w:val="22"/>
        </w:rPr>
      </w:pPr>
      <w:proofErr w:type="spellStart"/>
      <w:r w:rsidRPr="00AF635D">
        <w:rPr>
          <w:rFonts w:ascii="Arial" w:hAnsi="Arial" w:cs="Arial"/>
          <w:sz w:val="22"/>
          <w:szCs w:val="16"/>
        </w:rPr>
        <w:t>Ju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. E. </w:t>
      </w:r>
      <w:proofErr w:type="spellStart"/>
      <w:r w:rsidRPr="00AF635D">
        <w:rPr>
          <w:rFonts w:ascii="Arial" w:hAnsi="Arial" w:cs="Arial"/>
          <w:sz w:val="22"/>
          <w:szCs w:val="16"/>
        </w:rPr>
        <w:t>Morozova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A. M. </w:t>
      </w:r>
      <w:proofErr w:type="spellStart"/>
      <w:r w:rsidRPr="00AF635D">
        <w:rPr>
          <w:rFonts w:ascii="Arial" w:hAnsi="Arial" w:cs="Arial"/>
          <w:sz w:val="22"/>
          <w:szCs w:val="16"/>
        </w:rPr>
        <w:t>Shumatbaeva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I. S. </w:t>
      </w:r>
      <w:proofErr w:type="spellStart"/>
      <w:r w:rsidRPr="00AF635D">
        <w:rPr>
          <w:rFonts w:ascii="Arial" w:hAnsi="Arial" w:cs="Arial"/>
          <w:sz w:val="22"/>
          <w:szCs w:val="16"/>
        </w:rPr>
        <w:t>Antipin</w:t>
      </w:r>
      <w:proofErr w:type="spellEnd"/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Colloid J.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b/>
          <w:sz w:val="22"/>
          <w:szCs w:val="16"/>
        </w:rPr>
        <w:t>2022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84</w:t>
      </w:r>
      <w:r w:rsidRPr="00AF635D">
        <w:rPr>
          <w:rFonts w:ascii="Arial" w:hAnsi="Arial" w:cs="Arial"/>
          <w:sz w:val="22"/>
          <w:szCs w:val="16"/>
        </w:rPr>
        <w:t>, 530–545. DOI: 10.1134/S1061933X2270003X</w:t>
      </w:r>
    </w:p>
    <w:p w:rsidR="00B354FD" w:rsidRPr="00AF635D" w:rsidRDefault="00AF635D" w:rsidP="00AF635D">
      <w:pPr>
        <w:pStyle w:val="References"/>
        <w:numPr>
          <w:ilvl w:val="0"/>
          <w:numId w:val="12"/>
        </w:numPr>
        <w:spacing w:line="264" w:lineRule="auto"/>
        <w:ind w:left="284" w:hanging="284"/>
        <w:rPr>
          <w:rFonts w:ascii="Arial" w:hAnsi="Arial" w:cs="Arial"/>
          <w:sz w:val="32"/>
          <w:szCs w:val="22"/>
        </w:rPr>
      </w:pPr>
      <w:r w:rsidRPr="00AF635D">
        <w:rPr>
          <w:rFonts w:ascii="Arial" w:hAnsi="Arial" w:cs="Arial"/>
          <w:sz w:val="22"/>
          <w:szCs w:val="16"/>
        </w:rPr>
        <w:t xml:space="preserve">J. Wu, </w:t>
      </w:r>
      <w:r w:rsidRPr="00AF635D">
        <w:rPr>
          <w:rFonts w:ascii="Arial" w:hAnsi="Arial" w:cs="Arial"/>
          <w:i/>
          <w:sz w:val="22"/>
          <w:szCs w:val="16"/>
        </w:rPr>
        <w:t>J. Pers. Med.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b/>
          <w:sz w:val="22"/>
          <w:szCs w:val="16"/>
        </w:rPr>
        <w:t>2021</w:t>
      </w:r>
      <w:r w:rsidRPr="00AF635D">
        <w:rPr>
          <w:rFonts w:ascii="Arial" w:hAnsi="Arial" w:cs="Arial"/>
          <w:sz w:val="22"/>
          <w:szCs w:val="16"/>
        </w:rPr>
        <w:t xml:space="preserve">, </w:t>
      </w:r>
      <w:r w:rsidRPr="00AF635D">
        <w:rPr>
          <w:rFonts w:ascii="Arial" w:hAnsi="Arial" w:cs="Arial"/>
          <w:i/>
          <w:sz w:val="22"/>
          <w:szCs w:val="16"/>
        </w:rPr>
        <w:t>11</w:t>
      </w:r>
      <w:r w:rsidRPr="00AF635D">
        <w:rPr>
          <w:rFonts w:ascii="Arial" w:hAnsi="Arial" w:cs="Arial"/>
          <w:sz w:val="22"/>
          <w:szCs w:val="16"/>
        </w:rPr>
        <w:t>, 771. DO: 10.3390/jpm11080771</w:t>
      </w:r>
    </w:p>
    <w:sectPr w:rsidR="00B354FD" w:rsidRPr="00AF635D" w:rsidSect="00565D0F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8FE" w:rsidRDefault="009118FE" w:rsidP="00427E5A">
      <w:pPr>
        <w:spacing w:after="0" w:line="240" w:lineRule="auto"/>
      </w:pPr>
      <w:r>
        <w:separator/>
      </w:r>
    </w:p>
    <w:p w:rsidR="009118FE" w:rsidRDefault="009118FE"/>
  </w:endnote>
  <w:endnote w:type="continuationSeparator" w:id="0">
    <w:p w:rsidR="009118FE" w:rsidRDefault="009118FE" w:rsidP="00427E5A">
      <w:pPr>
        <w:spacing w:after="0" w:line="240" w:lineRule="auto"/>
      </w:pPr>
      <w:r>
        <w:continuationSeparator/>
      </w:r>
    </w:p>
    <w:p w:rsidR="009118FE" w:rsidRDefault="009118F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E5003A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N. O. </w:t>
    </w:r>
    <w:proofErr w:type="spellStart"/>
    <w:r>
      <w:rPr>
        <w:rStyle w:val="MainText0"/>
      </w:rPr>
      <w:t>Dubinets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24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7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6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8FE" w:rsidRDefault="009118FE" w:rsidP="00427E5A">
      <w:pPr>
        <w:spacing w:after="0" w:line="240" w:lineRule="auto"/>
      </w:pPr>
      <w:r>
        <w:separator/>
      </w:r>
    </w:p>
    <w:p w:rsidR="009118FE" w:rsidRDefault="009118FE"/>
  </w:footnote>
  <w:footnote w:type="continuationSeparator" w:id="0">
    <w:p w:rsidR="009118FE" w:rsidRDefault="009118FE" w:rsidP="00427E5A">
      <w:pPr>
        <w:spacing w:after="0" w:line="240" w:lineRule="auto"/>
      </w:pPr>
      <w:r>
        <w:continuationSeparator/>
      </w:r>
    </w:p>
    <w:p w:rsidR="009118FE" w:rsidRDefault="009118F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104620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104620" w:rsidRPr="001E7945">
          <w:rPr>
            <w:rFonts w:ascii="Times New Roman" w:hAnsi="Times New Roman" w:cs="Times New Roman"/>
            <w:i/>
          </w:rPr>
          <w:fldChar w:fldCharType="separate"/>
        </w:r>
        <w:r w:rsidR="00704BD0">
          <w:rPr>
            <w:rFonts w:ascii="Times New Roman" w:hAnsi="Times New Roman" w:cs="Times New Roman"/>
            <w:i/>
            <w:noProof/>
            <w:lang w:val="en-US"/>
          </w:rPr>
          <w:t>4</w:t>
        </w:r>
        <w:r w:rsidR="00104620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3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2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D9C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A0FBD"/>
    <w:rsid w:val="000B0164"/>
    <w:rsid w:val="000B5E27"/>
    <w:rsid w:val="000E1B06"/>
    <w:rsid w:val="0010033A"/>
    <w:rsid w:val="0010088C"/>
    <w:rsid w:val="00104620"/>
    <w:rsid w:val="001405F2"/>
    <w:rsid w:val="00150D6A"/>
    <w:rsid w:val="00156A07"/>
    <w:rsid w:val="00161894"/>
    <w:rsid w:val="00166162"/>
    <w:rsid w:val="00176C59"/>
    <w:rsid w:val="00194288"/>
    <w:rsid w:val="001A28BF"/>
    <w:rsid w:val="001B0919"/>
    <w:rsid w:val="001B6750"/>
    <w:rsid w:val="001C0B33"/>
    <w:rsid w:val="001C1CCE"/>
    <w:rsid w:val="001C706F"/>
    <w:rsid w:val="001E7945"/>
    <w:rsid w:val="0021589A"/>
    <w:rsid w:val="0022057B"/>
    <w:rsid w:val="002235A5"/>
    <w:rsid w:val="00224F4E"/>
    <w:rsid w:val="00227BCD"/>
    <w:rsid w:val="00247ECE"/>
    <w:rsid w:val="002500A5"/>
    <w:rsid w:val="00263CDC"/>
    <w:rsid w:val="00285F5A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21C31"/>
    <w:rsid w:val="00335163"/>
    <w:rsid w:val="00346ED7"/>
    <w:rsid w:val="00362760"/>
    <w:rsid w:val="003A5611"/>
    <w:rsid w:val="003B067D"/>
    <w:rsid w:val="003D2A22"/>
    <w:rsid w:val="003E2893"/>
    <w:rsid w:val="003E6BD0"/>
    <w:rsid w:val="004279D0"/>
    <w:rsid w:val="00427E5A"/>
    <w:rsid w:val="0043078B"/>
    <w:rsid w:val="00436D4B"/>
    <w:rsid w:val="00440577"/>
    <w:rsid w:val="00456125"/>
    <w:rsid w:val="00460F8A"/>
    <w:rsid w:val="00463737"/>
    <w:rsid w:val="00473AC6"/>
    <w:rsid w:val="004A44BC"/>
    <w:rsid w:val="004A51C9"/>
    <w:rsid w:val="004A5676"/>
    <w:rsid w:val="004C0411"/>
    <w:rsid w:val="004C5EA0"/>
    <w:rsid w:val="004D0021"/>
    <w:rsid w:val="004E4B36"/>
    <w:rsid w:val="004F3EB8"/>
    <w:rsid w:val="004F7D17"/>
    <w:rsid w:val="00502985"/>
    <w:rsid w:val="0052362C"/>
    <w:rsid w:val="00524995"/>
    <w:rsid w:val="00533D73"/>
    <w:rsid w:val="00534762"/>
    <w:rsid w:val="00551A9B"/>
    <w:rsid w:val="00565D0F"/>
    <w:rsid w:val="00566E1F"/>
    <w:rsid w:val="00571D62"/>
    <w:rsid w:val="00574E8C"/>
    <w:rsid w:val="00592A1A"/>
    <w:rsid w:val="005C7369"/>
    <w:rsid w:val="005D5E3B"/>
    <w:rsid w:val="005E76C3"/>
    <w:rsid w:val="005F5908"/>
    <w:rsid w:val="00605F7B"/>
    <w:rsid w:val="00607EA3"/>
    <w:rsid w:val="00615AB2"/>
    <w:rsid w:val="00622DF1"/>
    <w:rsid w:val="006416C1"/>
    <w:rsid w:val="0064267C"/>
    <w:rsid w:val="0065245B"/>
    <w:rsid w:val="0066642B"/>
    <w:rsid w:val="00676DA8"/>
    <w:rsid w:val="00683408"/>
    <w:rsid w:val="006A366E"/>
    <w:rsid w:val="006A515C"/>
    <w:rsid w:val="006B7ED3"/>
    <w:rsid w:val="006D0F0C"/>
    <w:rsid w:val="006D75C2"/>
    <w:rsid w:val="006D7CF9"/>
    <w:rsid w:val="006E0C73"/>
    <w:rsid w:val="006E2344"/>
    <w:rsid w:val="00704BD0"/>
    <w:rsid w:val="00706F05"/>
    <w:rsid w:val="0072037E"/>
    <w:rsid w:val="00736EEC"/>
    <w:rsid w:val="007516EA"/>
    <w:rsid w:val="007762ED"/>
    <w:rsid w:val="00790C2E"/>
    <w:rsid w:val="00793C84"/>
    <w:rsid w:val="00795BDC"/>
    <w:rsid w:val="007A3351"/>
    <w:rsid w:val="007A5771"/>
    <w:rsid w:val="007B67DA"/>
    <w:rsid w:val="007D23E1"/>
    <w:rsid w:val="007D3F5F"/>
    <w:rsid w:val="007E04CF"/>
    <w:rsid w:val="007F093C"/>
    <w:rsid w:val="008114FB"/>
    <w:rsid w:val="00820A77"/>
    <w:rsid w:val="00823733"/>
    <w:rsid w:val="008257A1"/>
    <w:rsid w:val="008276AE"/>
    <w:rsid w:val="008354BA"/>
    <w:rsid w:val="00842E5C"/>
    <w:rsid w:val="008444DA"/>
    <w:rsid w:val="008451A3"/>
    <w:rsid w:val="008453AB"/>
    <w:rsid w:val="0085553A"/>
    <w:rsid w:val="008622A1"/>
    <w:rsid w:val="00863A30"/>
    <w:rsid w:val="0087284A"/>
    <w:rsid w:val="0087300D"/>
    <w:rsid w:val="00875175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2BCF"/>
    <w:rsid w:val="008E062B"/>
    <w:rsid w:val="008E392F"/>
    <w:rsid w:val="008E65E4"/>
    <w:rsid w:val="009018B1"/>
    <w:rsid w:val="00903EC7"/>
    <w:rsid w:val="00904B7F"/>
    <w:rsid w:val="0091038C"/>
    <w:rsid w:val="009118FE"/>
    <w:rsid w:val="00916E1F"/>
    <w:rsid w:val="00922AD7"/>
    <w:rsid w:val="00930DA8"/>
    <w:rsid w:val="00961CE4"/>
    <w:rsid w:val="009667F3"/>
    <w:rsid w:val="009A6DAE"/>
    <w:rsid w:val="009B17A7"/>
    <w:rsid w:val="009B1ECD"/>
    <w:rsid w:val="009B5B8E"/>
    <w:rsid w:val="009C2387"/>
    <w:rsid w:val="009D3902"/>
    <w:rsid w:val="009E0172"/>
    <w:rsid w:val="009E3720"/>
    <w:rsid w:val="009F226B"/>
    <w:rsid w:val="00A05076"/>
    <w:rsid w:val="00A231BA"/>
    <w:rsid w:val="00A263EF"/>
    <w:rsid w:val="00A33939"/>
    <w:rsid w:val="00A6442F"/>
    <w:rsid w:val="00A66EE2"/>
    <w:rsid w:val="00A76F33"/>
    <w:rsid w:val="00AC3F69"/>
    <w:rsid w:val="00AC4C4E"/>
    <w:rsid w:val="00AE376B"/>
    <w:rsid w:val="00AE4947"/>
    <w:rsid w:val="00AF635D"/>
    <w:rsid w:val="00B02B82"/>
    <w:rsid w:val="00B23601"/>
    <w:rsid w:val="00B354FD"/>
    <w:rsid w:val="00B3671D"/>
    <w:rsid w:val="00B41C56"/>
    <w:rsid w:val="00B5202A"/>
    <w:rsid w:val="00B571B2"/>
    <w:rsid w:val="00B73FF6"/>
    <w:rsid w:val="00B83D1D"/>
    <w:rsid w:val="00BB1D07"/>
    <w:rsid w:val="00BB2DF9"/>
    <w:rsid w:val="00BE4FEF"/>
    <w:rsid w:val="00BF27CD"/>
    <w:rsid w:val="00C25E43"/>
    <w:rsid w:val="00C3565E"/>
    <w:rsid w:val="00C3671B"/>
    <w:rsid w:val="00C57C43"/>
    <w:rsid w:val="00C75351"/>
    <w:rsid w:val="00C927EB"/>
    <w:rsid w:val="00CA605E"/>
    <w:rsid w:val="00CB0173"/>
    <w:rsid w:val="00CD128C"/>
    <w:rsid w:val="00CD6FAC"/>
    <w:rsid w:val="00CF22D5"/>
    <w:rsid w:val="00D12AFB"/>
    <w:rsid w:val="00D27A8E"/>
    <w:rsid w:val="00D33D37"/>
    <w:rsid w:val="00D36C9F"/>
    <w:rsid w:val="00D71473"/>
    <w:rsid w:val="00DA0A72"/>
    <w:rsid w:val="00DA3AF4"/>
    <w:rsid w:val="00DA3C85"/>
    <w:rsid w:val="00DB33FB"/>
    <w:rsid w:val="00DD10FA"/>
    <w:rsid w:val="00DF1FCB"/>
    <w:rsid w:val="00DF4999"/>
    <w:rsid w:val="00E32CFF"/>
    <w:rsid w:val="00E5003A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F625A"/>
    <w:rsid w:val="00F01C7B"/>
    <w:rsid w:val="00F279E2"/>
    <w:rsid w:val="00F376FB"/>
    <w:rsid w:val="00F44BBC"/>
    <w:rsid w:val="00F46F0E"/>
    <w:rsid w:val="00F6796A"/>
    <w:rsid w:val="00F86864"/>
    <w:rsid w:val="00F94740"/>
    <w:rsid w:val="00F95280"/>
    <w:rsid w:val="00FA0CD1"/>
    <w:rsid w:val="00FA707E"/>
    <w:rsid w:val="00FB4DBE"/>
    <w:rsid w:val="00FB689E"/>
    <w:rsid w:val="00FD2F8B"/>
    <w:rsid w:val="00FE45D6"/>
    <w:rsid w:val="00FF1493"/>
    <w:rsid w:val="00FF3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No Spacing"/>
    <w:uiPriority w:val="1"/>
    <w:qFormat/>
    <w:rsid w:val="004F7D17"/>
    <w:pPr>
      <w:spacing w:after="0" w:line="240" w:lineRule="auto"/>
    </w:pPr>
  </w:style>
  <w:style w:type="table" w:customStyle="1" w:styleId="13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ynqvb">
    <w:name w:val="rynqvb"/>
    <w:basedOn w:val="a0"/>
    <w:rsid w:val="00E86508"/>
  </w:style>
  <w:style w:type="character" w:customStyle="1" w:styleId="h9rpj5gkjhrwbrml3kdi">
    <w:name w:val="h9rpj5gkjhrwbrml3kdi"/>
    <w:basedOn w:val="a0"/>
    <w:rsid w:val="00E86508"/>
  </w:style>
  <w:style w:type="character" w:customStyle="1" w:styleId="hgkelc">
    <w:name w:val="hgkelc"/>
    <w:basedOn w:val="a0"/>
    <w:rsid w:val="00E86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5FD45-C189-40A3-9A70-3B68CAC9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152</cp:revision>
  <dcterms:created xsi:type="dcterms:W3CDTF">2018-09-10T13:23:00Z</dcterms:created>
  <dcterms:modified xsi:type="dcterms:W3CDTF">2025-04-22T12:24:00Z</dcterms:modified>
</cp:coreProperties>
</file>