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6"/>
        <w:gridCol w:w="1157"/>
        <w:gridCol w:w="2514"/>
        <w:gridCol w:w="4672"/>
      </w:tblGrid>
      <w:tr w:rsidR="008622A1" w:rsidRPr="0050483C" w:rsidTr="00CA3051">
        <w:trPr>
          <w:trHeight w:val="516"/>
        </w:trPr>
        <w:tc>
          <w:tcPr>
            <w:tcW w:w="1242" w:type="dxa"/>
            <w:vAlign w:val="center"/>
          </w:tcPr>
          <w:p w:rsidR="008622A1" w:rsidRPr="00D71473" w:rsidRDefault="001B0919" w:rsidP="0050483C">
            <w:pPr>
              <w:pStyle w:val="MainText"/>
              <w:spacing w:after="60"/>
              <w:ind w:firstLine="6"/>
              <w:jc w:val="left"/>
            </w:pPr>
            <w:r>
              <w:rPr>
                <w:noProof/>
                <w:lang w:val="ru-RU" w:eastAsia="ru-RU"/>
              </w:rPr>
              <w:drawing>
                <wp:inline distT="0" distB="0" distL="0" distR="0">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rsidR="008622A1" w:rsidRPr="00D71473" w:rsidRDefault="00CA3051" w:rsidP="00C571E1">
            <w:pPr>
              <w:pStyle w:val="11"/>
              <w:ind w:right="-113"/>
            </w:pPr>
            <w:r>
              <w:t>Synthesis OF Poly(5-NORBORNENE</w:t>
            </w:r>
            <w:r w:rsidRPr="00DF41FC">
              <w:t xml:space="preserve">-2,3-DICARBOXYLIC ANHYDRIDE) by ROMP </w:t>
            </w:r>
            <w:r w:rsidR="00C571E1">
              <w:t xml:space="preserve">in the presence of </w:t>
            </w:r>
            <w:r>
              <w:t xml:space="preserve">THE </w:t>
            </w:r>
            <w:r w:rsidR="00C571E1">
              <w:t>second-</w:t>
            </w:r>
            <w:r w:rsidRPr="00DF41FC">
              <w:t>generation GRUBBS CATALYST and 1-HEXENE IN DMF</w:t>
            </w:r>
          </w:p>
        </w:tc>
      </w:tr>
      <w:tr w:rsidR="00D71473" w:rsidRPr="0050483C" w:rsidTr="00DF4999">
        <w:trPr>
          <w:trHeight w:val="516"/>
        </w:trPr>
        <w:tc>
          <w:tcPr>
            <w:tcW w:w="2410" w:type="dxa"/>
            <w:gridSpan w:val="2"/>
            <w:vMerge w:val="restart"/>
          </w:tcPr>
          <w:p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rsidR="00D71473" w:rsidRPr="00930DA8" w:rsidRDefault="00DF4999" w:rsidP="007516EA">
            <w:pPr>
              <w:pStyle w:val="MainText"/>
              <w:ind w:firstLine="0"/>
              <w:jc w:val="left"/>
            </w:pPr>
            <w:r w:rsidRPr="00941F8C">
              <w:rPr>
                <w:b/>
              </w:rPr>
              <w:t>20</w:t>
            </w:r>
            <w:r w:rsidR="00CA3051">
              <w:rPr>
                <w:b/>
              </w:rPr>
              <w:t>25</w:t>
            </w:r>
            <w:r w:rsidRPr="00941F8C">
              <w:t xml:space="preserve">, </w:t>
            </w:r>
            <w:r w:rsidR="00CA3051">
              <w:rPr>
                <w:i/>
                <w:iCs/>
              </w:rPr>
              <w:t>8</w:t>
            </w:r>
            <w:r w:rsidRPr="000E1B06">
              <w:rPr>
                <w:i/>
                <w:iCs/>
              </w:rPr>
              <w:t xml:space="preserve"> (</w:t>
            </w:r>
            <w:r w:rsidR="00CA3051">
              <w:rPr>
                <w:i/>
                <w:iCs/>
              </w:rPr>
              <w:t>1–3</w:t>
            </w:r>
            <w:r w:rsidRPr="000E1B06">
              <w:rPr>
                <w:i/>
                <w:iCs/>
              </w:rPr>
              <w:t>)</w:t>
            </w:r>
            <w:r w:rsidRPr="00941F8C">
              <w:t>, XX–XX</w:t>
            </w:r>
          </w:p>
          <w:p w:rsidR="007516EA" w:rsidRPr="007516EA" w:rsidRDefault="007516EA" w:rsidP="007516EA">
            <w:pPr>
              <w:pStyle w:val="MainText"/>
              <w:ind w:firstLine="0"/>
              <w:jc w:val="left"/>
            </w:pPr>
            <w:r>
              <w:t>DOI: 10.32931/</w:t>
            </w:r>
            <w:proofErr w:type="spellStart"/>
            <w:r>
              <w:t>ioXXXXx</w:t>
            </w:r>
            <w:proofErr w:type="spellEnd"/>
          </w:p>
          <w:p w:rsidR="00BE4FEF" w:rsidRPr="00D71473" w:rsidRDefault="00BE4FEF" w:rsidP="007516EA">
            <w:pPr>
              <w:pStyle w:val="MainText"/>
              <w:ind w:firstLine="0"/>
              <w:jc w:val="left"/>
            </w:pPr>
          </w:p>
          <w:p w:rsidR="00D71473" w:rsidRPr="00D71473" w:rsidRDefault="00D71473" w:rsidP="007516EA">
            <w:pPr>
              <w:pStyle w:val="MainText"/>
              <w:ind w:firstLine="0"/>
              <w:rPr>
                <w:i/>
                <w:szCs w:val="14"/>
              </w:rPr>
            </w:pPr>
            <w:r w:rsidRPr="00CA3051">
              <w:rPr>
                <w:i/>
                <w:szCs w:val="14"/>
                <w:highlight w:val="green"/>
              </w:rPr>
              <w:t xml:space="preserve">Received </w:t>
            </w:r>
            <w:r w:rsidR="008E062B" w:rsidRPr="00CA3051">
              <w:rPr>
                <w:i/>
                <w:szCs w:val="14"/>
                <w:highlight w:val="green"/>
              </w:rPr>
              <w:t>XX</w:t>
            </w:r>
            <w:r w:rsidRPr="00CA3051">
              <w:rPr>
                <w:i/>
                <w:szCs w:val="14"/>
                <w:highlight w:val="green"/>
              </w:rPr>
              <w:t xml:space="preserve"> </w:t>
            </w:r>
            <w:r w:rsidR="008E062B" w:rsidRPr="00CA3051">
              <w:rPr>
                <w:i/>
                <w:szCs w:val="14"/>
                <w:highlight w:val="green"/>
              </w:rPr>
              <w:t>Month</w:t>
            </w:r>
            <w:r w:rsidRPr="00CA3051">
              <w:rPr>
                <w:i/>
                <w:szCs w:val="14"/>
                <w:highlight w:val="green"/>
              </w:rPr>
              <w:t xml:space="preserve"> 2</w:t>
            </w:r>
            <w:r w:rsidR="008E062B" w:rsidRPr="00CA3051">
              <w:rPr>
                <w:i/>
                <w:szCs w:val="14"/>
                <w:highlight w:val="green"/>
              </w:rPr>
              <w:t>0XX</w:t>
            </w:r>
            <w:r w:rsidRPr="00D71473">
              <w:rPr>
                <w:i/>
                <w:szCs w:val="14"/>
              </w:rPr>
              <w:t>,</w:t>
            </w:r>
          </w:p>
          <w:p w:rsidR="00D71473" w:rsidRPr="00D71473" w:rsidRDefault="00D71473" w:rsidP="007516EA">
            <w:pPr>
              <w:pStyle w:val="MainText"/>
              <w:ind w:firstLine="0"/>
              <w:rPr>
                <w:i/>
                <w:szCs w:val="14"/>
              </w:rPr>
            </w:pPr>
            <w:r w:rsidRPr="00D71473">
              <w:rPr>
                <w:i/>
                <w:szCs w:val="14"/>
              </w:rPr>
              <w:t xml:space="preserve">Accepted </w:t>
            </w:r>
            <w:r w:rsidR="00FF7D7E">
              <w:rPr>
                <w:i/>
                <w:szCs w:val="14"/>
              </w:rPr>
              <w:t>30 October 2024</w:t>
            </w:r>
          </w:p>
          <w:p w:rsidR="00820A77" w:rsidRDefault="00820A77" w:rsidP="007516EA">
            <w:pPr>
              <w:pStyle w:val="MainText"/>
              <w:ind w:firstLine="0"/>
              <w:rPr>
                <w:szCs w:val="14"/>
              </w:rPr>
            </w:pPr>
          </w:p>
          <w:p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rsidR="00D71473" w:rsidRPr="00D71473" w:rsidRDefault="00941219" w:rsidP="007516EA">
            <w:pPr>
              <w:pStyle w:val="AuthorNames"/>
              <w:ind w:left="0"/>
            </w:pPr>
            <w:r w:rsidRPr="00FF1CB7">
              <w:t>I</w:t>
            </w:r>
            <w:r>
              <w:t>. V.</w:t>
            </w:r>
            <w:r w:rsidRPr="00FF1CB7">
              <w:t xml:space="preserve"> Ignatyev,</w:t>
            </w:r>
            <w:r w:rsidRPr="00941219">
              <w:rPr>
                <w:i/>
                <w:iCs/>
                <w:vertAlign w:val="superscript"/>
              </w:rPr>
              <w:t>a</w:t>
            </w:r>
            <w:r w:rsidRPr="00FF1CB7">
              <w:t xml:space="preserve"> N</w:t>
            </w:r>
            <w:r>
              <w:t xml:space="preserve">. P. </w:t>
            </w:r>
            <w:r w:rsidRPr="00FF1CB7">
              <w:t>Bezrukov,</w:t>
            </w:r>
            <w:r w:rsidRPr="00941219">
              <w:rPr>
                <w:i/>
                <w:iCs/>
                <w:vertAlign w:val="superscript"/>
              </w:rPr>
              <w:t>b</w:t>
            </w:r>
            <w:r w:rsidRPr="00FF1CB7">
              <w:t xml:space="preserve"> V</w:t>
            </w:r>
            <w:r>
              <w:t>. Ya.</w:t>
            </w:r>
            <w:r w:rsidRPr="00FF1CB7">
              <w:t xml:space="preserve"> Melekhina,</w:t>
            </w:r>
            <w:r w:rsidRPr="00941219">
              <w:rPr>
                <w:i/>
                <w:iCs/>
                <w:vertAlign w:val="superscript"/>
              </w:rPr>
              <w:t>b</w:t>
            </w:r>
            <w:r w:rsidRPr="00FF1CB7">
              <w:t xml:space="preserve"> A</w:t>
            </w:r>
            <w:r>
              <w:t>. A.</w:t>
            </w:r>
            <w:r w:rsidRPr="00FF1CB7">
              <w:t xml:space="preserve"> Morontsev,</w:t>
            </w:r>
            <w:r>
              <w:t>*</w:t>
            </w:r>
            <w:r w:rsidRPr="00941219">
              <w:rPr>
                <w:i/>
                <w:iCs/>
                <w:vertAlign w:val="superscript"/>
              </w:rPr>
              <w:t>b</w:t>
            </w:r>
            <w:r>
              <w:rPr>
                <w:i/>
                <w:iCs/>
                <w:vertAlign w:val="superscript"/>
              </w:rPr>
              <w:br/>
            </w:r>
            <w:r w:rsidRPr="00FF1CB7">
              <w:t>S</w:t>
            </w:r>
            <w:r>
              <w:t xml:space="preserve">. V. </w:t>
            </w:r>
            <w:r w:rsidRPr="00FF1CB7">
              <w:t>Antonov,</w:t>
            </w:r>
            <w:r w:rsidRPr="00941219">
              <w:rPr>
                <w:i/>
                <w:iCs/>
                <w:vertAlign w:val="superscript"/>
              </w:rPr>
              <w:t>b</w:t>
            </w:r>
            <w:r w:rsidRPr="00FF1CB7">
              <w:t xml:space="preserve"> </w:t>
            </w:r>
            <w:r>
              <w:t xml:space="preserve">and </w:t>
            </w:r>
            <w:r w:rsidRPr="00FF1CB7">
              <w:t>M</w:t>
            </w:r>
            <w:r>
              <w:t xml:space="preserve">. V. </w:t>
            </w:r>
            <w:r w:rsidRPr="00FF1CB7">
              <w:t>Bermeshev</w:t>
            </w:r>
            <w:r w:rsidRPr="00941219">
              <w:rPr>
                <w:i/>
                <w:iCs/>
                <w:vertAlign w:val="superscript"/>
              </w:rPr>
              <w:t>b</w:t>
            </w:r>
          </w:p>
        </w:tc>
      </w:tr>
      <w:tr w:rsidR="00D71473" w:rsidRPr="0050483C" w:rsidTr="00DF4999">
        <w:trPr>
          <w:trHeight w:val="263"/>
        </w:trPr>
        <w:tc>
          <w:tcPr>
            <w:tcW w:w="2410" w:type="dxa"/>
            <w:gridSpan w:val="2"/>
            <w:vMerge/>
          </w:tcPr>
          <w:p w:rsidR="00D71473" w:rsidRDefault="00D71473" w:rsidP="00D71473">
            <w:pPr>
              <w:pStyle w:val="AuthorNames"/>
            </w:pPr>
          </w:p>
        </w:tc>
        <w:tc>
          <w:tcPr>
            <w:tcW w:w="7229" w:type="dxa"/>
            <w:gridSpan w:val="2"/>
          </w:tcPr>
          <w:p w:rsidR="0049039B" w:rsidRDefault="0049039B" w:rsidP="0049039B">
            <w:pPr>
              <w:pStyle w:val="Affiliations"/>
              <w:spacing w:before="120"/>
              <w:ind w:left="0"/>
              <w:rPr>
                <w:rFonts w:cs="Times New Roman"/>
              </w:rPr>
            </w:pPr>
            <w:r>
              <w:rPr>
                <w:vertAlign w:val="superscript"/>
              </w:rPr>
              <w:t>a</w:t>
            </w:r>
            <w:r w:rsidRPr="00894EE2">
              <w:t xml:space="preserve"> </w:t>
            </w:r>
            <w:r w:rsidRPr="007926F8">
              <w:t>MIREA</w:t>
            </w:r>
            <w:r>
              <w:t>–</w:t>
            </w:r>
            <w:r w:rsidRPr="007926F8">
              <w:t>Russian Technological University,</w:t>
            </w:r>
            <w:r>
              <w:br/>
              <w:t xml:space="preserve">pr. Vernadskogo 78, </w:t>
            </w:r>
            <w:r w:rsidRPr="007926F8">
              <w:t xml:space="preserve">Moscow, </w:t>
            </w:r>
            <w:r>
              <w:t xml:space="preserve">119454 </w:t>
            </w:r>
            <w:r w:rsidRPr="007926F8">
              <w:t>Russia</w:t>
            </w:r>
          </w:p>
          <w:p w:rsidR="0049039B" w:rsidRDefault="0049039B" w:rsidP="0049039B">
            <w:pPr>
              <w:pStyle w:val="Affiliations"/>
              <w:ind w:left="0"/>
            </w:pPr>
            <w:r>
              <w:rPr>
                <w:vertAlign w:val="superscript"/>
              </w:rPr>
              <w:t>b</w:t>
            </w:r>
            <w:r w:rsidRPr="00894EE2">
              <w:t xml:space="preserve"> </w:t>
            </w:r>
            <w:r w:rsidRPr="006170FC">
              <w:t>Topchiev Institute of Petrochemical Synthesis R</w:t>
            </w:r>
            <w:r>
              <w:t>ussian Academy of Sciences</w:t>
            </w:r>
            <w:r w:rsidRPr="006170FC">
              <w:t xml:space="preserve">, </w:t>
            </w:r>
            <w:r>
              <w:t xml:space="preserve">Leninskii pr. </w:t>
            </w:r>
            <w:r>
              <w:rPr>
                <w:rStyle w:val="rynqvb"/>
                <w:lang/>
              </w:rPr>
              <w:t>29</w:t>
            </w:r>
            <w:r w:rsidRPr="00DF41FC">
              <w:rPr>
                <w:rStyle w:val="rynqvb"/>
                <w:lang w:val="en-US"/>
              </w:rPr>
              <w:t>,</w:t>
            </w:r>
            <w:r w:rsidRPr="006170FC">
              <w:t xml:space="preserve"> Moscow, </w:t>
            </w:r>
            <w:r>
              <w:t xml:space="preserve">119071 </w:t>
            </w:r>
            <w:r w:rsidRPr="006170FC">
              <w:t>Russia</w:t>
            </w:r>
          </w:p>
        </w:tc>
      </w:tr>
      <w:tr w:rsidR="00CD6FAC" w:rsidRPr="00D10B15" w:rsidTr="00DF4999">
        <w:tc>
          <w:tcPr>
            <w:tcW w:w="4962" w:type="dxa"/>
            <w:gridSpan w:val="3"/>
          </w:tcPr>
          <w:p w:rsidR="00D71473" w:rsidRPr="0065245B" w:rsidRDefault="00D71473" w:rsidP="009667F3">
            <w:pPr>
              <w:pStyle w:val="Header1"/>
            </w:pPr>
            <w:r w:rsidRPr="00021E9C">
              <w:t>Abstract</w:t>
            </w:r>
          </w:p>
          <w:p w:rsidR="00CD6FAC" w:rsidRDefault="008C3512" w:rsidP="009955FD">
            <w:pPr>
              <w:pStyle w:val="MainText"/>
              <w:ind w:firstLine="284"/>
            </w:pPr>
            <w:r>
              <w:t>T</w:t>
            </w:r>
            <w:r w:rsidR="009955FD">
              <w:t xml:space="preserve">he </w:t>
            </w:r>
            <w:r w:rsidR="009955FD" w:rsidRPr="00AC7CD8">
              <w:t xml:space="preserve">results of </w:t>
            </w:r>
            <w:r>
              <w:t>investigations o</w:t>
            </w:r>
            <w:r w:rsidR="00C02E59">
              <w:t>n</w:t>
            </w:r>
            <w:r>
              <w:t xml:space="preserve"> the </w:t>
            </w:r>
            <w:r w:rsidR="009955FD" w:rsidRPr="00613E64">
              <w:t xml:space="preserve">ring-opening metathesis polymerization </w:t>
            </w:r>
            <w:r w:rsidR="00C02E59" w:rsidRPr="00613E64">
              <w:rPr>
                <w:highlight w:val="green"/>
              </w:rPr>
              <w:t>(ROMP)</w:t>
            </w:r>
            <w:r w:rsidR="00C02E59">
              <w:t xml:space="preserve"> </w:t>
            </w:r>
            <w:r w:rsidR="009955FD" w:rsidRPr="00AC7CD8">
              <w:t xml:space="preserve">of 5-norbornene-2,3-dicarboxylic acid anhydride (NDA) under the action of </w:t>
            </w:r>
            <w:r>
              <w:t>the second</w:t>
            </w:r>
            <w:r w:rsidR="00C571E1">
              <w:t>-</w:t>
            </w:r>
            <w:r w:rsidR="009955FD" w:rsidRPr="00AC7CD8">
              <w:t xml:space="preserve">generation Grubbs catalyst in the presence of </w:t>
            </w:r>
            <w:r w:rsidR="002801B2">
              <w:t>1-</w:t>
            </w:r>
            <w:r w:rsidR="009955FD" w:rsidRPr="00AC7CD8">
              <w:t>hexene, acting as a chain transfer agent, in DMF in order to synthesize a soluble low</w:t>
            </w:r>
            <w:r w:rsidR="002801B2">
              <w:t>-</w:t>
            </w:r>
            <w:r w:rsidR="009955FD" w:rsidRPr="00AC7CD8">
              <w:t>molecular</w:t>
            </w:r>
            <w:r w:rsidR="002801B2">
              <w:t>-</w:t>
            </w:r>
            <w:r w:rsidR="009955FD" w:rsidRPr="00AC7CD8">
              <w:t>weight polymer containing reactive groups</w:t>
            </w:r>
            <w:r w:rsidR="00ED28BF">
              <w:t xml:space="preserve"> are presented</w:t>
            </w:r>
            <w:r w:rsidR="009955FD" w:rsidRPr="00AC7CD8">
              <w:t xml:space="preserve">. The </w:t>
            </w:r>
            <w:r w:rsidR="00ED28BF">
              <w:t xml:space="preserve">effect </w:t>
            </w:r>
            <w:r w:rsidR="009955FD" w:rsidRPr="00AC7CD8">
              <w:t>of polymerization conditions on the molecular weight and thermal properties of the resulting metathesis polymer</w:t>
            </w:r>
            <w:r w:rsidR="002801B2">
              <w:t>s</w:t>
            </w:r>
            <w:r w:rsidR="009955FD" w:rsidRPr="00AC7CD8">
              <w:t xml:space="preserve"> based on NDA wa</w:t>
            </w:r>
            <w:r w:rsidR="009955FD">
              <w:t>s determined.</w:t>
            </w:r>
          </w:p>
        </w:tc>
        <w:tc>
          <w:tcPr>
            <w:tcW w:w="4677" w:type="dxa"/>
            <w:vAlign w:val="center"/>
          </w:tcPr>
          <w:p w:rsidR="00CD6FAC" w:rsidRDefault="009955FD" w:rsidP="005C7369">
            <w:pPr>
              <w:pStyle w:val="MainText"/>
              <w:ind w:firstLine="0"/>
              <w:jc w:val="center"/>
            </w:pPr>
            <w:r>
              <w:rPr>
                <w:noProof/>
                <w:lang w:val="ru-RU" w:eastAsia="ru-RU"/>
              </w:rPr>
              <w:drawing>
                <wp:inline distT="0" distB="0" distL="0" distR="0">
                  <wp:extent cx="2616200" cy="698500"/>
                  <wp:effectExtent l="19050" t="0" r="0" b="0"/>
                  <wp:docPr id="7" name="Рисунок 7" descr="D:\TIPS\YandexDisk\НИР\Documents\Articles\21 PolyNDA for INEOS Open\noname01.tif"/>
                  <wp:cNvGraphicFramePr/>
                  <a:graphic xmlns:a="http://schemas.openxmlformats.org/drawingml/2006/main">
                    <a:graphicData uri="http://schemas.openxmlformats.org/drawingml/2006/picture">
                      <pic:pic xmlns:pic="http://schemas.openxmlformats.org/drawingml/2006/picture">
                        <pic:nvPicPr>
                          <pic:cNvPr id="4" name="Рисунок 4" descr="D:\TIPS\YandexDisk\НИР\Documents\Articles\21 PolyNDA for INEOS Open\noname01.tif"/>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16200" cy="698500"/>
                          </a:xfrm>
                          <a:prstGeom prst="rect">
                            <a:avLst/>
                          </a:prstGeom>
                          <a:noFill/>
                          <a:ln>
                            <a:noFill/>
                          </a:ln>
                        </pic:spPr>
                      </pic:pic>
                    </a:graphicData>
                  </a:graphic>
                </wp:inline>
              </w:drawing>
            </w:r>
          </w:p>
        </w:tc>
      </w:tr>
      <w:tr w:rsidR="0065245B" w:rsidRPr="0050483C" w:rsidTr="00DF4999">
        <w:tc>
          <w:tcPr>
            <w:tcW w:w="9639" w:type="dxa"/>
            <w:gridSpan w:val="4"/>
          </w:tcPr>
          <w:p w:rsidR="0065245B" w:rsidRDefault="0065245B" w:rsidP="00930DA8">
            <w:pPr>
              <w:pStyle w:val="MainText"/>
              <w:spacing w:before="120" w:after="120"/>
              <w:ind w:firstLine="284"/>
            </w:pPr>
            <w:r w:rsidRPr="006A32BB">
              <w:rPr>
                <w:b/>
              </w:rPr>
              <w:t>Key words:</w:t>
            </w:r>
            <w:r w:rsidRPr="0065245B">
              <w:t xml:space="preserve"> </w:t>
            </w:r>
            <w:r w:rsidR="0076654A" w:rsidRPr="007F2F3D">
              <w:rPr>
                <w:i/>
                <w:iCs/>
              </w:rPr>
              <w:t>cis</w:t>
            </w:r>
            <w:r w:rsidR="0076654A" w:rsidRPr="006170FC">
              <w:t>-5-</w:t>
            </w:r>
            <w:r w:rsidR="0076654A">
              <w:t>n</w:t>
            </w:r>
            <w:r w:rsidR="0076654A" w:rsidRPr="006170FC">
              <w:t>orbornene-exo-2,3-dicarboxylic anhydride</w:t>
            </w:r>
            <w:r w:rsidR="0076654A">
              <w:t xml:space="preserve">, ring-opening metathesis polymerization, chain transfer agent, </w:t>
            </w:r>
            <w:r w:rsidR="0076654A" w:rsidRPr="0076654A">
              <w:rPr>
                <w:highlight w:val="green"/>
              </w:rPr>
              <w:t>DMF</w:t>
            </w:r>
            <w:r w:rsidR="0076654A">
              <w:t>, second generation Grubbs catalyst</w:t>
            </w:r>
            <w:r w:rsidRPr="0065245B">
              <w:t>.</w:t>
            </w:r>
          </w:p>
        </w:tc>
      </w:tr>
    </w:tbl>
    <w:p w:rsidR="00166162" w:rsidRDefault="00166162" w:rsidP="00427E5A">
      <w:pPr>
        <w:rPr>
          <w:sz w:val="20"/>
          <w:szCs w:val="20"/>
          <w:lang w:val="en-US"/>
        </w:rPr>
        <w:sectPr w:rsidR="00166162" w:rsidSect="007A3351">
          <w:headerReference w:type="default" r:id="rId10"/>
          <w:footerReference w:type="default" r:id="rId11"/>
          <w:endnotePr>
            <w:numFmt w:val="chicago"/>
          </w:endnotePr>
          <w:pgSz w:w="11906" w:h="16838" w:code="9"/>
          <w:pgMar w:top="1134" w:right="1134" w:bottom="1134" w:left="1134" w:header="709" w:footer="709" w:gutter="0"/>
          <w:cols w:space="282"/>
          <w:docGrid w:linePitch="360"/>
        </w:sectPr>
      </w:pPr>
    </w:p>
    <w:p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rsidR="00875175" w:rsidRPr="004A44BC" w:rsidRDefault="00427E5A" w:rsidP="00C02E59">
      <w:pPr>
        <w:spacing w:after="240"/>
        <w:rPr>
          <w:rFonts w:ascii="Arial" w:hAnsi="Arial" w:cs="Arial"/>
          <w:b/>
          <w:lang w:val="en-US"/>
        </w:rPr>
      </w:pPr>
      <w:r w:rsidRPr="00427E5A">
        <w:rPr>
          <w:rFonts w:ascii="Arial" w:hAnsi="Arial" w:cs="Arial"/>
          <w:b/>
          <w:lang w:val="en-US"/>
        </w:rPr>
        <w:lastRenderedPageBreak/>
        <w:t>Introduction</w:t>
      </w:r>
    </w:p>
    <w:p w:rsidR="00831CF8" w:rsidRDefault="00831CF8" w:rsidP="00172043">
      <w:pPr>
        <w:pStyle w:val="MainText"/>
        <w:ind w:firstLine="284"/>
      </w:pPr>
      <w:r w:rsidRPr="007C21DA">
        <w:t>The search for new polymeric materials with improved performance properties is one of the permanent tasks of modern polymer science. Its solution is based either on the search for new monomers allowing</w:t>
      </w:r>
      <w:r w:rsidR="00C02E59">
        <w:t xml:space="preserve"> for </w:t>
      </w:r>
      <w:r w:rsidRPr="007C21DA">
        <w:t>obtain</w:t>
      </w:r>
      <w:r w:rsidR="00C02E59">
        <w:t>ing</w:t>
      </w:r>
      <w:r w:rsidRPr="007C21DA">
        <w:t xml:space="preserve"> polymers with unique properties or on various </w:t>
      </w:r>
      <w:proofErr w:type="spellStart"/>
      <w:r w:rsidRPr="007C21DA">
        <w:t>postpolymerization</w:t>
      </w:r>
      <w:proofErr w:type="spellEnd"/>
      <w:r w:rsidRPr="007C21DA">
        <w:t xml:space="preserve"> modifications of already known objects. Reactive homo- and copolymers themselves can act as modifiers of other polymeric materials,</w:t>
      </w:r>
      <w:r>
        <w:t xml:space="preserve"> in particular, epoxy systems. </w:t>
      </w:r>
      <w:r w:rsidRPr="007C21DA">
        <w:t>For example, the addition of maleic anhydride and styrene</w:t>
      </w:r>
      <w:r w:rsidR="00C02E59">
        <w:t xml:space="preserve"> [1]</w:t>
      </w:r>
      <w:r w:rsidRPr="007C21DA">
        <w:t xml:space="preserve"> or maleic anhydride and </w:t>
      </w:r>
      <w:r w:rsidRPr="007C21DA">
        <w:rPr>
          <w:lang w:val="ru-RU"/>
        </w:rPr>
        <w:t>α</w:t>
      </w:r>
      <w:r w:rsidRPr="007C21DA">
        <w:t xml:space="preserve">-olefin </w:t>
      </w:r>
      <w:r w:rsidR="00C02E59">
        <w:t>[2]</w:t>
      </w:r>
      <w:r w:rsidRPr="007C21DA">
        <w:t xml:space="preserve"> copolymers to an epoxy system leads to the preservation of their optical transparency with a simultaneous increase in the glass transition temperature of the resulting product, as well as bending strength, impact strength, shear adhesion strength to metal of the cured samples compared to the unmodified system. We believe that the key structural fragment of these copolymers, which improves the performance properties of epoxy systems, is a maleic anhydride link</w:t>
      </w:r>
      <w:r w:rsidR="00613E64">
        <w:t>,</w:t>
      </w:r>
      <w:r w:rsidRPr="007C21DA">
        <w:t xml:space="preserve"> capable of opening during resin curing with the formation of additional transverse chemical bonds. The disadvantages of the above modifiers are the radical method of their polymerization, leading to a wide molecular weight distribution and difficulties in controlling the molecular weight of the final product, as well as strictly alternati</w:t>
      </w:r>
      <w:r>
        <w:t>ng nature of the resulting copolymers</w:t>
      </w:r>
      <w:r w:rsidRPr="007C21DA">
        <w:t>, preventing the reg</w:t>
      </w:r>
      <w:r>
        <w:t xml:space="preserve">ulation of </w:t>
      </w:r>
      <w:r w:rsidR="00613E64">
        <w:t>a</w:t>
      </w:r>
      <w:r>
        <w:t xml:space="preserve"> microstructure. </w:t>
      </w:r>
      <w:r w:rsidRPr="007C21DA">
        <w:t>The solution to these problems may be the use of a homopolymer of exo-anhydride of 5-norbornene-2</w:t>
      </w:r>
      <w:proofErr w:type="gramStart"/>
      <w:r w:rsidRPr="007C21DA">
        <w:t>,3</w:t>
      </w:r>
      <w:proofErr w:type="gramEnd"/>
      <w:r w:rsidRPr="007C21DA">
        <w:t>-dicarboxylic acid (poly(NDA))</w:t>
      </w:r>
      <w:r w:rsidR="00510F9A">
        <w:t>,</w:t>
      </w:r>
      <w:r w:rsidRPr="007C21DA">
        <w:t xml:space="preserve"> synthesized by </w:t>
      </w:r>
      <w:r w:rsidR="00613E64">
        <w:t xml:space="preserve">the </w:t>
      </w:r>
      <w:r w:rsidRPr="007C21DA">
        <w:t>ROMP</w:t>
      </w:r>
      <w:r w:rsidR="00510F9A">
        <w:t>,</w:t>
      </w:r>
      <w:r w:rsidRPr="007C21DA">
        <w:t xml:space="preserve"> as a modifier. The structure of this polymer is characterized by the presence of an anhydride </w:t>
      </w:r>
      <w:r w:rsidR="00C21F2B">
        <w:t>unit</w:t>
      </w:r>
      <w:r w:rsidRPr="007C21DA">
        <w:t xml:space="preserve"> in each monomeric link and its distance from the main chain, which may facilitate access to it by epoxy groups, as well as a strictly defined molecular weight and easily controlled chain architecture. Both classical three-</w:t>
      </w:r>
      <w:r w:rsidRPr="007C21DA">
        <w:lastRenderedPageBreak/>
        <w:t>component catalytic systems based on WCl</w:t>
      </w:r>
      <w:r w:rsidRPr="007C21DA">
        <w:rPr>
          <w:vertAlign w:val="subscript"/>
        </w:rPr>
        <w:t>6</w:t>
      </w:r>
      <w:r w:rsidRPr="007C21DA">
        <w:t>/Et</w:t>
      </w:r>
      <w:r w:rsidRPr="007C21DA">
        <w:rPr>
          <w:vertAlign w:val="subscript"/>
        </w:rPr>
        <w:t>3</w:t>
      </w:r>
      <w:r w:rsidRPr="007C21DA">
        <w:t>Al, Et</w:t>
      </w:r>
      <w:r w:rsidRPr="007C21DA">
        <w:rPr>
          <w:vertAlign w:val="subscript"/>
        </w:rPr>
        <w:t>2</w:t>
      </w:r>
      <w:r w:rsidRPr="007C21DA">
        <w:t>AlCl</w:t>
      </w:r>
      <w:r w:rsidR="006939A5">
        <w:t>,</w:t>
      </w:r>
      <w:r w:rsidRPr="007C21DA">
        <w:t xml:space="preserve"> or EtAlCl</w:t>
      </w:r>
      <w:r w:rsidRPr="007C21DA">
        <w:rPr>
          <w:vertAlign w:val="subscript"/>
        </w:rPr>
        <w:t>2</w:t>
      </w:r>
      <w:r w:rsidRPr="007C21DA">
        <w:t>/Et</w:t>
      </w:r>
      <w:r w:rsidRPr="007C21DA">
        <w:rPr>
          <w:vertAlign w:val="subscript"/>
        </w:rPr>
        <w:t>4</w:t>
      </w:r>
      <w:r w:rsidRPr="007C21DA">
        <w:t xml:space="preserve">Sn [3] and </w:t>
      </w:r>
      <w:r w:rsidR="00C21F2B">
        <w:t xml:space="preserve">the </w:t>
      </w:r>
      <w:r w:rsidRPr="007C21DA">
        <w:t xml:space="preserve">single-component Schrock [4], </w:t>
      </w:r>
      <w:r w:rsidR="00C21F2B">
        <w:t>the first-</w:t>
      </w:r>
      <w:r w:rsidRPr="007C21DA">
        <w:t xml:space="preserve"> (Gr1)</w:t>
      </w:r>
      <w:r w:rsidR="00C21F2B">
        <w:t xml:space="preserve"> [5]</w:t>
      </w:r>
      <w:r w:rsidRPr="007C21DA">
        <w:t>,</w:t>
      </w:r>
      <w:r w:rsidR="00C21F2B">
        <w:t xml:space="preserve"> second-</w:t>
      </w:r>
      <w:r w:rsidRPr="007C21DA">
        <w:t xml:space="preserve"> (Gr2) </w:t>
      </w:r>
      <w:r w:rsidR="00C21F2B">
        <w:t xml:space="preserve">[6–8] </w:t>
      </w:r>
      <w:r w:rsidRPr="007C21DA">
        <w:t xml:space="preserve">and </w:t>
      </w:r>
      <w:r w:rsidR="00C21F2B">
        <w:t>third-generation [7, 9–11]</w:t>
      </w:r>
      <w:r w:rsidRPr="007C21DA">
        <w:t xml:space="preserve"> </w:t>
      </w:r>
      <w:r w:rsidR="00C21F2B">
        <w:t xml:space="preserve">Grubbs </w:t>
      </w:r>
      <w:r w:rsidRPr="007C21DA">
        <w:t xml:space="preserve">carbene catalysts have been used as initiators for </w:t>
      </w:r>
      <w:r w:rsidR="00C21F2B">
        <w:t xml:space="preserve">the </w:t>
      </w:r>
      <w:r w:rsidRPr="007C21DA">
        <w:t xml:space="preserve">metathesis polymerization of NDAs. The molecular weight of </w:t>
      </w:r>
      <w:proofErr w:type="gramStart"/>
      <w:r w:rsidRPr="007C21DA">
        <w:t>poly(</w:t>
      </w:r>
      <w:proofErr w:type="gramEnd"/>
      <w:r w:rsidRPr="007C21DA">
        <w:t xml:space="preserve">NDA) was controlled by </w:t>
      </w:r>
      <w:r w:rsidR="004E7056">
        <w:t>conducting</w:t>
      </w:r>
      <w:r w:rsidRPr="007C21DA">
        <w:t xml:space="preserve"> the reaction either at a low NDA/catalyst ratio </w:t>
      </w:r>
      <w:r w:rsidR="00C21F2B">
        <w:t>[4]</w:t>
      </w:r>
      <w:r w:rsidRPr="007C21DA">
        <w:t xml:space="preserve"> or in the presence of chain transfer agents, such as </w:t>
      </w:r>
      <w:r w:rsidR="00A9345F">
        <w:t>1-</w:t>
      </w:r>
      <w:r w:rsidRPr="007C21DA">
        <w:t xml:space="preserve">hexene </w:t>
      </w:r>
      <w:r w:rsidR="00C21F2B">
        <w:t>[3]</w:t>
      </w:r>
      <w:r w:rsidRPr="007C21DA">
        <w:t xml:space="preserve"> or </w:t>
      </w:r>
      <w:r w:rsidR="00A9345F">
        <w:t>1-</w:t>
      </w:r>
      <w:r w:rsidRPr="007C21DA">
        <w:t xml:space="preserve">decene </w:t>
      </w:r>
      <w:r w:rsidR="00C21F2B">
        <w:t>[6, 8]</w:t>
      </w:r>
      <w:r w:rsidRPr="007C21DA">
        <w:t xml:space="preserve">. It should be noted that the synthesis of </w:t>
      </w:r>
      <w:proofErr w:type="gramStart"/>
      <w:r w:rsidRPr="007C21DA">
        <w:t>poly(</w:t>
      </w:r>
      <w:proofErr w:type="gramEnd"/>
      <w:r w:rsidRPr="007C21DA">
        <w:t xml:space="preserve">NDA) was </w:t>
      </w:r>
      <w:r w:rsidR="00AF12A4">
        <w:t>accomplished</w:t>
      </w:r>
      <w:r w:rsidRPr="007C21DA">
        <w:t xml:space="preserve"> in </w:t>
      </w:r>
      <w:r w:rsidR="00AF12A4">
        <w:t>different</w:t>
      </w:r>
      <w:r w:rsidRPr="007C21DA">
        <w:t xml:space="preserve"> organic solvents</w:t>
      </w:r>
      <w:r w:rsidR="00AF12A4">
        <w:t>;</w:t>
      </w:r>
      <w:r w:rsidRPr="007C21DA">
        <w:t xml:space="preserve"> however, only some authors took into account that this polymer is soluble only in DMF and DMSO and used a suitable solvent</w:t>
      </w:r>
      <w:r w:rsidR="00AF12A4">
        <w:t xml:space="preserve"> [7, 11]</w:t>
      </w:r>
      <w:r w:rsidRPr="007C21DA">
        <w:t xml:space="preserve">. </w:t>
      </w:r>
      <w:r w:rsidR="002722F1">
        <w:t>Furthermore,</w:t>
      </w:r>
      <w:r w:rsidRPr="007C21DA">
        <w:t xml:space="preserve"> the polymerization reaction of NDA </w:t>
      </w:r>
      <w:r w:rsidR="00AF12A4">
        <w:t xml:space="preserve">was </w:t>
      </w:r>
      <w:r w:rsidRPr="007C21DA">
        <w:t xml:space="preserve">not studied in detail </w:t>
      </w:r>
      <w:r w:rsidR="00AF12A4">
        <w:t xml:space="preserve">in Refs. </w:t>
      </w:r>
      <w:r w:rsidRPr="007C21DA">
        <w:t xml:space="preserve">[7, 11]. In particular, the </w:t>
      </w:r>
      <w:r w:rsidR="00AF12A4">
        <w:t>effect</w:t>
      </w:r>
      <w:r w:rsidRPr="007C21DA">
        <w:t xml:space="preserve"> of </w:t>
      </w:r>
      <w:r w:rsidR="00AF12A4">
        <w:t xml:space="preserve">the </w:t>
      </w:r>
      <w:r w:rsidRPr="007C21DA">
        <w:t xml:space="preserve">synthesis conditions, including the presence of a chain transfer agent, on the molecular weight of the resulting product was not evaluated, nor was the molecular weight of </w:t>
      </w:r>
      <w:proofErr w:type="gramStart"/>
      <w:r w:rsidRPr="007C21DA">
        <w:t>poly(</w:t>
      </w:r>
      <w:proofErr w:type="gramEnd"/>
      <w:r w:rsidRPr="007C21DA">
        <w:t>NDA) itself determined. In th</w:t>
      </w:r>
      <w:r w:rsidR="00AF12A4">
        <w:t>o</w:t>
      </w:r>
      <w:r w:rsidRPr="007C21DA">
        <w:t xml:space="preserve">se cases where an attempt was made to determine the molecular weight of </w:t>
      </w:r>
      <w:proofErr w:type="gramStart"/>
      <w:r w:rsidRPr="007C21DA">
        <w:t>poly(</w:t>
      </w:r>
      <w:proofErr w:type="gramEnd"/>
      <w:r w:rsidRPr="007C21DA">
        <w:t>NDA)</w:t>
      </w:r>
      <w:r w:rsidR="00AF12A4">
        <w:t>,</w:t>
      </w:r>
      <w:r w:rsidRPr="007C21DA">
        <w:t xml:space="preserve"> a poor solvent was chosen as </w:t>
      </w:r>
      <w:r w:rsidR="00AF12A4">
        <w:t>an</w:t>
      </w:r>
      <w:r w:rsidRPr="007C21DA">
        <w:t xml:space="preserve"> eluent [6, 8</w:t>
      </w:r>
      <w:r w:rsidR="00AF12A4">
        <w:t>–11</w:t>
      </w:r>
      <w:r w:rsidRPr="007C21DA">
        <w:t xml:space="preserve">]. Therefore, the </w:t>
      </w:r>
      <w:r w:rsidR="00AF12A4">
        <w:t>goal</w:t>
      </w:r>
      <w:r w:rsidRPr="007C21DA">
        <w:t xml:space="preserve"> of this work </w:t>
      </w:r>
      <w:r w:rsidR="00AF12A4">
        <w:t>wa</w:t>
      </w:r>
      <w:r w:rsidRPr="007C21DA">
        <w:t xml:space="preserve">s to study the </w:t>
      </w:r>
      <w:r w:rsidR="00AF12A4">
        <w:t>effect</w:t>
      </w:r>
      <w:r w:rsidRPr="007C21DA">
        <w:t xml:space="preserve"> of the conditions of metathesis polymerization with the opening of the NDA </w:t>
      </w:r>
      <w:r w:rsidR="00AF12A4">
        <w:t>ring</w:t>
      </w:r>
      <w:r w:rsidRPr="007C21DA">
        <w:t xml:space="preserve"> under the action of the </w:t>
      </w:r>
      <w:r w:rsidR="00AF12A4">
        <w:t>seco</w:t>
      </w:r>
      <w:r w:rsidR="00AF12A4" w:rsidRPr="007C21DA">
        <w:t>nd</w:t>
      </w:r>
      <w:r w:rsidR="00AF12A4">
        <w:t>-</w:t>
      </w:r>
      <w:r w:rsidR="00AF12A4" w:rsidRPr="007C21DA">
        <w:t xml:space="preserve">generation </w:t>
      </w:r>
      <w:r w:rsidRPr="007C21DA">
        <w:t xml:space="preserve">Grubbs catalyst in the presence of </w:t>
      </w:r>
      <w:r w:rsidR="002722F1">
        <w:t>1-</w:t>
      </w:r>
      <w:r w:rsidRPr="007C21DA">
        <w:t>hexene, acting as a chain transfer agent, in DMF on the molecular weight and thermal properties of the product.</w:t>
      </w:r>
    </w:p>
    <w:p w:rsidR="00875175" w:rsidRDefault="00875175" w:rsidP="00B23601">
      <w:pPr>
        <w:pStyle w:val="Header1"/>
        <w:spacing w:before="240" w:after="240"/>
      </w:pPr>
      <w:r w:rsidRPr="00875175">
        <w:t>Results and discussion</w:t>
      </w:r>
    </w:p>
    <w:p w:rsidR="00172043" w:rsidRPr="001F66A9" w:rsidRDefault="00AF12A4" w:rsidP="00C236D5">
      <w:pPr>
        <w:pStyle w:val="MainText"/>
        <w:widowControl w:val="0"/>
        <w:ind w:firstLine="284"/>
      </w:pPr>
      <w:r>
        <w:t>The s</w:t>
      </w:r>
      <w:r w:rsidR="00172043" w:rsidRPr="007C21DA">
        <w:t xml:space="preserve">ynthesis of </w:t>
      </w:r>
      <w:proofErr w:type="gramStart"/>
      <w:r w:rsidR="00172043" w:rsidRPr="007C21DA">
        <w:t>poly(</w:t>
      </w:r>
      <w:proofErr w:type="gramEnd"/>
      <w:r w:rsidR="00172043" w:rsidRPr="007C21DA">
        <w:t xml:space="preserve">NDA) was carried out according to Scheme 1 at different ratios of </w:t>
      </w:r>
      <w:r>
        <w:t xml:space="preserve">the </w:t>
      </w:r>
      <w:r w:rsidR="00172043" w:rsidRPr="007C21DA">
        <w:t xml:space="preserve">reagents (Table 1). The final products were isolated by precipitation of the polymer </w:t>
      </w:r>
      <w:r>
        <w:t xml:space="preserve">with </w:t>
      </w:r>
      <w:r w:rsidR="00172043" w:rsidRPr="007C21DA">
        <w:t xml:space="preserve">excess methanol and subsequent drying </w:t>
      </w:r>
      <w:r>
        <w:t>under</w:t>
      </w:r>
      <w:r w:rsidR="00172043" w:rsidRPr="007C21DA">
        <w:t xml:space="preserve"> vacuum. As a result, soluble fibrous or powdery polymers were obtained</w:t>
      </w:r>
      <w:r w:rsidRPr="00AF12A4">
        <w:t xml:space="preserve"> </w:t>
      </w:r>
      <w:r>
        <w:t xml:space="preserve">in </w:t>
      </w:r>
      <w:r w:rsidRPr="007C21DA">
        <w:lastRenderedPageBreak/>
        <w:t>yields up to 92%</w:t>
      </w:r>
      <w:r w:rsidR="00172043" w:rsidRPr="007C21DA">
        <w:t xml:space="preserve">. All </w:t>
      </w:r>
      <w:r>
        <w:t xml:space="preserve">the resulting </w:t>
      </w:r>
      <w:r w:rsidR="00172043" w:rsidRPr="007C21DA">
        <w:t>polymers were characterized by GPC, DSC and TGA methods.</w:t>
      </w:r>
    </w:p>
    <w:p w:rsidR="00172043" w:rsidRPr="0069067C" w:rsidRDefault="00172043" w:rsidP="0050483C">
      <w:pPr>
        <w:pStyle w:val="MainText"/>
        <w:spacing w:before="200" w:after="120"/>
        <w:ind w:firstLine="0"/>
        <w:jc w:val="center"/>
        <w:rPr>
          <w:lang w:val="ru-RU"/>
        </w:rPr>
      </w:pPr>
      <w:r w:rsidRPr="007E40B8">
        <w:rPr>
          <w:noProof/>
          <w:lang w:val="ru-RU" w:eastAsia="ru-RU"/>
        </w:rPr>
        <w:drawing>
          <wp:inline distT="0" distB="0" distL="0" distR="0">
            <wp:extent cx="2826562" cy="432270"/>
            <wp:effectExtent l="19050" t="0" r="0" b="0"/>
            <wp:docPr id="8" name="Рисунок 8" descr="D:\TIPS\YandexDisk\НИР\Documents\Articles\21 PolyNDA for INEOS Open\schem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TIPS\YandexDisk\НИР\Documents\Articles\21 PolyNDA for INEOS Open\schem1.tif"/>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0454" cy="435924"/>
                    </a:xfrm>
                    <a:prstGeom prst="rect">
                      <a:avLst/>
                    </a:prstGeom>
                    <a:noFill/>
                    <a:ln>
                      <a:noFill/>
                    </a:ln>
                  </pic:spPr>
                </pic:pic>
              </a:graphicData>
            </a:graphic>
          </wp:inline>
        </w:drawing>
      </w:r>
    </w:p>
    <w:p w:rsidR="00172043" w:rsidRPr="00094263" w:rsidRDefault="00172043" w:rsidP="00172043">
      <w:pPr>
        <w:spacing w:before="200"/>
        <w:jc w:val="both"/>
        <w:rPr>
          <w:rFonts w:ascii="Times New Roman" w:hAnsi="Times New Roman" w:cs="Times New Roman"/>
          <w:sz w:val="16"/>
          <w:szCs w:val="16"/>
          <w:lang w:val="en-US"/>
        </w:rPr>
      </w:pPr>
      <w:r w:rsidRPr="00820A77">
        <w:rPr>
          <w:rStyle w:val="Captions0"/>
          <w:sz w:val="16"/>
          <w:szCs w:val="16"/>
        </w:rPr>
        <w:t>Scheme</w:t>
      </w:r>
      <w:r w:rsidRPr="00094263">
        <w:rPr>
          <w:rStyle w:val="Captions0"/>
          <w:sz w:val="16"/>
          <w:szCs w:val="16"/>
        </w:rPr>
        <w:t xml:space="preserve"> 1.</w:t>
      </w:r>
      <w:r w:rsidRPr="00094263">
        <w:rPr>
          <w:rStyle w:val="Captions0"/>
          <w:b w:val="0"/>
          <w:sz w:val="16"/>
          <w:szCs w:val="16"/>
        </w:rPr>
        <w:t xml:space="preserve"> Synthesis of </w:t>
      </w:r>
      <w:proofErr w:type="gramStart"/>
      <w:r w:rsidRPr="00094263">
        <w:rPr>
          <w:rStyle w:val="Captions0"/>
          <w:b w:val="0"/>
          <w:sz w:val="16"/>
          <w:szCs w:val="16"/>
        </w:rPr>
        <w:t>poly(</w:t>
      </w:r>
      <w:proofErr w:type="gramEnd"/>
      <w:r w:rsidRPr="00094263">
        <w:rPr>
          <w:rStyle w:val="Captions0"/>
          <w:b w:val="0"/>
          <w:sz w:val="16"/>
          <w:szCs w:val="16"/>
        </w:rPr>
        <w:t xml:space="preserve">NDA) by </w:t>
      </w:r>
      <w:r w:rsidR="00AF12A4">
        <w:rPr>
          <w:rStyle w:val="Captions0"/>
          <w:b w:val="0"/>
          <w:sz w:val="16"/>
          <w:szCs w:val="16"/>
        </w:rPr>
        <w:t xml:space="preserve">the </w:t>
      </w:r>
      <w:r w:rsidRPr="00094263">
        <w:rPr>
          <w:rStyle w:val="Captions0"/>
          <w:b w:val="0"/>
          <w:sz w:val="16"/>
          <w:szCs w:val="16"/>
        </w:rPr>
        <w:t>ROMP in</w:t>
      </w:r>
      <w:r w:rsidRPr="00B3641F">
        <w:rPr>
          <w:rStyle w:val="Captions0"/>
          <w:b w:val="0"/>
          <w:sz w:val="16"/>
          <w:szCs w:val="16"/>
        </w:rPr>
        <w:t xml:space="preserve"> </w:t>
      </w:r>
      <w:r>
        <w:rPr>
          <w:rStyle w:val="Captions0"/>
          <w:b w:val="0"/>
          <w:sz w:val="16"/>
          <w:szCs w:val="16"/>
        </w:rPr>
        <w:t>the</w:t>
      </w:r>
      <w:r w:rsidRPr="00094263">
        <w:rPr>
          <w:rStyle w:val="Captions0"/>
          <w:b w:val="0"/>
          <w:sz w:val="16"/>
          <w:szCs w:val="16"/>
        </w:rPr>
        <w:t xml:space="preserve"> presence of </w:t>
      </w:r>
      <w:r>
        <w:rPr>
          <w:rStyle w:val="Captions0"/>
          <w:b w:val="0"/>
          <w:sz w:val="16"/>
          <w:szCs w:val="16"/>
        </w:rPr>
        <w:t xml:space="preserve">the </w:t>
      </w:r>
      <w:r w:rsidR="00AF12A4">
        <w:rPr>
          <w:rStyle w:val="Captions0"/>
          <w:b w:val="0"/>
          <w:sz w:val="16"/>
          <w:szCs w:val="16"/>
        </w:rPr>
        <w:t>second-</w:t>
      </w:r>
      <w:r w:rsidRPr="00094263">
        <w:rPr>
          <w:rStyle w:val="Captions0"/>
          <w:b w:val="0"/>
          <w:sz w:val="16"/>
          <w:szCs w:val="16"/>
        </w:rPr>
        <w:t>generation Grubbs catalyst and 1-hexene in DMF.</w:t>
      </w:r>
    </w:p>
    <w:p w:rsidR="00172043" w:rsidRPr="007C21DA" w:rsidRDefault="00172043" w:rsidP="00172043">
      <w:pPr>
        <w:pStyle w:val="Captions"/>
        <w:spacing w:after="120" w:line="276" w:lineRule="auto"/>
        <w:ind w:firstLine="0"/>
        <w:rPr>
          <w:b w:val="0"/>
          <w:sz w:val="16"/>
          <w:szCs w:val="16"/>
        </w:rPr>
      </w:pPr>
      <w:r w:rsidRPr="00820A77">
        <w:rPr>
          <w:sz w:val="16"/>
          <w:szCs w:val="16"/>
        </w:rPr>
        <w:t>Table</w:t>
      </w:r>
      <w:r w:rsidRPr="001F66A9">
        <w:rPr>
          <w:sz w:val="16"/>
          <w:szCs w:val="16"/>
        </w:rPr>
        <w:t xml:space="preserve"> 1. </w:t>
      </w:r>
      <w:r w:rsidRPr="007C21DA">
        <w:rPr>
          <w:b w:val="0"/>
          <w:sz w:val="16"/>
          <w:szCs w:val="16"/>
        </w:rPr>
        <w:t xml:space="preserve">Effect of </w:t>
      </w:r>
      <w:r w:rsidR="00AF12A4">
        <w:rPr>
          <w:b w:val="0"/>
          <w:sz w:val="16"/>
          <w:szCs w:val="16"/>
        </w:rPr>
        <w:t xml:space="preserve">the </w:t>
      </w:r>
      <w:r w:rsidRPr="007C21DA">
        <w:rPr>
          <w:b w:val="0"/>
          <w:sz w:val="16"/>
          <w:szCs w:val="16"/>
        </w:rPr>
        <w:t xml:space="preserve">synthesis conditions on the molecular weight and glass transition temperature of </w:t>
      </w:r>
      <w:proofErr w:type="gramStart"/>
      <w:r w:rsidRPr="007C21DA">
        <w:rPr>
          <w:b w:val="0"/>
          <w:sz w:val="16"/>
          <w:szCs w:val="16"/>
        </w:rPr>
        <w:t>poly(</w:t>
      </w:r>
      <w:proofErr w:type="gramEnd"/>
      <w:r w:rsidRPr="007C21DA">
        <w:rPr>
          <w:b w:val="0"/>
          <w:sz w:val="16"/>
          <w:szCs w:val="16"/>
        </w:rPr>
        <w:t>NDA)</w:t>
      </w:r>
      <w:r w:rsidR="00173A8E" w:rsidRPr="00173A8E">
        <w:rPr>
          <w:bCs/>
          <w:i/>
          <w:iCs/>
          <w:sz w:val="16"/>
          <w:szCs w:val="16"/>
          <w:vertAlign w:val="superscript"/>
        </w:rPr>
        <w:t>a</w:t>
      </w:r>
    </w:p>
    <w:tbl>
      <w:tblPr>
        <w:tblStyle w:val="af2"/>
        <w:tblW w:w="4725" w:type="dxa"/>
        <w:jc w:val="center"/>
        <w:tblInd w:w="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tblPr>
      <w:tblGrid>
        <w:gridCol w:w="449"/>
        <w:gridCol w:w="1426"/>
        <w:gridCol w:w="653"/>
        <w:gridCol w:w="587"/>
        <w:gridCol w:w="468"/>
        <w:gridCol w:w="685"/>
        <w:gridCol w:w="457"/>
      </w:tblGrid>
      <w:tr w:rsidR="00172043" w:rsidRPr="004E069B" w:rsidTr="0050483C">
        <w:trPr>
          <w:trHeight w:val="443"/>
          <w:tblHeader/>
          <w:jc w:val="center"/>
        </w:trPr>
        <w:tc>
          <w:tcPr>
            <w:tcW w:w="449" w:type="dxa"/>
            <w:tcBorders>
              <w:top w:val="single" w:sz="4" w:space="0" w:color="auto"/>
              <w:bottom w:val="single" w:sz="4" w:space="0" w:color="auto"/>
            </w:tcBorders>
            <w:vAlign w:val="center"/>
          </w:tcPr>
          <w:p w:rsidR="00172043" w:rsidRPr="00172043" w:rsidRDefault="00172043" w:rsidP="00172043">
            <w:pPr>
              <w:jc w:val="center"/>
              <w:rPr>
                <w:rFonts w:ascii="Times New Roman" w:hAnsi="Times New Roman" w:cs="Times New Roman"/>
                <w:sz w:val="16"/>
                <w:szCs w:val="24"/>
                <w:lang w:val="en-US"/>
              </w:rPr>
            </w:pPr>
            <w:r>
              <w:rPr>
                <w:rFonts w:ascii="Times New Roman" w:hAnsi="Times New Roman" w:cs="Times New Roman"/>
                <w:sz w:val="16"/>
                <w:szCs w:val="24"/>
                <w:lang w:val="en-US"/>
              </w:rPr>
              <w:t>Entry</w:t>
            </w:r>
          </w:p>
        </w:tc>
        <w:tc>
          <w:tcPr>
            <w:tcW w:w="1426" w:type="dxa"/>
            <w:tcBorders>
              <w:top w:val="single" w:sz="4" w:space="0" w:color="auto"/>
              <w:bottom w:val="single" w:sz="4" w:space="0" w:color="auto"/>
            </w:tcBorders>
            <w:vAlign w:val="center"/>
          </w:tcPr>
          <w:p w:rsidR="00172043" w:rsidRPr="007C21DA" w:rsidRDefault="00172043" w:rsidP="00172043">
            <w:pPr>
              <w:jc w:val="center"/>
              <w:rPr>
                <w:rFonts w:ascii="Times New Roman" w:hAnsi="Times New Roman" w:cs="Times New Roman"/>
                <w:sz w:val="16"/>
                <w:szCs w:val="24"/>
                <w:lang w:val="en-US"/>
              </w:rPr>
            </w:pPr>
            <w:r>
              <w:rPr>
                <w:rFonts w:ascii="Times New Roman" w:hAnsi="Times New Roman" w:cs="Times New Roman"/>
                <w:sz w:val="16"/>
                <w:szCs w:val="24"/>
                <w:lang w:val="en-US"/>
              </w:rPr>
              <w:t>NDA</w:t>
            </w:r>
            <w:r w:rsidRPr="007C21DA">
              <w:rPr>
                <w:rFonts w:ascii="Times New Roman" w:hAnsi="Times New Roman" w:cs="Times New Roman"/>
                <w:sz w:val="16"/>
                <w:szCs w:val="24"/>
                <w:lang w:val="en-US"/>
              </w:rPr>
              <w:t>/</w:t>
            </w:r>
            <w:r>
              <w:rPr>
                <w:rFonts w:ascii="Times New Roman" w:hAnsi="Times New Roman" w:cs="Times New Roman"/>
                <w:sz w:val="16"/>
                <w:szCs w:val="24"/>
                <w:lang w:val="en-US"/>
              </w:rPr>
              <w:t>hexene</w:t>
            </w:r>
            <w:r w:rsidRPr="007C21DA">
              <w:rPr>
                <w:rFonts w:ascii="Times New Roman" w:hAnsi="Times New Roman" w:cs="Times New Roman"/>
                <w:sz w:val="16"/>
                <w:szCs w:val="24"/>
                <w:lang w:val="en-US"/>
              </w:rPr>
              <w:t>-1/</w:t>
            </w:r>
            <w:r>
              <w:rPr>
                <w:rFonts w:ascii="Times New Roman" w:hAnsi="Times New Roman" w:cs="Times New Roman"/>
                <w:sz w:val="16"/>
                <w:szCs w:val="24"/>
                <w:lang w:val="en-US"/>
              </w:rPr>
              <w:t>Gr2</w:t>
            </w:r>
          </w:p>
          <w:p w:rsidR="00172043" w:rsidRPr="001F66A9" w:rsidRDefault="00172043" w:rsidP="00172043">
            <w:pPr>
              <w:jc w:val="center"/>
              <w:rPr>
                <w:rFonts w:ascii="Times New Roman" w:hAnsi="Times New Roman" w:cs="Times New Roman"/>
                <w:sz w:val="16"/>
                <w:szCs w:val="24"/>
                <w:lang w:val="en-US"/>
              </w:rPr>
            </w:pPr>
            <w:r>
              <w:rPr>
                <w:rFonts w:ascii="Times New Roman" w:hAnsi="Times New Roman" w:cs="Times New Roman"/>
                <w:sz w:val="16"/>
                <w:szCs w:val="24"/>
                <w:lang w:val="en-US"/>
              </w:rPr>
              <w:t>mol</w:t>
            </w:r>
            <w:r w:rsidRPr="007C21DA">
              <w:rPr>
                <w:rFonts w:ascii="Times New Roman" w:hAnsi="Times New Roman" w:cs="Times New Roman"/>
                <w:sz w:val="16"/>
                <w:szCs w:val="24"/>
                <w:lang w:val="en-US"/>
              </w:rPr>
              <w:t>/</w:t>
            </w:r>
            <w:r>
              <w:rPr>
                <w:rFonts w:ascii="Times New Roman" w:hAnsi="Times New Roman" w:cs="Times New Roman"/>
                <w:sz w:val="16"/>
                <w:szCs w:val="24"/>
                <w:lang w:val="en-US"/>
              </w:rPr>
              <w:t>mol</w:t>
            </w:r>
            <w:r w:rsidRPr="007C21DA">
              <w:rPr>
                <w:rFonts w:ascii="Times New Roman" w:hAnsi="Times New Roman" w:cs="Times New Roman"/>
                <w:sz w:val="16"/>
                <w:szCs w:val="24"/>
                <w:lang w:val="en-US"/>
              </w:rPr>
              <w:t>/</w:t>
            </w:r>
            <w:r>
              <w:rPr>
                <w:rFonts w:ascii="Times New Roman" w:hAnsi="Times New Roman" w:cs="Times New Roman"/>
                <w:sz w:val="16"/>
                <w:szCs w:val="24"/>
                <w:lang w:val="en-US"/>
              </w:rPr>
              <w:t>mol</w:t>
            </w:r>
          </w:p>
        </w:tc>
        <w:tc>
          <w:tcPr>
            <w:tcW w:w="653" w:type="dxa"/>
            <w:tcBorders>
              <w:top w:val="single" w:sz="4" w:space="0" w:color="auto"/>
              <w:bottom w:val="single" w:sz="4" w:space="0" w:color="auto"/>
            </w:tcBorders>
            <w:vAlign w:val="center"/>
          </w:tcPr>
          <w:p w:rsidR="00172043" w:rsidRPr="00213B77" w:rsidRDefault="00172043" w:rsidP="00172043">
            <w:pPr>
              <w:jc w:val="center"/>
              <w:rPr>
                <w:rFonts w:ascii="Times New Roman" w:hAnsi="Times New Roman" w:cs="Times New Roman"/>
                <w:sz w:val="16"/>
                <w:szCs w:val="24"/>
                <w:lang w:val="en-US"/>
              </w:rPr>
            </w:pPr>
            <w:r>
              <w:rPr>
                <w:rFonts w:ascii="Times New Roman" w:hAnsi="Times New Roman" w:cs="Times New Roman"/>
                <w:sz w:val="16"/>
                <w:szCs w:val="24"/>
                <w:lang w:val="en-US"/>
              </w:rPr>
              <w:t>Yield</w:t>
            </w:r>
            <w:r w:rsidRPr="00213B77">
              <w:rPr>
                <w:rFonts w:ascii="Times New Roman" w:hAnsi="Times New Roman" w:cs="Times New Roman"/>
                <w:sz w:val="16"/>
                <w:szCs w:val="24"/>
                <w:lang w:val="en-US"/>
              </w:rPr>
              <w:t>, %</w:t>
            </w:r>
          </w:p>
        </w:tc>
        <w:tc>
          <w:tcPr>
            <w:tcW w:w="587" w:type="dxa"/>
            <w:tcBorders>
              <w:top w:val="single" w:sz="4" w:space="0" w:color="auto"/>
              <w:bottom w:val="single" w:sz="4" w:space="0" w:color="auto"/>
            </w:tcBorders>
            <w:vAlign w:val="center"/>
          </w:tcPr>
          <w:p w:rsidR="00172043" w:rsidRPr="007C21DA" w:rsidRDefault="00172043" w:rsidP="00172043">
            <w:pPr>
              <w:jc w:val="center"/>
              <w:rPr>
                <w:rFonts w:ascii="Times New Roman" w:hAnsi="Times New Roman" w:cs="Times New Roman"/>
                <w:i/>
                <w:sz w:val="16"/>
                <w:szCs w:val="24"/>
                <w:lang w:val="en-US"/>
              </w:rPr>
            </w:pPr>
            <w:proofErr w:type="spellStart"/>
            <w:r w:rsidRPr="00213B77">
              <w:rPr>
                <w:rFonts w:ascii="Times New Roman" w:hAnsi="Times New Roman" w:cs="Times New Roman"/>
                <w:i/>
                <w:sz w:val="16"/>
                <w:szCs w:val="24"/>
                <w:lang w:val="en-US"/>
              </w:rPr>
              <w:t>M</w:t>
            </w:r>
            <w:r w:rsidRPr="00173A8E">
              <w:rPr>
                <w:rFonts w:ascii="Times New Roman" w:hAnsi="Times New Roman" w:cs="Times New Roman"/>
                <w:iCs/>
                <w:sz w:val="16"/>
                <w:szCs w:val="24"/>
                <w:vertAlign w:val="subscript"/>
                <w:lang w:val="en-US"/>
              </w:rPr>
              <w:t>n</w:t>
            </w:r>
            <w:r w:rsidRPr="00173A8E">
              <w:rPr>
                <w:rFonts w:ascii="Times New Roman" w:hAnsi="Times New Roman" w:cs="Times New Roman"/>
                <w:iCs/>
                <w:sz w:val="16"/>
                <w:szCs w:val="24"/>
                <w:vertAlign w:val="superscript"/>
                <w:lang w:val="en-US"/>
              </w:rPr>
              <w:t>GPC</w:t>
            </w:r>
            <w:proofErr w:type="spellEnd"/>
            <w:r w:rsidRPr="00213B77">
              <w:rPr>
                <w:rFonts w:ascii="Times New Roman" w:hAnsi="Times New Roman" w:cs="Times New Roman"/>
                <w:sz w:val="16"/>
                <w:szCs w:val="24"/>
              </w:rPr>
              <w:t xml:space="preserve">, </w:t>
            </w:r>
            <w:proofErr w:type="spellStart"/>
            <w:r>
              <w:rPr>
                <w:rFonts w:ascii="Times New Roman" w:hAnsi="Times New Roman" w:cs="Times New Roman"/>
                <w:sz w:val="16"/>
                <w:szCs w:val="24"/>
                <w:lang w:val="en-US"/>
              </w:rPr>
              <w:t>kDa</w:t>
            </w:r>
            <w:r w:rsidR="00173A8E">
              <w:rPr>
                <w:rFonts w:ascii="Times New Roman" w:hAnsi="Times New Roman" w:cs="Times New Roman"/>
                <w:b/>
                <w:bCs/>
                <w:i/>
                <w:sz w:val="16"/>
                <w:szCs w:val="24"/>
                <w:vertAlign w:val="superscript"/>
                <w:lang w:val="en-US"/>
              </w:rPr>
              <w:t>b</w:t>
            </w:r>
            <w:proofErr w:type="spellEnd"/>
          </w:p>
        </w:tc>
        <w:tc>
          <w:tcPr>
            <w:tcW w:w="468" w:type="dxa"/>
            <w:tcBorders>
              <w:top w:val="single" w:sz="4" w:space="0" w:color="auto"/>
              <w:bottom w:val="single" w:sz="4" w:space="0" w:color="auto"/>
            </w:tcBorders>
            <w:vAlign w:val="center"/>
          </w:tcPr>
          <w:p w:rsidR="00172043" w:rsidRPr="00213B77" w:rsidRDefault="00172043" w:rsidP="00172043">
            <w:pPr>
              <w:jc w:val="center"/>
              <w:rPr>
                <w:rFonts w:ascii="Times New Roman" w:hAnsi="Times New Roman" w:cs="Times New Roman"/>
                <w:i/>
                <w:sz w:val="16"/>
                <w:szCs w:val="24"/>
                <w:lang w:val="en-US"/>
              </w:rPr>
            </w:pPr>
            <w:r w:rsidRPr="0012214E">
              <w:rPr>
                <w:rFonts w:ascii="Times New Roman" w:hAnsi="Times New Roman" w:cs="Times New Roman"/>
                <w:i/>
                <w:sz w:val="16"/>
                <w:szCs w:val="24"/>
                <w:lang w:val="en-US"/>
              </w:rPr>
              <w:t>Ð</w:t>
            </w:r>
          </w:p>
        </w:tc>
        <w:tc>
          <w:tcPr>
            <w:tcW w:w="685" w:type="dxa"/>
            <w:tcBorders>
              <w:top w:val="single" w:sz="4" w:space="0" w:color="auto"/>
              <w:bottom w:val="single" w:sz="4" w:space="0" w:color="auto"/>
            </w:tcBorders>
            <w:vAlign w:val="center"/>
          </w:tcPr>
          <w:p w:rsidR="00172043" w:rsidRPr="007C21DA" w:rsidRDefault="00172043" w:rsidP="00172043">
            <w:pPr>
              <w:jc w:val="center"/>
              <w:rPr>
                <w:rFonts w:ascii="Times New Roman" w:hAnsi="Times New Roman" w:cs="Times New Roman"/>
                <w:sz w:val="16"/>
                <w:szCs w:val="24"/>
              </w:rPr>
            </w:pPr>
            <w:proofErr w:type="spellStart"/>
            <w:r w:rsidRPr="00213B77">
              <w:rPr>
                <w:rFonts w:ascii="Times New Roman" w:hAnsi="Times New Roman" w:cs="Times New Roman"/>
                <w:i/>
                <w:sz w:val="16"/>
                <w:szCs w:val="24"/>
                <w:lang w:val="en-US"/>
              </w:rPr>
              <w:t>M</w:t>
            </w:r>
            <w:r w:rsidRPr="00173A8E">
              <w:rPr>
                <w:rFonts w:ascii="Times New Roman" w:hAnsi="Times New Roman" w:cs="Times New Roman"/>
                <w:iCs/>
                <w:sz w:val="16"/>
                <w:szCs w:val="24"/>
                <w:vertAlign w:val="subscript"/>
                <w:lang w:val="en-US"/>
              </w:rPr>
              <w:t>n</w:t>
            </w:r>
            <w:r w:rsidRPr="00173A8E">
              <w:rPr>
                <w:rFonts w:ascii="Times New Roman" w:hAnsi="Times New Roman" w:cs="Times New Roman"/>
                <w:iCs/>
                <w:sz w:val="16"/>
                <w:szCs w:val="24"/>
                <w:vertAlign w:val="superscript"/>
                <w:lang w:val="en-US"/>
              </w:rPr>
              <w:t>NMR</w:t>
            </w:r>
            <w:proofErr w:type="spellEnd"/>
            <w:r>
              <w:rPr>
                <w:rFonts w:ascii="Times New Roman" w:hAnsi="Times New Roman" w:cs="Times New Roman"/>
                <w:sz w:val="16"/>
                <w:szCs w:val="24"/>
              </w:rPr>
              <w:t xml:space="preserve">, </w:t>
            </w:r>
            <w:proofErr w:type="spellStart"/>
            <w:r>
              <w:rPr>
                <w:rFonts w:ascii="Times New Roman" w:hAnsi="Times New Roman" w:cs="Times New Roman"/>
                <w:sz w:val="16"/>
                <w:szCs w:val="24"/>
                <w:lang w:val="en-US"/>
              </w:rPr>
              <w:t>kDa</w:t>
            </w:r>
            <w:r w:rsidR="00173A8E" w:rsidRPr="00173A8E">
              <w:rPr>
                <w:rFonts w:ascii="Times New Roman" w:hAnsi="Times New Roman" w:cs="Times New Roman"/>
                <w:b/>
                <w:bCs/>
                <w:i/>
                <w:iCs/>
                <w:sz w:val="16"/>
                <w:szCs w:val="24"/>
                <w:vertAlign w:val="superscript"/>
                <w:lang w:val="en-US"/>
              </w:rPr>
              <w:t>c</w:t>
            </w:r>
            <w:proofErr w:type="spellEnd"/>
          </w:p>
        </w:tc>
        <w:tc>
          <w:tcPr>
            <w:tcW w:w="457" w:type="dxa"/>
            <w:tcBorders>
              <w:top w:val="single" w:sz="4" w:space="0" w:color="auto"/>
              <w:bottom w:val="single" w:sz="4" w:space="0" w:color="auto"/>
            </w:tcBorders>
            <w:vAlign w:val="center"/>
          </w:tcPr>
          <w:p w:rsidR="00172043" w:rsidRPr="00173A8E" w:rsidRDefault="00172043" w:rsidP="00172043">
            <w:pPr>
              <w:jc w:val="center"/>
              <w:rPr>
                <w:rFonts w:ascii="Times New Roman" w:hAnsi="Times New Roman" w:cs="Times New Roman"/>
                <w:iCs/>
                <w:sz w:val="16"/>
                <w:szCs w:val="24"/>
                <w:lang w:val="en-US"/>
              </w:rPr>
            </w:pPr>
            <w:proofErr w:type="spellStart"/>
            <w:r w:rsidRPr="00173A8E">
              <w:rPr>
                <w:rFonts w:ascii="Times New Roman" w:hAnsi="Times New Roman" w:cs="Times New Roman"/>
                <w:i/>
                <w:sz w:val="16"/>
                <w:szCs w:val="24"/>
                <w:lang w:val="en-US"/>
              </w:rPr>
              <w:t>T</w:t>
            </w:r>
            <w:r w:rsidRPr="00173A8E">
              <w:rPr>
                <w:rFonts w:ascii="Times New Roman" w:hAnsi="Times New Roman" w:cs="Times New Roman"/>
                <w:iCs/>
                <w:sz w:val="16"/>
                <w:szCs w:val="24"/>
                <w:vertAlign w:val="subscript"/>
                <w:lang w:val="en-US"/>
              </w:rPr>
              <w:t>g</w:t>
            </w:r>
            <w:proofErr w:type="spellEnd"/>
            <w:r w:rsidRPr="00173A8E">
              <w:rPr>
                <w:rFonts w:ascii="Times New Roman" w:hAnsi="Times New Roman" w:cs="Times New Roman"/>
                <w:iCs/>
                <w:sz w:val="16"/>
                <w:szCs w:val="24"/>
                <w:lang w:val="en-US"/>
              </w:rPr>
              <w:t>, ℃</w:t>
            </w:r>
          </w:p>
        </w:tc>
      </w:tr>
      <w:tr w:rsidR="00172043" w:rsidRPr="004E069B" w:rsidTr="0050483C">
        <w:trPr>
          <w:trHeight w:val="227"/>
          <w:jc w:val="center"/>
        </w:trPr>
        <w:tc>
          <w:tcPr>
            <w:tcW w:w="449" w:type="dxa"/>
            <w:tcBorders>
              <w:top w:val="single" w:sz="4" w:space="0" w:color="auto"/>
            </w:tcBorders>
            <w:vAlign w:val="center"/>
          </w:tcPr>
          <w:p w:rsidR="00172043" w:rsidRPr="00213B77" w:rsidRDefault="00172043" w:rsidP="00172043">
            <w:pPr>
              <w:jc w:val="center"/>
              <w:rPr>
                <w:rFonts w:ascii="Times New Roman" w:hAnsi="Times New Roman" w:cs="Times New Roman"/>
                <w:sz w:val="16"/>
                <w:szCs w:val="24"/>
                <w:lang w:val="en-US"/>
              </w:rPr>
            </w:pPr>
            <w:r w:rsidRPr="00213B77">
              <w:rPr>
                <w:rFonts w:ascii="Times New Roman" w:hAnsi="Times New Roman" w:cs="Times New Roman"/>
                <w:sz w:val="16"/>
                <w:szCs w:val="24"/>
              </w:rPr>
              <w:t>1</w:t>
            </w:r>
          </w:p>
        </w:tc>
        <w:tc>
          <w:tcPr>
            <w:tcW w:w="1426" w:type="dxa"/>
            <w:tcBorders>
              <w:top w:val="single" w:sz="4" w:space="0" w:color="auto"/>
            </w:tcBorders>
            <w:vAlign w:val="center"/>
          </w:tcPr>
          <w:p w:rsidR="00172043" w:rsidRPr="00213B77" w:rsidRDefault="00172043" w:rsidP="00172043">
            <w:pPr>
              <w:jc w:val="center"/>
              <w:rPr>
                <w:rFonts w:ascii="Times New Roman" w:hAnsi="Times New Roman" w:cs="Times New Roman"/>
                <w:sz w:val="16"/>
                <w:szCs w:val="24"/>
                <w:lang w:val="en-US"/>
              </w:rPr>
            </w:pPr>
            <w:r w:rsidRPr="00213B77">
              <w:rPr>
                <w:rFonts w:ascii="Times New Roman" w:hAnsi="Times New Roman" w:cs="Times New Roman"/>
                <w:sz w:val="16"/>
                <w:szCs w:val="24"/>
                <w:lang w:val="en-US"/>
              </w:rPr>
              <w:t>2000/2</w:t>
            </w:r>
            <w:r w:rsidRPr="00213B77">
              <w:rPr>
                <w:rFonts w:ascii="Times New Roman" w:hAnsi="Times New Roman" w:cs="Times New Roman"/>
                <w:sz w:val="16"/>
                <w:szCs w:val="24"/>
              </w:rPr>
              <w:t>0</w:t>
            </w:r>
            <w:r w:rsidRPr="00213B77">
              <w:rPr>
                <w:rFonts w:ascii="Times New Roman" w:hAnsi="Times New Roman" w:cs="Times New Roman"/>
                <w:sz w:val="16"/>
                <w:szCs w:val="24"/>
                <w:lang w:val="en-US"/>
              </w:rPr>
              <w:t>/1</w:t>
            </w:r>
          </w:p>
        </w:tc>
        <w:tc>
          <w:tcPr>
            <w:tcW w:w="653" w:type="dxa"/>
            <w:tcBorders>
              <w:top w:val="single" w:sz="4" w:space="0" w:color="auto"/>
            </w:tcBorders>
            <w:shd w:val="clear" w:color="auto" w:fill="auto"/>
            <w:vAlign w:val="center"/>
          </w:tcPr>
          <w:p w:rsidR="00172043" w:rsidRPr="00213B77" w:rsidRDefault="00172043" w:rsidP="00172043">
            <w:pPr>
              <w:jc w:val="center"/>
              <w:rPr>
                <w:rFonts w:ascii="Times New Roman" w:hAnsi="Times New Roman" w:cs="Times New Roman"/>
                <w:color w:val="000000"/>
                <w:sz w:val="16"/>
                <w:szCs w:val="24"/>
                <w:lang w:val="en-US"/>
              </w:rPr>
            </w:pPr>
            <w:r w:rsidRPr="00213B77">
              <w:rPr>
                <w:rFonts w:ascii="Times New Roman" w:hAnsi="Times New Roman" w:cs="Times New Roman"/>
                <w:color w:val="000000"/>
                <w:sz w:val="16"/>
                <w:szCs w:val="24"/>
                <w:lang w:val="en-US"/>
              </w:rPr>
              <w:t>92</w:t>
            </w:r>
          </w:p>
        </w:tc>
        <w:tc>
          <w:tcPr>
            <w:tcW w:w="587" w:type="dxa"/>
            <w:tcBorders>
              <w:top w:val="single" w:sz="4" w:space="0" w:color="auto"/>
            </w:tcBorders>
            <w:vAlign w:val="center"/>
          </w:tcPr>
          <w:p w:rsidR="00172043" w:rsidRPr="00213B77" w:rsidRDefault="00172043" w:rsidP="00172043">
            <w:pPr>
              <w:jc w:val="center"/>
              <w:rPr>
                <w:rFonts w:ascii="Times New Roman" w:hAnsi="Times New Roman" w:cs="Times New Roman"/>
                <w:sz w:val="16"/>
                <w:szCs w:val="24"/>
              </w:rPr>
            </w:pPr>
            <w:r>
              <w:rPr>
                <w:rFonts w:ascii="Times New Roman" w:hAnsi="Times New Roman" w:cs="Times New Roman"/>
                <w:sz w:val="16"/>
                <w:szCs w:val="24"/>
              </w:rPr>
              <w:t>46</w:t>
            </w:r>
          </w:p>
        </w:tc>
        <w:tc>
          <w:tcPr>
            <w:tcW w:w="468" w:type="dxa"/>
            <w:tcBorders>
              <w:top w:val="single" w:sz="4" w:space="0" w:color="auto"/>
            </w:tcBorders>
            <w:vAlign w:val="center"/>
          </w:tcPr>
          <w:p w:rsidR="00172043" w:rsidRPr="00213B77" w:rsidRDefault="00172043" w:rsidP="00172043">
            <w:pPr>
              <w:jc w:val="center"/>
              <w:rPr>
                <w:rFonts w:ascii="Times New Roman" w:hAnsi="Times New Roman" w:cs="Times New Roman"/>
                <w:sz w:val="16"/>
                <w:szCs w:val="24"/>
              </w:rPr>
            </w:pPr>
            <w:r>
              <w:rPr>
                <w:rFonts w:ascii="Times New Roman" w:hAnsi="Times New Roman" w:cs="Times New Roman"/>
                <w:sz w:val="16"/>
                <w:szCs w:val="24"/>
              </w:rPr>
              <w:t>1.3</w:t>
            </w:r>
          </w:p>
        </w:tc>
        <w:tc>
          <w:tcPr>
            <w:tcW w:w="685" w:type="dxa"/>
            <w:tcBorders>
              <w:top w:val="single" w:sz="4" w:space="0" w:color="auto"/>
            </w:tcBorders>
            <w:shd w:val="clear" w:color="auto" w:fill="auto"/>
            <w:vAlign w:val="center"/>
          </w:tcPr>
          <w:p w:rsidR="00172043" w:rsidRPr="00213B77" w:rsidRDefault="00172043" w:rsidP="00172043">
            <w:pPr>
              <w:jc w:val="center"/>
              <w:rPr>
                <w:rFonts w:ascii="Times New Roman" w:hAnsi="Times New Roman" w:cs="Times New Roman"/>
                <w:sz w:val="16"/>
                <w:szCs w:val="24"/>
              </w:rPr>
            </w:pPr>
            <w:r w:rsidRPr="00213B77">
              <w:rPr>
                <w:rFonts w:ascii="Times New Roman" w:hAnsi="Times New Roman" w:cs="Times New Roman"/>
                <w:sz w:val="16"/>
                <w:szCs w:val="24"/>
              </w:rPr>
              <w:t>18.4</w:t>
            </w:r>
          </w:p>
        </w:tc>
        <w:tc>
          <w:tcPr>
            <w:tcW w:w="457" w:type="dxa"/>
            <w:tcBorders>
              <w:top w:val="single" w:sz="4" w:space="0" w:color="auto"/>
            </w:tcBorders>
            <w:vAlign w:val="center"/>
          </w:tcPr>
          <w:p w:rsidR="00172043" w:rsidRPr="00173A8E" w:rsidRDefault="00172043" w:rsidP="00172043">
            <w:pPr>
              <w:jc w:val="center"/>
              <w:rPr>
                <w:rFonts w:ascii="Times New Roman" w:hAnsi="Times New Roman" w:cs="Times New Roman"/>
                <w:sz w:val="16"/>
                <w:szCs w:val="24"/>
                <w:lang w:val="en-US"/>
              </w:rPr>
            </w:pPr>
            <w:r>
              <w:rPr>
                <w:rFonts w:ascii="Times New Roman" w:hAnsi="Times New Roman" w:cs="Times New Roman"/>
                <w:sz w:val="16"/>
                <w:szCs w:val="24"/>
              </w:rPr>
              <w:t>230</w:t>
            </w:r>
            <w:r w:rsidR="00173A8E" w:rsidRPr="00173A8E">
              <w:rPr>
                <w:rFonts w:ascii="Times New Roman" w:hAnsi="Times New Roman" w:cs="Times New Roman"/>
                <w:b/>
                <w:bCs/>
                <w:i/>
                <w:iCs/>
                <w:sz w:val="16"/>
                <w:szCs w:val="24"/>
                <w:vertAlign w:val="superscript"/>
                <w:lang w:val="en-US"/>
              </w:rPr>
              <w:t>d</w:t>
            </w:r>
          </w:p>
        </w:tc>
      </w:tr>
      <w:tr w:rsidR="00172043" w:rsidRPr="004E069B" w:rsidTr="0050483C">
        <w:trPr>
          <w:trHeight w:val="227"/>
          <w:jc w:val="center"/>
        </w:trPr>
        <w:tc>
          <w:tcPr>
            <w:tcW w:w="449" w:type="dxa"/>
            <w:vAlign w:val="center"/>
          </w:tcPr>
          <w:p w:rsidR="00172043" w:rsidRPr="00213B77" w:rsidRDefault="00172043" w:rsidP="00172043">
            <w:pPr>
              <w:jc w:val="center"/>
              <w:rPr>
                <w:rFonts w:ascii="Times New Roman" w:hAnsi="Times New Roman" w:cs="Times New Roman"/>
                <w:sz w:val="16"/>
                <w:szCs w:val="24"/>
              </w:rPr>
            </w:pPr>
            <w:r w:rsidRPr="00213B77">
              <w:rPr>
                <w:rFonts w:ascii="Times New Roman" w:hAnsi="Times New Roman" w:cs="Times New Roman"/>
                <w:sz w:val="16"/>
                <w:szCs w:val="24"/>
              </w:rPr>
              <w:t>2</w:t>
            </w:r>
          </w:p>
        </w:tc>
        <w:tc>
          <w:tcPr>
            <w:tcW w:w="1426" w:type="dxa"/>
            <w:vAlign w:val="center"/>
          </w:tcPr>
          <w:p w:rsidR="00172043" w:rsidRPr="00213B77" w:rsidRDefault="00172043" w:rsidP="00172043">
            <w:pPr>
              <w:jc w:val="center"/>
              <w:rPr>
                <w:rFonts w:ascii="Times New Roman" w:hAnsi="Times New Roman" w:cs="Times New Roman"/>
                <w:sz w:val="16"/>
                <w:szCs w:val="24"/>
                <w:lang w:val="en-US"/>
              </w:rPr>
            </w:pPr>
            <w:r w:rsidRPr="00213B77">
              <w:rPr>
                <w:rFonts w:ascii="Times New Roman" w:hAnsi="Times New Roman" w:cs="Times New Roman"/>
                <w:sz w:val="16"/>
                <w:szCs w:val="24"/>
                <w:lang w:val="en-US"/>
              </w:rPr>
              <w:t>2000/40/1</w:t>
            </w:r>
          </w:p>
        </w:tc>
        <w:tc>
          <w:tcPr>
            <w:tcW w:w="653" w:type="dxa"/>
            <w:shd w:val="clear" w:color="auto" w:fill="auto"/>
            <w:vAlign w:val="center"/>
          </w:tcPr>
          <w:p w:rsidR="00172043" w:rsidRPr="00213B77" w:rsidRDefault="00172043" w:rsidP="00172043">
            <w:pPr>
              <w:jc w:val="center"/>
              <w:rPr>
                <w:rFonts w:ascii="Times New Roman" w:hAnsi="Times New Roman" w:cs="Times New Roman"/>
                <w:color w:val="000000"/>
                <w:sz w:val="16"/>
                <w:szCs w:val="24"/>
                <w:lang w:val="en-US"/>
              </w:rPr>
            </w:pPr>
            <w:r w:rsidRPr="00213B77">
              <w:rPr>
                <w:rFonts w:ascii="Times New Roman" w:hAnsi="Times New Roman" w:cs="Times New Roman"/>
                <w:color w:val="000000"/>
                <w:sz w:val="16"/>
                <w:szCs w:val="24"/>
                <w:lang w:val="en-US"/>
              </w:rPr>
              <w:t>91</w:t>
            </w:r>
          </w:p>
        </w:tc>
        <w:tc>
          <w:tcPr>
            <w:tcW w:w="587" w:type="dxa"/>
            <w:vAlign w:val="center"/>
          </w:tcPr>
          <w:p w:rsidR="00172043" w:rsidRPr="00213B77" w:rsidRDefault="00172043" w:rsidP="00172043">
            <w:pPr>
              <w:jc w:val="center"/>
              <w:rPr>
                <w:rFonts w:ascii="Times New Roman" w:hAnsi="Times New Roman" w:cs="Times New Roman"/>
                <w:sz w:val="16"/>
                <w:szCs w:val="24"/>
              </w:rPr>
            </w:pPr>
            <w:r>
              <w:rPr>
                <w:rFonts w:ascii="Times New Roman" w:hAnsi="Times New Roman" w:cs="Times New Roman"/>
                <w:sz w:val="16"/>
                <w:szCs w:val="24"/>
              </w:rPr>
              <w:t>37</w:t>
            </w:r>
          </w:p>
        </w:tc>
        <w:tc>
          <w:tcPr>
            <w:tcW w:w="468" w:type="dxa"/>
            <w:vAlign w:val="center"/>
          </w:tcPr>
          <w:p w:rsidR="00172043" w:rsidRPr="00213B77" w:rsidRDefault="00172043" w:rsidP="00172043">
            <w:pPr>
              <w:jc w:val="center"/>
              <w:rPr>
                <w:rFonts w:ascii="Times New Roman" w:hAnsi="Times New Roman" w:cs="Times New Roman"/>
                <w:sz w:val="16"/>
                <w:szCs w:val="24"/>
              </w:rPr>
            </w:pPr>
            <w:r>
              <w:rPr>
                <w:rFonts w:ascii="Times New Roman" w:hAnsi="Times New Roman" w:cs="Times New Roman"/>
                <w:sz w:val="16"/>
                <w:szCs w:val="24"/>
              </w:rPr>
              <w:t>1.2</w:t>
            </w:r>
          </w:p>
        </w:tc>
        <w:tc>
          <w:tcPr>
            <w:tcW w:w="685" w:type="dxa"/>
            <w:shd w:val="clear" w:color="auto" w:fill="auto"/>
            <w:vAlign w:val="center"/>
          </w:tcPr>
          <w:p w:rsidR="00172043" w:rsidRPr="00213B77" w:rsidRDefault="00172043" w:rsidP="00172043">
            <w:pPr>
              <w:jc w:val="center"/>
              <w:rPr>
                <w:rFonts w:ascii="Times New Roman" w:hAnsi="Times New Roman" w:cs="Times New Roman"/>
                <w:sz w:val="16"/>
                <w:szCs w:val="24"/>
              </w:rPr>
            </w:pPr>
            <w:r w:rsidRPr="00213B77">
              <w:rPr>
                <w:rFonts w:ascii="Times New Roman" w:hAnsi="Times New Roman" w:cs="Times New Roman"/>
                <w:sz w:val="16"/>
                <w:szCs w:val="24"/>
              </w:rPr>
              <w:t>13.0</w:t>
            </w:r>
          </w:p>
        </w:tc>
        <w:tc>
          <w:tcPr>
            <w:tcW w:w="457" w:type="dxa"/>
            <w:vAlign w:val="center"/>
          </w:tcPr>
          <w:p w:rsidR="00172043" w:rsidRPr="005F5F4F" w:rsidRDefault="00172043" w:rsidP="00172043">
            <w:pPr>
              <w:jc w:val="center"/>
              <w:rPr>
                <w:rFonts w:ascii="Times New Roman" w:hAnsi="Times New Roman" w:cs="Times New Roman"/>
                <w:sz w:val="16"/>
                <w:szCs w:val="24"/>
              </w:rPr>
            </w:pPr>
            <w:r>
              <w:rPr>
                <w:rFonts w:ascii="Times New Roman" w:hAnsi="Times New Roman" w:cs="Times New Roman"/>
                <w:sz w:val="16"/>
                <w:szCs w:val="24"/>
                <w:lang w:val="en-US"/>
              </w:rPr>
              <w:t>213</w:t>
            </w:r>
          </w:p>
        </w:tc>
      </w:tr>
      <w:tr w:rsidR="00172043" w:rsidRPr="004E069B" w:rsidTr="0050483C">
        <w:trPr>
          <w:trHeight w:val="227"/>
          <w:jc w:val="center"/>
        </w:trPr>
        <w:tc>
          <w:tcPr>
            <w:tcW w:w="449" w:type="dxa"/>
            <w:vAlign w:val="center"/>
          </w:tcPr>
          <w:p w:rsidR="00172043" w:rsidRPr="00213B77" w:rsidRDefault="00172043" w:rsidP="00172043">
            <w:pPr>
              <w:jc w:val="center"/>
              <w:rPr>
                <w:rFonts w:ascii="Times New Roman" w:hAnsi="Times New Roman" w:cs="Times New Roman"/>
                <w:sz w:val="16"/>
                <w:szCs w:val="24"/>
              </w:rPr>
            </w:pPr>
            <w:r w:rsidRPr="00213B77">
              <w:rPr>
                <w:rFonts w:ascii="Times New Roman" w:hAnsi="Times New Roman" w:cs="Times New Roman"/>
                <w:sz w:val="16"/>
                <w:szCs w:val="24"/>
              </w:rPr>
              <w:t>3</w:t>
            </w:r>
          </w:p>
        </w:tc>
        <w:tc>
          <w:tcPr>
            <w:tcW w:w="1426" w:type="dxa"/>
            <w:vAlign w:val="center"/>
          </w:tcPr>
          <w:p w:rsidR="00172043" w:rsidRPr="00213B77" w:rsidRDefault="00172043" w:rsidP="00172043">
            <w:pPr>
              <w:jc w:val="center"/>
              <w:rPr>
                <w:rFonts w:ascii="Times New Roman" w:hAnsi="Times New Roman" w:cs="Times New Roman"/>
                <w:sz w:val="16"/>
                <w:szCs w:val="24"/>
                <w:lang w:val="en-US"/>
              </w:rPr>
            </w:pPr>
            <w:r w:rsidRPr="00213B77">
              <w:rPr>
                <w:rFonts w:ascii="Times New Roman" w:hAnsi="Times New Roman" w:cs="Times New Roman"/>
                <w:sz w:val="16"/>
                <w:szCs w:val="24"/>
                <w:lang w:val="en-US"/>
              </w:rPr>
              <w:t>2000/</w:t>
            </w:r>
            <w:r>
              <w:rPr>
                <w:rFonts w:ascii="Times New Roman" w:hAnsi="Times New Roman" w:cs="Times New Roman"/>
                <w:sz w:val="16"/>
                <w:szCs w:val="24"/>
              </w:rPr>
              <w:t>12</w:t>
            </w:r>
            <w:r w:rsidRPr="00213B77">
              <w:rPr>
                <w:rFonts w:ascii="Times New Roman" w:hAnsi="Times New Roman" w:cs="Times New Roman"/>
                <w:sz w:val="16"/>
                <w:szCs w:val="24"/>
                <w:lang w:val="en-US"/>
              </w:rPr>
              <w:t>0/1</w:t>
            </w:r>
          </w:p>
        </w:tc>
        <w:tc>
          <w:tcPr>
            <w:tcW w:w="653" w:type="dxa"/>
            <w:shd w:val="clear" w:color="auto" w:fill="auto"/>
            <w:vAlign w:val="center"/>
          </w:tcPr>
          <w:p w:rsidR="00172043" w:rsidRPr="00213B77" w:rsidRDefault="00172043" w:rsidP="00172043">
            <w:pPr>
              <w:jc w:val="center"/>
              <w:rPr>
                <w:rFonts w:ascii="Times New Roman" w:hAnsi="Times New Roman" w:cs="Times New Roman"/>
                <w:color w:val="000000"/>
                <w:sz w:val="16"/>
                <w:szCs w:val="24"/>
                <w:lang w:val="en-US"/>
              </w:rPr>
            </w:pPr>
            <w:r>
              <w:rPr>
                <w:rFonts w:ascii="Times New Roman" w:hAnsi="Times New Roman" w:cs="Times New Roman"/>
                <w:color w:val="000000"/>
                <w:sz w:val="16"/>
                <w:szCs w:val="24"/>
                <w:lang w:val="en-US"/>
              </w:rPr>
              <w:t>60</w:t>
            </w:r>
          </w:p>
        </w:tc>
        <w:tc>
          <w:tcPr>
            <w:tcW w:w="587" w:type="dxa"/>
            <w:vAlign w:val="center"/>
          </w:tcPr>
          <w:p w:rsidR="00172043" w:rsidRPr="00213B77" w:rsidRDefault="00172043" w:rsidP="00172043">
            <w:pPr>
              <w:jc w:val="center"/>
              <w:rPr>
                <w:rFonts w:ascii="Times New Roman" w:hAnsi="Times New Roman" w:cs="Times New Roman"/>
                <w:sz w:val="16"/>
                <w:szCs w:val="24"/>
              </w:rPr>
            </w:pPr>
            <w:r>
              <w:rPr>
                <w:rFonts w:ascii="Times New Roman" w:hAnsi="Times New Roman" w:cs="Times New Roman"/>
                <w:sz w:val="16"/>
                <w:szCs w:val="24"/>
              </w:rPr>
              <w:t>22</w:t>
            </w:r>
          </w:p>
        </w:tc>
        <w:tc>
          <w:tcPr>
            <w:tcW w:w="468" w:type="dxa"/>
            <w:vAlign w:val="center"/>
          </w:tcPr>
          <w:p w:rsidR="00172043" w:rsidRPr="00213B77" w:rsidRDefault="00172043" w:rsidP="00172043">
            <w:pPr>
              <w:jc w:val="center"/>
              <w:rPr>
                <w:rFonts w:ascii="Times New Roman" w:hAnsi="Times New Roman" w:cs="Times New Roman"/>
                <w:sz w:val="16"/>
                <w:szCs w:val="24"/>
              </w:rPr>
            </w:pPr>
            <w:r>
              <w:rPr>
                <w:rFonts w:ascii="Times New Roman" w:hAnsi="Times New Roman" w:cs="Times New Roman"/>
                <w:sz w:val="16"/>
                <w:szCs w:val="24"/>
              </w:rPr>
              <w:t>1.6</w:t>
            </w:r>
          </w:p>
        </w:tc>
        <w:tc>
          <w:tcPr>
            <w:tcW w:w="685" w:type="dxa"/>
            <w:shd w:val="clear" w:color="auto" w:fill="auto"/>
            <w:vAlign w:val="center"/>
          </w:tcPr>
          <w:p w:rsidR="00172043" w:rsidRPr="00213B77" w:rsidRDefault="00172043" w:rsidP="00172043">
            <w:pPr>
              <w:jc w:val="center"/>
              <w:rPr>
                <w:rFonts w:ascii="Times New Roman" w:hAnsi="Times New Roman" w:cs="Times New Roman"/>
                <w:sz w:val="16"/>
                <w:szCs w:val="24"/>
              </w:rPr>
            </w:pPr>
            <w:r>
              <w:rPr>
                <w:rFonts w:ascii="Times New Roman" w:hAnsi="Times New Roman" w:cs="Times New Roman"/>
                <w:sz w:val="16"/>
                <w:szCs w:val="24"/>
              </w:rPr>
              <w:t>3</w:t>
            </w:r>
            <w:r w:rsidRPr="00213B77">
              <w:rPr>
                <w:rFonts w:ascii="Times New Roman" w:hAnsi="Times New Roman" w:cs="Times New Roman"/>
                <w:sz w:val="16"/>
                <w:szCs w:val="24"/>
              </w:rPr>
              <w:t>.</w:t>
            </w:r>
            <w:r>
              <w:rPr>
                <w:rFonts w:ascii="Times New Roman" w:hAnsi="Times New Roman" w:cs="Times New Roman"/>
                <w:sz w:val="16"/>
                <w:szCs w:val="24"/>
              </w:rPr>
              <w:t>7</w:t>
            </w:r>
          </w:p>
        </w:tc>
        <w:tc>
          <w:tcPr>
            <w:tcW w:w="457" w:type="dxa"/>
            <w:vAlign w:val="center"/>
          </w:tcPr>
          <w:p w:rsidR="00172043" w:rsidRPr="00213B77" w:rsidRDefault="00172043" w:rsidP="00172043">
            <w:pPr>
              <w:jc w:val="center"/>
              <w:rPr>
                <w:rFonts w:ascii="Times New Roman" w:hAnsi="Times New Roman" w:cs="Times New Roman"/>
                <w:sz w:val="16"/>
                <w:szCs w:val="24"/>
              </w:rPr>
            </w:pPr>
            <w:r>
              <w:rPr>
                <w:rFonts w:ascii="Times New Roman" w:hAnsi="Times New Roman" w:cs="Times New Roman"/>
                <w:sz w:val="16"/>
                <w:szCs w:val="24"/>
              </w:rPr>
              <w:t>185</w:t>
            </w:r>
          </w:p>
        </w:tc>
      </w:tr>
      <w:tr w:rsidR="00172043" w:rsidRPr="004E069B" w:rsidTr="0050483C">
        <w:trPr>
          <w:trHeight w:val="227"/>
          <w:jc w:val="center"/>
        </w:trPr>
        <w:tc>
          <w:tcPr>
            <w:tcW w:w="449" w:type="dxa"/>
            <w:tcBorders>
              <w:bottom w:val="single" w:sz="4" w:space="0" w:color="auto"/>
            </w:tcBorders>
            <w:vAlign w:val="center"/>
          </w:tcPr>
          <w:p w:rsidR="00172043" w:rsidRPr="00213B77" w:rsidRDefault="00172043" w:rsidP="00172043">
            <w:pPr>
              <w:jc w:val="center"/>
              <w:rPr>
                <w:rFonts w:ascii="Times New Roman" w:hAnsi="Times New Roman" w:cs="Times New Roman"/>
                <w:sz w:val="16"/>
                <w:szCs w:val="24"/>
              </w:rPr>
            </w:pPr>
            <w:r>
              <w:rPr>
                <w:rFonts w:ascii="Times New Roman" w:hAnsi="Times New Roman" w:cs="Times New Roman"/>
                <w:sz w:val="16"/>
                <w:szCs w:val="24"/>
              </w:rPr>
              <w:t>4</w:t>
            </w:r>
          </w:p>
        </w:tc>
        <w:tc>
          <w:tcPr>
            <w:tcW w:w="1426" w:type="dxa"/>
            <w:tcBorders>
              <w:bottom w:val="single" w:sz="4" w:space="0" w:color="auto"/>
            </w:tcBorders>
            <w:vAlign w:val="center"/>
          </w:tcPr>
          <w:p w:rsidR="00172043" w:rsidRPr="00213B77" w:rsidRDefault="00172043" w:rsidP="00172043">
            <w:pPr>
              <w:jc w:val="center"/>
              <w:rPr>
                <w:rFonts w:ascii="Times New Roman" w:hAnsi="Times New Roman" w:cs="Times New Roman"/>
                <w:sz w:val="16"/>
                <w:szCs w:val="24"/>
                <w:lang w:val="en-US"/>
              </w:rPr>
            </w:pPr>
            <w:r w:rsidRPr="00213B77">
              <w:rPr>
                <w:rFonts w:ascii="Times New Roman" w:hAnsi="Times New Roman" w:cs="Times New Roman"/>
                <w:sz w:val="16"/>
                <w:szCs w:val="24"/>
                <w:lang w:val="en-US"/>
              </w:rPr>
              <w:t>200</w:t>
            </w:r>
            <w:r w:rsidRPr="00213B77">
              <w:rPr>
                <w:rFonts w:ascii="Times New Roman" w:hAnsi="Times New Roman" w:cs="Times New Roman"/>
                <w:sz w:val="16"/>
                <w:szCs w:val="24"/>
              </w:rPr>
              <w:t>0</w:t>
            </w:r>
            <w:r w:rsidRPr="00213B77">
              <w:rPr>
                <w:rFonts w:ascii="Times New Roman" w:hAnsi="Times New Roman" w:cs="Times New Roman"/>
                <w:sz w:val="16"/>
                <w:szCs w:val="24"/>
                <w:lang w:val="en-US"/>
              </w:rPr>
              <w:t>/2</w:t>
            </w:r>
            <w:r w:rsidRPr="00213B77">
              <w:rPr>
                <w:rFonts w:ascii="Times New Roman" w:hAnsi="Times New Roman" w:cs="Times New Roman"/>
                <w:sz w:val="16"/>
                <w:szCs w:val="24"/>
              </w:rPr>
              <w:t>40</w:t>
            </w:r>
            <w:r w:rsidRPr="00213B77">
              <w:rPr>
                <w:rFonts w:ascii="Times New Roman" w:hAnsi="Times New Roman" w:cs="Times New Roman"/>
                <w:sz w:val="16"/>
                <w:szCs w:val="24"/>
                <w:lang w:val="en-US"/>
              </w:rPr>
              <w:t>/1</w:t>
            </w:r>
          </w:p>
        </w:tc>
        <w:tc>
          <w:tcPr>
            <w:tcW w:w="653" w:type="dxa"/>
            <w:tcBorders>
              <w:bottom w:val="single" w:sz="4" w:space="0" w:color="auto"/>
            </w:tcBorders>
            <w:shd w:val="clear" w:color="auto" w:fill="auto"/>
            <w:vAlign w:val="center"/>
          </w:tcPr>
          <w:p w:rsidR="00172043" w:rsidRPr="00213B77" w:rsidRDefault="00172043" w:rsidP="00172043">
            <w:pPr>
              <w:jc w:val="center"/>
              <w:rPr>
                <w:rFonts w:ascii="Times New Roman" w:hAnsi="Times New Roman" w:cs="Times New Roman"/>
                <w:color w:val="000000"/>
                <w:sz w:val="16"/>
                <w:szCs w:val="24"/>
              </w:rPr>
            </w:pPr>
            <w:r w:rsidRPr="00213B77">
              <w:rPr>
                <w:rFonts w:ascii="Times New Roman" w:hAnsi="Times New Roman" w:cs="Times New Roman"/>
                <w:color w:val="000000"/>
                <w:sz w:val="16"/>
                <w:szCs w:val="24"/>
                <w:lang w:val="en-US"/>
              </w:rPr>
              <w:t>58</w:t>
            </w:r>
          </w:p>
        </w:tc>
        <w:tc>
          <w:tcPr>
            <w:tcW w:w="587" w:type="dxa"/>
            <w:tcBorders>
              <w:bottom w:val="single" w:sz="4" w:space="0" w:color="auto"/>
            </w:tcBorders>
            <w:vAlign w:val="center"/>
          </w:tcPr>
          <w:p w:rsidR="00172043" w:rsidRPr="00213B77" w:rsidRDefault="00172043" w:rsidP="00172043">
            <w:pPr>
              <w:jc w:val="center"/>
              <w:rPr>
                <w:rFonts w:ascii="Times New Roman" w:hAnsi="Times New Roman" w:cs="Times New Roman"/>
                <w:sz w:val="16"/>
                <w:szCs w:val="24"/>
              </w:rPr>
            </w:pPr>
            <w:r>
              <w:rPr>
                <w:rFonts w:ascii="Times New Roman" w:hAnsi="Times New Roman" w:cs="Times New Roman"/>
                <w:sz w:val="16"/>
                <w:szCs w:val="24"/>
              </w:rPr>
              <w:t>8</w:t>
            </w:r>
          </w:p>
        </w:tc>
        <w:tc>
          <w:tcPr>
            <w:tcW w:w="468" w:type="dxa"/>
            <w:tcBorders>
              <w:bottom w:val="single" w:sz="4" w:space="0" w:color="auto"/>
            </w:tcBorders>
            <w:vAlign w:val="center"/>
          </w:tcPr>
          <w:p w:rsidR="00172043" w:rsidRPr="00213B77" w:rsidRDefault="00172043" w:rsidP="00172043">
            <w:pPr>
              <w:jc w:val="center"/>
              <w:rPr>
                <w:rFonts w:ascii="Times New Roman" w:hAnsi="Times New Roman" w:cs="Times New Roman"/>
                <w:sz w:val="16"/>
                <w:szCs w:val="24"/>
              </w:rPr>
            </w:pPr>
            <w:r>
              <w:rPr>
                <w:rFonts w:ascii="Times New Roman" w:hAnsi="Times New Roman" w:cs="Times New Roman"/>
                <w:sz w:val="16"/>
                <w:szCs w:val="24"/>
              </w:rPr>
              <w:t>2.0</w:t>
            </w:r>
          </w:p>
        </w:tc>
        <w:tc>
          <w:tcPr>
            <w:tcW w:w="685" w:type="dxa"/>
            <w:tcBorders>
              <w:bottom w:val="single" w:sz="4" w:space="0" w:color="auto"/>
            </w:tcBorders>
            <w:shd w:val="clear" w:color="auto" w:fill="auto"/>
            <w:vAlign w:val="center"/>
          </w:tcPr>
          <w:p w:rsidR="00172043" w:rsidRPr="00213B77" w:rsidRDefault="00172043" w:rsidP="00172043">
            <w:pPr>
              <w:jc w:val="center"/>
              <w:rPr>
                <w:rFonts w:ascii="Times New Roman" w:hAnsi="Times New Roman" w:cs="Times New Roman"/>
                <w:sz w:val="16"/>
                <w:szCs w:val="24"/>
              </w:rPr>
            </w:pPr>
            <w:r w:rsidRPr="00213B77">
              <w:rPr>
                <w:rFonts w:ascii="Times New Roman" w:hAnsi="Times New Roman" w:cs="Times New Roman"/>
                <w:sz w:val="16"/>
                <w:szCs w:val="24"/>
              </w:rPr>
              <w:t>1.3</w:t>
            </w:r>
          </w:p>
        </w:tc>
        <w:tc>
          <w:tcPr>
            <w:tcW w:w="457" w:type="dxa"/>
            <w:tcBorders>
              <w:bottom w:val="single" w:sz="4" w:space="0" w:color="auto"/>
            </w:tcBorders>
            <w:vAlign w:val="center"/>
          </w:tcPr>
          <w:p w:rsidR="00172043" w:rsidRPr="00213B77" w:rsidRDefault="00172043" w:rsidP="00172043">
            <w:pPr>
              <w:jc w:val="center"/>
              <w:rPr>
                <w:rFonts w:ascii="Times New Roman" w:hAnsi="Times New Roman" w:cs="Times New Roman"/>
                <w:sz w:val="16"/>
                <w:szCs w:val="24"/>
              </w:rPr>
            </w:pPr>
            <w:r>
              <w:rPr>
                <w:rFonts w:ascii="Times New Roman" w:hAnsi="Times New Roman" w:cs="Times New Roman"/>
                <w:sz w:val="16"/>
                <w:szCs w:val="24"/>
                <w:lang w:val="en-US"/>
              </w:rPr>
              <w:t>abs</w:t>
            </w:r>
            <w:r>
              <w:rPr>
                <w:rFonts w:ascii="Times New Roman" w:hAnsi="Times New Roman" w:cs="Times New Roman"/>
                <w:sz w:val="16"/>
                <w:szCs w:val="24"/>
              </w:rPr>
              <w:t>.</w:t>
            </w:r>
          </w:p>
        </w:tc>
      </w:tr>
    </w:tbl>
    <w:p w:rsidR="00172043" w:rsidRPr="0050483C" w:rsidRDefault="00173A8E" w:rsidP="0050483C">
      <w:pPr>
        <w:pStyle w:val="MainText"/>
        <w:spacing w:before="60" w:after="200"/>
        <w:ind w:firstLine="0"/>
        <w:rPr>
          <w:sz w:val="16"/>
          <w:szCs w:val="16"/>
        </w:rPr>
      </w:pPr>
      <w:proofErr w:type="gramStart"/>
      <w:r w:rsidRPr="00173A8E">
        <w:rPr>
          <w:b/>
          <w:bCs/>
          <w:i/>
          <w:iCs/>
          <w:sz w:val="16"/>
          <w:szCs w:val="16"/>
          <w:vertAlign w:val="superscript"/>
        </w:rPr>
        <w:t>a</w:t>
      </w:r>
      <w:proofErr w:type="gramEnd"/>
      <w:r>
        <w:rPr>
          <w:sz w:val="16"/>
          <w:szCs w:val="16"/>
        </w:rPr>
        <w:t xml:space="preserve"> </w:t>
      </w:r>
      <w:r w:rsidR="00172043">
        <w:rPr>
          <w:sz w:val="16"/>
          <w:szCs w:val="16"/>
        </w:rPr>
        <w:t>DMF</w:t>
      </w:r>
      <w:r w:rsidR="00172043" w:rsidRPr="005F5F4F">
        <w:rPr>
          <w:sz w:val="16"/>
          <w:szCs w:val="16"/>
        </w:rPr>
        <w:t xml:space="preserve">, </w:t>
      </w:r>
      <w:r w:rsidR="00172043" w:rsidRPr="005F5F4F">
        <w:rPr>
          <w:i/>
          <w:sz w:val="16"/>
          <w:szCs w:val="16"/>
        </w:rPr>
        <w:t>C</w:t>
      </w:r>
      <w:r w:rsidR="00172043" w:rsidRPr="00173A8E">
        <w:rPr>
          <w:iCs/>
          <w:sz w:val="16"/>
          <w:szCs w:val="16"/>
          <w:vertAlign w:val="subscript"/>
        </w:rPr>
        <w:t>M</w:t>
      </w:r>
      <w:r w:rsidRPr="00173A8E">
        <w:rPr>
          <w:iCs/>
          <w:sz w:val="16"/>
          <w:szCs w:val="16"/>
        </w:rPr>
        <w:t xml:space="preserve"> </w:t>
      </w:r>
      <w:r w:rsidR="00172043" w:rsidRPr="005F5F4F">
        <w:rPr>
          <w:sz w:val="16"/>
          <w:szCs w:val="16"/>
        </w:rPr>
        <w:t>(</w:t>
      </w:r>
      <w:r w:rsidR="00172043">
        <w:rPr>
          <w:sz w:val="16"/>
          <w:szCs w:val="16"/>
        </w:rPr>
        <w:t>NDA</w:t>
      </w:r>
      <w:r w:rsidR="00172043" w:rsidRPr="005F5F4F">
        <w:rPr>
          <w:sz w:val="16"/>
          <w:szCs w:val="16"/>
        </w:rPr>
        <w:t xml:space="preserve">) = 1.0 </w:t>
      </w:r>
      <w:r w:rsidR="00172043">
        <w:rPr>
          <w:sz w:val="16"/>
          <w:szCs w:val="16"/>
        </w:rPr>
        <w:t>mol</w:t>
      </w:r>
      <w:r w:rsidR="00172043" w:rsidRPr="005F5F4F">
        <w:rPr>
          <w:sz w:val="16"/>
          <w:szCs w:val="16"/>
        </w:rPr>
        <w:t>/</w:t>
      </w:r>
      <w:r>
        <w:rPr>
          <w:sz w:val="16"/>
          <w:szCs w:val="16"/>
        </w:rPr>
        <w:t>L</w:t>
      </w:r>
      <w:r w:rsidR="00172043" w:rsidRPr="005F5F4F">
        <w:rPr>
          <w:sz w:val="16"/>
          <w:szCs w:val="16"/>
        </w:rPr>
        <w:t>;</w:t>
      </w:r>
      <w:r w:rsidR="0050483C" w:rsidRPr="0050483C">
        <w:rPr>
          <w:sz w:val="16"/>
          <w:szCs w:val="16"/>
        </w:rPr>
        <w:t xml:space="preserve"> </w:t>
      </w:r>
      <w:r w:rsidR="00172043" w:rsidRPr="005F5F4F">
        <w:rPr>
          <w:sz w:val="16"/>
          <w:szCs w:val="16"/>
        </w:rPr>
        <w:t xml:space="preserve">DMF </w:t>
      </w:r>
      <w:r>
        <w:rPr>
          <w:sz w:val="16"/>
          <w:szCs w:val="16"/>
        </w:rPr>
        <w:t xml:space="preserve">used as an </w:t>
      </w:r>
      <w:proofErr w:type="spellStart"/>
      <w:r w:rsidR="00172043" w:rsidRPr="005F5F4F">
        <w:rPr>
          <w:sz w:val="16"/>
          <w:szCs w:val="16"/>
        </w:rPr>
        <w:t>eluent</w:t>
      </w:r>
      <w:proofErr w:type="spellEnd"/>
      <w:r w:rsidR="00172043" w:rsidRPr="005F5F4F">
        <w:rPr>
          <w:sz w:val="16"/>
          <w:szCs w:val="16"/>
        </w:rPr>
        <w:t>;</w:t>
      </w:r>
      <w:r w:rsidR="0050483C" w:rsidRPr="0050483C">
        <w:rPr>
          <w:sz w:val="16"/>
          <w:szCs w:val="16"/>
        </w:rPr>
        <w:t xml:space="preserve"> </w:t>
      </w:r>
      <w:r>
        <w:rPr>
          <w:sz w:val="16"/>
          <w:szCs w:val="16"/>
        </w:rPr>
        <w:t>a</w:t>
      </w:r>
      <w:r w:rsidR="00172043">
        <w:rPr>
          <w:sz w:val="16"/>
          <w:szCs w:val="16"/>
        </w:rPr>
        <w:t>ccording to</w:t>
      </w:r>
      <w:r w:rsidR="00172043" w:rsidRPr="005F5F4F">
        <w:rPr>
          <w:sz w:val="16"/>
          <w:szCs w:val="16"/>
        </w:rPr>
        <w:t xml:space="preserve"> </w:t>
      </w:r>
      <w:r>
        <w:rPr>
          <w:sz w:val="16"/>
          <w:szCs w:val="16"/>
        </w:rPr>
        <w:t xml:space="preserve">the </w:t>
      </w:r>
      <w:r w:rsidR="00172043" w:rsidRPr="005F5F4F">
        <w:rPr>
          <w:sz w:val="16"/>
          <w:szCs w:val="16"/>
          <w:vertAlign w:val="superscript"/>
        </w:rPr>
        <w:t>1</w:t>
      </w:r>
      <w:r w:rsidR="00172043" w:rsidRPr="0012214E">
        <w:rPr>
          <w:sz w:val="16"/>
          <w:szCs w:val="16"/>
          <w:lang w:val="ru-RU"/>
        </w:rPr>
        <w:t>Н</w:t>
      </w:r>
      <w:r w:rsidR="00172043" w:rsidRPr="005F5F4F">
        <w:rPr>
          <w:sz w:val="16"/>
          <w:szCs w:val="16"/>
        </w:rPr>
        <w:t xml:space="preserve"> </w:t>
      </w:r>
      <w:r w:rsidR="00172043">
        <w:rPr>
          <w:sz w:val="16"/>
          <w:szCs w:val="16"/>
        </w:rPr>
        <w:t>NMR data</w:t>
      </w:r>
      <w:r>
        <w:rPr>
          <w:sz w:val="16"/>
          <w:szCs w:val="16"/>
        </w:rPr>
        <w:t>;</w:t>
      </w:r>
      <w:r w:rsidR="0050483C" w:rsidRPr="0050483C">
        <w:rPr>
          <w:sz w:val="16"/>
          <w:szCs w:val="16"/>
        </w:rPr>
        <w:t xml:space="preserve"> </w:t>
      </w:r>
      <w:r w:rsidR="00172043" w:rsidRPr="00D6427D">
        <w:rPr>
          <w:i/>
          <w:iCs/>
          <w:sz w:val="16"/>
          <w:szCs w:val="24"/>
        </w:rPr>
        <w:t>T</w:t>
      </w:r>
      <w:r w:rsidR="00172043" w:rsidRPr="00173A8E">
        <w:rPr>
          <w:sz w:val="16"/>
          <w:szCs w:val="24"/>
          <w:vertAlign w:val="subscript"/>
        </w:rPr>
        <w:t>d</w:t>
      </w:r>
      <w:r w:rsidR="00172043" w:rsidRPr="00173A8E">
        <w:rPr>
          <w:sz w:val="16"/>
          <w:szCs w:val="24"/>
        </w:rPr>
        <w:t xml:space="preserve"> = </w:t>
      </w:r>
      <w:r w:rsidR="00172043">
        <w:rPr>
          <w:sz w:val="16"/>
          <w:szCs w:val="24"/>
        </w:rPr>
        <w:t>340 ℃.</w:t>
      </w:r>
    </w:p>
    <w:p w:rsidR="00172043" w:rsidRDefault="00172043" w:rsidP="0050483C">
      <w:pPr>
        <w:pStyle w:val="MainText"/>
        <w:ind w:firstLine="284"/>
      </w:pPr>
      <w:r w:rsidRPr="005F5F4F">
        <w:t>The structure</w:t>
      </w:r>
      <w:r w:rsidR="002722F1">
        <w:t>s</w:t>
      </w:r>
      <w:r w:rsidRPr="005F5F4F">
        <w:t xml:space="preserve"> of all </w:t>
      </w:r>
      <w:proofErr w:type="gramStart"/>
      <w:r w:rsidRPr="005F5F4F">
        <w:t>poly(</w:t>
      </w:r>
      <w:proofErr w:type="gramEnd"/>
      <w:r w:rsidRPr="005F5F4F">
        <w:t>NDA) samples w</w:t>
      </w:r>
      <w:r w:rsidR="002722F1">
        <w:t>ere</w:t>
      </w:r>
      <w:r w:rsidRPr="005F5F4F">
        <w:t xml:space="preserve"> confirmed by </w:t>
      </w:r>
      <w:r w:rsidRPr="005F5F4F">
        <w:rPr>
          <w:vertAlign w:val="superscript"/>
        </w:rPr>
        <w:t>1</w:t>
      </w:r>
      <w:r w:rsidRPr="005F5F4F">
        <w:t xml:space="preserve">H and </w:t>
      </w:r>
      <w:r w:rsidRPr="005F5F4F">
        <w:rPr>
          <w:vertAlign w:val="superscript"/>
        </w:rPr>
        <w:t>13</w:t>
      </w:r>
      <w:r w:rsidRPr="005F5F4F">
        <w:t>C NMR and IR spectroscopy (Fig</w:t>
      </w:r>
      <w:r w:rsidR="000A280C">
        <w:t>s</w:t>
      </w:r>
      <w:r>
        <w:t>. S1, S2</w:t>
      </w:r>
      <w:r w:rsidR="000A280C">
        <w:t>,</w:t>
      </w:r>
      <w:r>
        <w:t xml:space="preserve"> and S7</w:t>
      </w:r>
      <w:r w:rsidR="000A280C">
        <w:t xml:space="preserve"> in the Electronic supplementary information (ESI)</w:t>
      </w:r>
      <w:r w:rsidRPr="005F5F4F">
        <w:t xml:space="preserve">, respectively). The spectra are consistent with those reported in the literature </w:t>
      </w:r>
      <w:r w:rsidR="000A280C">
        <w:t>[6, 11]</w:t>
      </w:r>
      <w:r w:rsidRPr="005F5F4F">
        <w:t xml:space="preserve">. According to the data of </w:t>
      </w:r>
      <w:r w:rsidRPr="005F5F4F">
        <w:rPr>
          <w:vertAlign w:val="superscript"/>
        </w:rPr>
        <w:t>1</w:t>
      </w:r>
      <w:r w:rsidRPr="005F5F4F">
        <w:t>H</w:t>
      </w:r>
      <w:r w:rsidR="000A280C">
        <w:t>–</w:t>
      </w:r>
      <w:r w:rsidRPr="005F5F4F">
        <w:rPr>
          <w:vertAlign w:val="superscript"/>
        </w:rPr>
        <w:t>13</w:t>
      </w:r>
      <w:r w:rsidRPr="005F5F4F">
        <w:t>C HSQC</w:t>
      </w:r>
      <w:r w:rsidR="000A280C">
        <w:t xml:space="preserve"> </w:t>
      </w:r>
      <w:r w:rsidRPr="005F5F4F">
        <w:t>(DEPT-135) two-dimensional c</w:t>
      </w:r>
      <w:r>
        <w:t>orrelation spectroscopy (Fig</w:t>
      </w:r>
      <w:r w:rsidR="000A280C">
        <w:t>s</w:t>
      </w:r>
      <w:r>
        <w:t>. 1 and S3</w:t>
      </w:r>
      <w:r w:rsidR="000A280C">
        <w:t xml:space="preserve"> in the ESI</w:t>
      </w:r>
      <w:r w:rsidRPr="005F5F4F">
        <w:t xml:space="preserve">), the chemical shifts of the proton signals of the </w:t>
      </w:r>
      <w:r w:rsidR="000A280C">
        <w:t>terminal</w:t>
      </w:r>
      <w:r w:rsidRPr="005F5F4F">
        <w:t xml:space="preserve"> double bond (</w:t>
      </w:r>
      <w:r w:rsidRPr="005F5F4F">
        <w:rPr>
          <w:i/>
        </w:rPr>
        <w:t>I</w:t>
      </w:r>
      <w:r w:rsidRPr="005F5F4F">
        <w:rPr>
          <w:vertAlign w:val="subscript"/>
        </w:rPr>
        <w:t>5.6-5.1</w:t>
      </w:r>
      <w:r w:rsidRPr="005F5F4F">
        <w:t>, (=CH</w:t>
      </w:r>
      <w:r w:rsidRPr="000A280C">
        <w:rPr>
          <w:vertAlign w:val="subscript"/>
        </w:rPr>
        <w:t>2</w:t>
      </w:r>
      <w:r w:rsidRPr="005F5F4F">
        <w:t xml:space="preserve">) and </w:t>
      </w:r>
      <w:r>
        <w:t xml:space="preserve">the </w:t>
      </w:r>
      <w:r>
        <w:rPr>
          <w:rStyle w:val="rynqvb"/>
          <w:lang/>
        </w:rPr>
        <w:t>double bonds of the main chain</w:t>
      </w:r>
      <w:r>
        <w:t xml:space="preserve"> (</w:t>
      </w:r>
      <w:r w:rsidRPr="005F5F4F">
        <w:rPr>
          <w:i/>
        </w:rPr>
        <w:t>I</w:t>
      </w:r>
      <w:r w:rsidRPr="005F5F4F">
        <w:rPr>
          <w:vertAlign w:val="subscript"/>
        </w:rPr>
        <w:t>5.1-4.9</w:t>
      </w:r>
      <w:r w:rsidRPr="005F5F4F">
        <w:t>) were determined, based on the integral intensity of which the molecular mass (</w:t>
      </w:r>
      <w:proofErr w:type="spellStart"/>
      <w:r w:rsidRPr="005F5F4F">
        <w:rPr>
          <w:i/>
        </w:rPr>
        <w:t>M</w:t>
      </w:r>
      <w:r w:rsidRPr="000A280C">
        <w:rPr>
          <w:iCs/>
          <w:vertAlign w:val="subscript"/>
        </w:rPr>
        <w:t>n</w:t>
      </w:r>
      <w:r w:rsidRPr="000A280C">
        <w:rPr>
          <w:iCs/>
          <w:vertAlign w:val="superscript"/>
        </w:rPr>
        <w:t>NMR</w:t>
      </w:r>
      <w:proofErr w:type="spellEnd"/>
      <w:r w:rsidRPr="005F5F4F">
        <w:t>) of these polymers was calculated</w:t>
      </w:r>
      <w:r w:rsidR="000A280C">
        <w:t xml:space="preserve"> according to the following formula</w:t>
      </w:r>
    </w:p>
    <w:p w:rsidR="00172043" w:rsidRPr="000D3858" w:rsidRDefault="00757A51" w:rsidP="0050483C">
      <w:pPr>
        <w:spacing w:before="120" w:after="120"/>
        <w:rPr>
          <w:sz w:val="16"/>
          <w:szCs w:val="28"/>
        </w:rPr>
      </w:pPr>
      <m:oMathPara>
        <m:oMath>
          <m:sSubSup>
            <m:sSubSupPr>
              <m:ctrlPr>
                <w:rPr>
                  <w:rFonts w:ascii="Cambria Math" w:hAnsi="Cambria Math"/>
                  <w:i/>
                  <w:iCs/>
                  <w:sz w:val="16"/>
                  <w:szCs w:val="28"/>
                  <w:lang w:val="en-US"/>
                </w:rPr>
              </m:ctrlPr>
            </m:sSubSupPr>
            <m:e>
              <m:r>
                <w:rPr>
                  <w:rFonts w:ascii="Cambria Math" w:hAnsi="Cambria Math"/>
                  <w:sz w:val="16"/>
                  <w:szCs w:val="28"/>
                  <w:lang w:val="en-US"/>
                </w:rPr>
                <m:t>M</m:t>
              </m:r>
            </m:e>
            <m:sub>
              <m:r>
                <m:rPr>
                  <m:sty m:val="p"/>
                </m:rPr>
                <w:rPr>
                  <w:rFonts w:ascii="Cambria Math" w:hAnsi="Cambria Math"/>
                  <w:sz w:val="16"/>
                  <w:szCs w:val="28"/>
                  <w:lang w:val="en-US"/>
                </w:rPr>
                <m:t>n</m:t>
              </m:r>
            </m:sub>
            <m:sup>
              <m:r>
                <m:rPr>
                  <m:sty m:val="p"/>
                </m:rPr>
                <w:rPr>
                  <w:rFonts w:ascii="Cambria Math" w:hAnsi="Cambria Math"/>
                  <w:sz w:val="16"/>
                  <w:szCs w:val="28"/>
                </w:rPr>
                <m:t>NMR</m:t>
              </m:r>
            </m:sup>
          </m:sSubSup>
          <m:r>
            <w:rPr>
              <w:rFonts w:ascii="Cambria Math" w:hAnsi="Cambria Math"/>
              <w:sz w:val="16"/>
              <w:szCs w:val="28"/>
              <w:lang w:val="en-US"/>
            </w:rPr>
            <m:t>=</m:t>
          </m:r>
          <m:f>
            <m:fPr>
              <m:ctrlPr>
                <w:rPr>
                  <w:rFonts w:ascii="Cambria Math" w:hAnsi="Cambria Math"/>
                  <w:i/>
                  <w:iCs/>
                  <w:sz w:val="16"/>
                  <w:szCs w:val="28"/>
                </w:rPr>
              </m:ctrlPr>
            </m:fPr>
            <m:num>
              <m:sSub>
                <m:sSubPr>
                  <m:ctrlPr>
                    <w:rPr>
                      <w:rFonts w:ascii="Cambria Math" w:hAnsi="Cambria Math"/>
                      <w:i/>
                      <w:iCs/>
                      <w:sz w:val="16"/>
                      <w:szCs w:val="28"/>
                    </w:rPr>
                  </m:ctrlPr>
                </m:sSubPr>
                <m:e>
                  <m:r>
                    <w:rPr>
                      <w:rFonts w:ascii="Cambria Math" w:hAnsi="Cambria Math"/>
                      <w:sz w:val="16"/>
                      <w:szCs w:val="28"/>
                      <w:lang w:val="en-US"/>
                    </w:rPr>
                    <m:t>I</m:t>
                  </m:r>
                </m:e>
                <m:sub>
                  <m:r>
                    <w:rPr>
                      <w:rFonts w:ascii="Cambria Math" w:hAnsi="Cambria Math"/>
                      <w:sz w:val="16"/>
                      <w:szCs w:val="28"/>
                      <w:lang w:val="en-US"/>
                    </w:rPr>
                    <m:t>5.6-5.1</m:t>
                  </m:r>
                </m:sub>
              </m:sSub>
            </m:num>
            <m:den>
              <m:sSub>
                <m:sSubPr>
                  <m:ctrlPr>
                    <w:rPr>
                      <w:rFonts w:ascii="Cambria Math" w:hAnsi="Cambria Math"/>
                      <w:i/>
                      <w:iCs/>
                      <w:sz w:val="16"/>
                      <w:szCs w:val="28"/>
                    </w:rPr>
                  </m:ctrlPr>
                </m:sSubPr>
                <m:e>
                  <m:r>
                    <w:rPr>
                      <w:rFonts w:ascii="Cambria Math" w:hAnsi="Cambria Math"/>
                      <w:sz w:val="16"/>
                      <w:szCs w:val="28"/>
                      <w:lang w:val="en-US"/>
                    </w:rPr>
                    <m:t>I</m:t>
                  </m:r>
                </m:e>
                <m:sub>
                  <m:r>
                    <w:rPr>
                      <w:rFonts w:ascii="Cambria Math" w:hAnsi="Cambria Math"/>
                      <w:sz w:val="16"/>
                      <w:szCs w:val="28"/>
                      <w:lang w:val="en-US"/>
                    </w:rPr>
                    <m:t>5.1-4.9</m:t>
                  </m:r>
                </m:sub>
              </m:sSub>
            </m:den>
          </m:f>
          <m:r>
            <w:rPr>
              <w:rFonts w:ascii="Cambria Math" w:hAnsi="Cambria Math"/>
              <w:sz w:val="16"/>
              <w:szCs w:val="28"/>
              <w:lang w:val="en-US"/>
            </w:rPr>
            <m:t>∙M</m:t>
          </m:r>
          <m:d>
            <m:dPr>
              <m:ctrlPr>
                <w:rPr>
                  <w:rFonts w:ascii="Cambria Math" w:hAnsi="Cambria Math"/>
                  <w:i/>
                  <w:iCs/>
                  <w:sz w:val="16"/>
                  <w:szCs w:val="28"/>
                  <w:lang w:val="en-US"/>
                </w:rPr>
              </m:ctrlPr>
            </m:dPr>
            <m:e>
              <m:r>
                <m:rPr>
                  <m:sty m:val="p"/>
                </m:rPr>
                <w:rPr>
                  <w:rFonts w:ascii="Cambria Math" w:hAnsi="Cambria Math"/>
                  <w:sz w:val="16"/>
                  <w:szCs w:val="28"/>
                </w:rPr>
                <m:t>NDA</m:t>
              </m:r>
            </m:e>
          </m:d>
          <m:r>
            <w:rPr>
              <w:rFonts w:ascii="Cambria Math" w:hAnsi="Cambria Math"/>
              <w:sz w:val="16"/>
              <w:szCs w:val="28"/>
              <w:lang w:val="en-US"/>
            </w:rPr>
            <m:t>+M(</m:t>
          </m:r>
          <m:r>
            <m:rPr>
              <m:sty m:val="p"/>
            </m:rPr>
            <w:rPr>
              <w:rFonts w:ascii="Cambria Math" w:hAnsi="Cambria Math"/>
              <w:sz w:val="16"/>
              <w:szCs w:val="28"/>
              <w:lang w:val="en-US"/>
            </w:rPr>
            <m:t>1‐hexene</m:t>
          </m:r>
          <m:r>
            <w:rPr>
              <w:rFonts w:ascii="Cambria Math" w:hAnsi="Cambria Math"/>
              <w:sz w:val="16"/>
              <w:szCs w:val="28"/>
              <w:lang w:val="en-US"/>
            </w:rPr>
            <m:t>)</m:t>
          </m:r>
        </m:oMath>
      </m:oMathPara>
    </w:p>
    <w:p w:rsidR="00172043" w:rsidRPr="0050483C" w:rsidRDefault="00172043" w:rsidP="0050483C">
      <w:pPr>
        <w:pStyle w:val="MainText"/>
        <w:ind w:firstLine="0"/>
      </w:pPr>
      <w:proofErr w:type="gramStart"/>
      <w:r>
        <w:t>where</w:t>
      </w:r>
      <w:proofErr w:type="gramEnd"/>
      <w:r w:rsidRPr="005F5F4F">
        <w:t xml:space="preserve"> </w:t>
      </w:r>
      <w:r w:rsidRPr="000D3858">
        <w:rPr>
          <w:i/>
          <w:lang w:val="ru-RU"/>
        </w:rPr>
        <w:t>М</w:t>
      </w:r>
      <w:r w:rsidRPr="005F5F4F">
        <w:t>(</w:t>
      </w:r>
      <w:r>
        <w:t>NDA</w:t>
      </w:r>
      <w:r w:rsidRPr="005F5F4F">
        <w:t xml:space="preserve">) </w:t>
      </w:r>
      <w:r w:rsidR="00DE79B2">
        <w:t>is the</w:t>
      </w:r>
      <w:r w:rsidRPr="005F5F4F">
        <w:t xml:space="preserve"> molecular mass of NDA equal to 164.16 g/mol</w:t>
      </w:r>
      <w:r w:rsidR="000A280C">
        <w:t xml:space="preserve"> and</w:t>
      </w:r>
      <w:r w:rsidRPr="005F5F4F">
        <w:t xml:space="preserve"> </w:t>
      </w:r>
      <w:r w:rsidRPr="000D3858">
        <w:rPr>
          <w:i/>
          <w:lang w:val="ru-RU"/>
        </w:rPr>
        <w:t>М</w:t>
      </w:r>
      <w:r w:rsidRPr="005F5F4F">
        <w:t>(</w:t>
      </w:r>
      <w:r w:rsidR="002722F1">
        <w:t>1-</w:t>
      </w:r>
      <w:r>
        <w:t>hexene</w:t>
      </w:r>
      <w:r w:rsidRPr="005F5F4F">
        <w:t xml:space="preserve">) </w:t>
      </w:r>
      <w:r w:rsidR="00DE79B2">
        <w:t xml:space="preserve">is </w:t>
      </w:r>
      <w:r w:rsidRPr="005F5F4F">
        <w:t xml:space="preserve">the molecular mass of </w:t>
      </w:r>
      <w:r w:rsidR="002722F1">
        <w:t>1-</w:t>
      </w:r>
      <w:r w:rsidRPr="005F5F4F">
        <w:t xml:space="preserve">hexene </w:t>
      </w:r>
      <w:r w:rsidR="00DE79B2">
        <w:t>equal to</w:t>
      </w:r>
      <w:r w:rsidRPr="005F5F4F">
        <w:t xml:space="preserve"> 84.16 g/mol.</w:t>
      </w:r>
    </w:p>
    <w:p w:rsidR="0050483C" w:rsidRPr="0050483C" w:rsidRDefault="0050483C" w:rsidP="0050483C">
      <w:pPr>
        <w:pStyle w:val="MainText"/>
        <w:spacing w:before="200" w:after="120"/>
        <w:ind w:firstLine="0"/>
        <w:jc w:val="center"/>
      </w:pPr>
      <w:r w:rsidRPr="0050483C">
        <w:drawing>
          <wp:inline distT="0" distB="0" distL="0" distR="0">
            <wp:extent cx="2183442" cy="1490400"/>
            <wp:effectExtent l="19050" t="0" r="7308" b="0"/>
            <wp:docPr id="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183442" cy="1490400"/>
                    </a:xfrm>
                    <a:prstGeom prst="rect">
                      <a:avLst/>
                    </a:prstGeom>
                    <a:noFill/>
                    <a:ln w="9525">
                      <a:noFill/>
                      <a:miter lim="800000"/>
                      <a:headEnd/>
                      <a:tailEnd/>
                    </a:ln>
                  </pic:spPr>
                </pic:pic>
              </a:graphicData>
            </a:graphic>
          </wp:inline>
        </w:drawing>
      </w:r>
    </w:p>
    <w:p w:rsidR="00172043" w:rsidRPr="001F66A9" w:rsidRDefault="00172043" w:rsidP="00DE79B2">
      <w:pPr>
        <w:pStyle w:val="MainText"/>
        <w:spacing w:before="120" w:after="200"/>
        <w:ind w:firstLine="0"/>
      </w:pPr>
      <w:proofErr w:type="gramStart"/>
      <w:r w:rsidRPr="003A4CCF">
        <w:rPr>
          <w:b/>
          <w:sz w:val="16"/>
          <w:szCs w:val="16"/>
        </w:rPr>
        <w:t>Figure</w:t>
      </w:r>
      <w:r w:rsidRPr="006D07C6">
        <w:rPr>
          <w:b/>
          <w:sz w:val="16"/>
          <w:szCs w:val="16"/>
        </w:rPr>
        <w:t xml:space="preserve"> 1.</w:t>
      </w:r>
      <w:proofErr w:type="gramEnd"/>
      <w:r w:rsidRPr="006D07C6">
        <w:rPr>
          <w:sz w:val="16"/>
          <w:szCs w:val="16"/>
        </w:rPr>
        <w:t xml:space="preserve"> </w:t>
      </w:r>
      <w:r w:rsidR="00DE79B2">
        <w:rPr>
          <w:sz w:val="16"/>
          <w:szCs w:val="16"/>
        </w:rPr>
        <w:t>R</w:t>
      </w:r>
      <w:r w:rsidRPr="006D07C6">
        <w:rPr>
          <w:sz w:val="16"/>
          <w:szCs w:val="16"/>
        </w:rPr>
        <w:t xml:space="preserve">egion of </w:t>
      </w:r>
      <w:r>
        <w:rPr>
          <w:sz w:val="16"/>
          <w:szCs w:val="16"/>
        </w:rPr>
        <w:t xml:space="preserve">the </w:t>
      </w:r>
      <w:r w:rsidRPr="006D07C6">
        <w:rPr>
          <w:sz w:val="16"/>
          <w:szCs w:val="16"/>
        </w:rPr>
        <w:t>double bond</w:t>
      </w:r>
      <w:r w:rsidR="00F462DB">
        <w:rPr>
          <w:sz w:val="16"/>
          <w:szCs w:val="16"/>
        </w:rPr>
        <w:t xml:space="preserve"> </w:t>
      </w:r>
      <w:r w:rsidRPr="006D07C6">
        <w:rPr>
          <w:sz w:val="16"/>
          <w:szCs w:val="16"/>
        </w:rPr>
        <w:t>s</w:t>
      </w:r>
      <w:r w:rsidR="00F462DB">
        <w:rPr>
          <w:sz w:val="16"/>
          <w:szCs w:val="16"/>
        </w:rPr>
        <w:t>ignals</w:t>
      </w:r>
      <w:r w:rsidRPr="006D07C6">
        <w:rPr>
          <w:sz w:val="16"/>
          <w:szCs w:val="16"/>
        </w:rPr>
        <w:t xml:space="preserve"> </w:t>
      </w:r>
      <w:r w:rsidR="000A280C">
        <w:rPr>
          <w:sz w:val="16"/>
          <w:szCs w:val="16"/>
        </w:rPr>
        <w:t>i</w:t>
      </w:r>
      <w:r>
        <w:rPr>
          <w:sz w:val="16"/>
          <w:szCs w:val="16"/>
        </w:rPr>
        <w:t>n</w:t>
      </w:r>
      <w:r w:rsidRPr="006D07C6">
        <w:rPr>
          <w:sz w:val="16"/>
          <w:szCs w:val="16"/>
        </w:rPr>
        <w:t xml:space="preserve"> the </w:t>
      </w:r>
      <w:r w:rsidRPr="006D07C6">
        <w:rPr>
          <w:sz w:val="16"/>
          <w:szCs w:val="16"/>
          <w:vertAlign w:val="superscript"/>
        </w:rPr>
        <w:t>1</w:t>
      </w:r>
      <w:r w:rsidRPr="006D07C6">
        <w:rPr>
          <w:sz w:val="16"/>
          <w:szCs w:val="16"/>
        </w:rPr>
        <w:t>H</w:t>
      </w:r>
      <w:r w:rsidR="00DE79B2">
        <w:rPr>
          <w:sz w:val="16"/>
          <w:szCs w:val="16"/>
        </w:rPr>
        <w:t>–</w:t>
      </w:r>
      <w:r w:rsidRPr="006D07C6">
        <w:rPr>
          <w:sz w:val="16"/>
          <w:szCs w:val="16"/>
          <w:vertAlign w:val="superscript"/>
        </w:rPr>
        <w:t>13</w:t>
      </w:r>
      <w:r w:rsidRPr="006D07C6">
        <w:rPr>
          <w:sz w:val="16"/>
          <w:szCs w:val="16"/>
        </w:rPr>
        <w:t xml:space="preserve">C HSQC </w:t>
      </w:r>
      <w:r>
        <w:rPr>
          <w:sz w:val="16"/>
          <w:szCs w:val="16"/>
        </w:rPr>
        <w:t xml:space="preserve">(DEPT-135) </w:t>
      </w:r>
      <w:r w:rsidRPr="006D07C6">
        <w:rPr>
          <w:sz w:val="16"/>
          <w:szCs w:val="16"/>
        </w:rPr>
        <w:t>s</w:t>
      </w:r>
      <w:r>
        <w:rPr>
          <w:sz w:val="16"/>
          <w:szCs w:val="16"/>
        </w:rPr>
        <w:t xml:space="preserve">pectrum of </w:t>
      </w:r>
      <w:proofErr w:type="gramStart"/>
      <w:r>
        <w:rPr>
          <w:sz w:val="16"/>
          <w:szCs w:val="16"/>
        </w:rPr>
        <w:t>poly(</w:t>
      </w:r>
      <w:proofErr w:type="gramEnd"/>
      <w:r>
        <w:rPr>
          <w:sz w:val="16"/>
          <w:szCs w:val="16"/>
        </w:rPr>
        <w:t>NDA)</w:t>
      </w:r>
      <w:r w:rsidRPr="006D07C6">
        <w:rPr>
          <w:sz w:val="16"/>
          <w:szCs w:val="16"/>
        </w:rPr>
        <w:t xml:space="preserve"> </w:t>
      </w:r>
      <w:r w:rsidR="00F462DB">
        <w:rPr>
          <w:sz w:val="16"/>
          <w:szCs w:val="16"/>
        </w:rPr>
        <w:t xml:space="preserve">with </w:t>
      </w:r>
      <w:proofErr w:type="spellStart"/>
      <w:r w:rsidRPr="006D07C6">
        <w:rPr>
          <w:i/>
          <w:sz w:val="16"/>
          <w:szCs w:val="16"/>
        </w:rPr>
        <w:t>M</w:t>
      </w:r>
      <w:r w:rsidRPr="00DE79B2">
        <w:rPr>
          <w:iCs/>
          <w:sz w:val="16"/>
          <w:szCs w:val="16"/>
          <w:vertAlign w:val="subscript"/>
        </w:rPr>
        <w:t>n</w:t>
      </w:r>
      <w:r w:rsidRPr="00DE79B2">
        <w:rPr>
          <w:iCs/>
          <w:sz w:val="16"/>
          <w:szCs w:val="16"/>
          <w:vertAlign w:val="superscript"/>
        </w:rPr>
        <w:t>GPC</w:t>
      </w:r>
      <w:proofErr w:type="spellEnd"/>
      <w:r w:rsidR="00DE79B2" w:rsidRPr="00DE79B2">
        <w:rPr>
          <w:iCs/>
          <w:sz w:val="16"/>
          <w:szCs w:val="16"/>
        </w:rPr>
        <w:t xml:space="preserve"> </w:t>
      </w:r>
      <w:r w:rsidRPr="006D07C6">
        <w:rPr>
          <w:sz w:val="16"/>
          <w:szCs w:val="16"/>
        </w:rPr>
        <w:t xml:space="preserve">= 8 </w:t>
      </w:r>
      <w:proofErr w:type="spellStart"/>
      <w:r w:rsidRPr="006D07C6">
        <w:rPr>
          <w:sz w:val="16"/>
          <w:szCs w:val="16"/>
        </w:rPr>
        <w:t>kDa</w:t>
      </w:r>
      <w:proofErr w:type="spellEnd"/>
      <w:r w:rsidR="00F462DB">
        <w:rPr>
          <w:sz w:val="16"/>
          <w:szCs w:val="16"/>
        </w:rPr>
        <w:t xml:space="preserve"> and</w:t>
      </w:r>
      <w:r w:rsidRPr="006D07C6">
        <w:rPr>
          <w:sz w:val="16"/>
          <w:szCs w:val="16"/>
        </w:rPr>
        <w:t xml:space="preserve"> </w:t>
      </w:r>
      <w:r w:rsidRPr="006D07C6">
        <w:rPr>
          <w:i/>
          <w:sz w:val="16"/>
          <w:szCs w:val="16"/>
        </w:rPr>
        <w:t>Ɖ</w:t>
      </w:r>
      <w:r w:rsidRPr="006D07C6">
        <w:rPr>
          <w:sz w:val="16"/>
          <w:szCs w:val="16"/>
        </w:rPr>
        <w:t xml:space="preserve"> = 2.0.</w:t>
      </w:r>
    </w:p>
    <w:p w:rsidR="00172043" w:rsidRDefault="000A280C" w:rsidP="00786972">
      <w:pPr>
        <w:pStyle w:val="MainText"/>
        <w:widowControl w:val="0"/>
        <w:ind w:firstLine="284"/>
      </w:pPr>
      <w:r>
        <w:t xml:space="preserve">As </w:t>
      </w:r>
      <w:r w:rsidR="00172043" w:rsidRPr="008A6973">
        <w:t>can be seen from the presented data (Table 1)</w:t>
      </w:r>
      <w:r>
        <w:t xml:space="preserve">, an </w:t>
      </w:r>
      <w:r w:rsidR="00172043" w:rsidRPr="008A6973">
        <w:t>increas</w:t>
      </w:r>
      <w:r>
        <w:t xml:space="preserve">e in </w:t>
      </w:r>
      <w:r w:rsidR="00172043" w:rsidRPr="008A6973">
        <w:t xml:space="preserve">the amount of </w:t>
      </w:r>
      <w:r w:rsidR="00BB7F79">
        <w:t>1-</w:t>
      </w:r>
      <w:r w:rsidR="00172043" w:rsidRPr="008A6973">
        <w:t>hexene in the reaction m</w:t>
      </w:r>
      <w:r w:rsidR="00786972">
        <w:t xml:space="preserve">ixture </w:t>
      </w:r>
      <w:r w:rsidR="00172043" w:rsidRPr="008A6973">
        <w:t xml:space="preserve">leads to a gradual decrease in </w:t>
      </w:r>
      <w:r w:rsidR="00786972">
        <w:t xml:space="preserve">the values of </w:t>
      </w:r>
      <w:proofErr w:type="spellStart"/>
      <w:r w:rsidR="00172043" w:rsidRPr="008A6973">
        <w:rPr>
          <w:i/>
        </w:rPr>
        <w:t>M</w:t>
      </w:r>
      <w:r w:rsidR="00172043" w:rsidRPr="00786972">
        <w:rPr>
          <w:iCs/>
          <w:vertAlign w:val="subscript"/>
        </w:rPr>
        <w:t>n</w:t>
      </w:r>
      <w:r w:rsidR="00172043" w:rsidRPr="00786972">
        <w:rPr>
          <w:iCs/>
          <w:vertAlign w:val="superscript"/>
        </w:rPr>
        <w:t>GPC</w:t>
      </w:r>
      <w:proofErr w:type="spellEnd"/>
      <w:r w:rsidR="00172043" w:rsidRPr="008A6973">
        <w:t xml:space="preserve"> and </w:t>
      </w:r>
      <w:proofErr w:type="spellStart"/>
      <w:r w:rsidR="00172043" w:rsidRPr="008A6973">
        <w:rPr>
          <w:i/>
        </w:rPr>
        <w:t>M</w:t>
      </w:r>
      <w:r w:rsidR="00172043" w:rsidRPr="00786972">
        <w:rPr>
          <w:iCs/>
          <w:vertAlign w:val="subscript"/>
        </w:rPr>
        <w:t>n</w:t>
      </w:r>
      <w:r w:rsidR="00172043" w:rsidRPr="00786972">
        <w:rPr>
          <w:iCs/>
          <w:vertAlign w:val="superscript"/>
        </w:rPr>
        <w:t>NMR</w:t>
      </w:r>
      <w:proofErr w:type="spellEnd"/>
      <w:r w:rsidR="00172043" w:rsidRPr="008A6973">
        <w:t>, a</w:t>
      </w:r>
      <w:r w:rsidR="00786972">
        <w:t xml:space="preserve">ffording </w:t>
      </w:r>
      <w:r w:rsidR="00172043" w:rsidRPr="008A6973">
        <w:t xml:space="preserve">polymer samples with </w:t>
      </w:r>
      <w:r w:rsidR="00786972">
        <w:t xml:space="preserve">the </w:t>
      </w:r>
      <w:r w:rsidR="00172043" w:rsidRPr="008A6973">
        <w:t xml:space="preserve">desired molecular weights by adjusting the </w:t>
      </w:r>
      <w:r w:rsidR="00BB7F79">
        <w:t>1-</w:t>
      </w:r>
      <w:r w:rsidR="00172043" w:rsidRPr="008A6973">
        <w:t>hexene/NDA ratio at high monomer/catalyst ratios.</w:t>
      </w:r>
    </w:p>
    <w:p w:rsidR="00172043" w:rsidRPr="00172043" w:rsidRDefault="00172043" w:rsidP="00DE79B2">
      <w:pPr>
        <w:spacing w:after="0"/>
        <w:ind w:firstLine="284"/>
        <w:jc w:val="both"/>
        <w:rPr>
          <w:rFonts w:ascii="Times New Roman" w:hAnsi="Times New Roman" w:cs="Times New Roman"/>
          <w:sz w:val="18"/>
          <w:szCs w:val="18"/>
          <w:lang w:val="en-US"/>
        </w:rPr>
      </w:pPr>
      <w:r w:rsidRPr="00172043">
        <w:rPr>
          <w:rFonts w:ascii="Times New Roman" w:hAnsi="Times New Roman" w:cs="Times New Roman"/>
          <w:sz w:val="18"/>
          <w:szCs w:val="18"/>
          <w:lang w:val="en-US"/>
        </w:rPr>
        <w:t xml:space="preserve">According to </w:t>
      </w:r>
      <w:r w:rsidR="00DE79B2">
        <w:rPr>
          <w:rFonts w:ascii="Times New Roman" w:hAnsi="Times New Roman" w:cs="Times New Roman"/>
          <w:sz w:val="18"/>
          <w:szCs w:val="18"/>
          <w:lang w:val="en-US"/>
        </w:rPr>
        <w:t xml:space="preserve">the </w:t>
      </w:r>
      <w:r w:rsidRPr="00172043">
        <w:rPr>
          <w:rFonts w:ascii="Times New Roman" w:hAnsi="Times New Roman" w:cs="Times New Roman"/>
          <w:sz w:val="18"/>
          <w:szCs w:val="18"/>
          <w:lang w:val="en-US"/>
        </w:rPr>
        <w:t xml:space="preserve">DSC data, all </w:t>
      </w:r>
      <w:r w:rsidR="00786972">
        <w:rPr>
          <w:rFonts w:ascii="Times New Roman" w:hAnsi="Times New Roman" w:cs="Times New Roman"/>
          <w:sz w:val="18"/>
          <w:szCs w:val="18"/>
          <w:lang w:val="en-US"/>
        </w:rPr>
        <w:t xml:space="preserve">the </w:t>
      </w:r>
      <w:r w:rsidRPr="00172043">
        <w:rPr>
          <w:rFonts w:ascii="Times New Roman" w:hAnsi="Times New Roman" w:cs="Times New Roman"/>
          <w:sz w:val="18"/>
          <w:szCs w:val="18"/>
          <w:lang w:val="en-US"/>
        </w:rPr>
        <w:t>products obtained in this work are amorphous polymers. It is known that high</w:t>
      </w:r>
      <w:r w:rsidR="00786972">
        <w:rPr>
          <w:rFonts w:ascii="Times New Roman" w:hAnsi="Times New Roman" w:cs="Times New Roman"/>
          <w:sz w:val="18"/>
          <w:szCs w:val="18"/>
          <w:lang w:val="en-US"/>
        </w:rPr>
        <w:t>-</w:t>
      </w:r>
      <w:r w:rsidRPr="00172043">
        <w:rPr>
          <w:rFonts w:ascii="Times New Roman" w:hAnsi="Times New Roman" w:cs="Times New Roman"/>
          <w:sz w:val="18"/>
          <w:szCs w:val="18"/>
          <w:lang w:val="en-US"/>
        </w:rPr>
        <w:t>molecular</w:t>
      </w:r>
      <w:r w:rsidR="00786972">
        <w:rPr>
          <w:rFonts w:ascii="Times New Roman" w:hAnsi="Times New Roman" w:cs="Times New Roman"/>
          <w:sz w:val="18"/>
          <w:szCs w:val="18"/>
          <w:lang w:val="en-US"/>
        </w:rPr>
        <w:t>-</w:t>
      </w:r>
      <w:r w:rsidRPr="00172043">
        <w:rPr>
          <w:rFonts w:ascii="Times New Roman" w:hAnsi="Times New Roman" w:cs="Times New Roman"/>
          <w:sz w:val="18"/>
          <w:szCs w:val="18"/>
          <w:lang w:val="en-US"/>
        </w:rPr>
        <w:t xml:space="preserve">weight </w:t>
      </w:r>
      <w:proofErr w:type="gramStart"/>
      <w:r w:rsidRPr="00172043">
        <w:rPr>
          <w:rFonts w:ascii="Times New Roman" w:hAnsi="Times New Roman" w:cs="Times New Roman"/>
          <w:sz w:val="18"/>
          <w:szCs w:val="18"/>
          <w:lang w:val="en-US"/>
        </w:rPr>
        <w:t>poly(</w:t>
      </w:r>
      <w:proofErr w:type="gramEnd"/>
      <w:r w:rsidRPr="00172043">
        <w:rPr>
          <w:rFonts w:ascii="Times New Roman" w:hAnsi="Times New Roman" w:cs="Times New Roman"/>
          <w:sz w:val="18"/>
          <w:szCs w:val="18"/>
          <w:lang w:val="en-US"/>
        </w:rPr>
        <w:t xml:space="preserve">NDA) is characterized by </w:t>
      </w:r>
      <w:proofErr w:type="spellStart"/>
      <w:r w:rsidRPr="00172043">
        <w:rPr>
          <w:rFonts w:ascii="Times New Roman" w:hAnsi="Times New Roman" w:cs="Times New Roman"/>
          <w:i/>
          <w:sz w:val="18"/>
          <w:szCs w:val="18"/>
          <w:lang w:val="en-US"/>
        </w:rPr>
        <w:t>T</w:t>
      </w:r>
      <w:r w:rsidRPr="00786972">
        <w:rPr>
          <w:rFonts w:ascii="Times New Roman" w:hAnsi="Times New Roman" w:cs="Times New Roman"/>
          <w:iCs/>
          <w:sz w:val="18"/>
          <w:szCs w:val="18"/>
          <w:vertAlign w:val="subscript"/>
          <w:lang w:val="en-US"/>
        </w:rPr>
        <w:t>g</w:t>
      </w:r>
      <w:proofErr w:type="spellEnd"/>
      <w:r w:rsidRPr="00172043">
        <w:rPr>
          <w:rFonts w:ascii="Times New Roman" w:hAnsi="Times New Roman" w:cs="Times New Roman"/>
          <w:sz w:val="18"/>
          <w:szCs w:val="18"/>
          <w:lang w:val="en-US"/>
        </w:rPr>
        <w:t xml:space="preserve">, the value of which is </w:t>
      </w:r>
      <w:r w:rsidRPr="00172043">
        <w:rPr>
          <w:rFonts w:ascii="Times New Roman" w:hAnsi="Times New Roman" w:cs="Times New Roman"/>
          <w:sz w:val="18"/>
          <w:szCs w:val="18"/>
          <w:lang w:val="en-US"/>
        </w:rPr>
        <w:lastRenderedPageBreak/>
        <w:t xml:space="preserve">higher than the decomposition temperature [9]. Due to </w:t>
      </w:r>
      <w:r w:rsidR="00786972">
        <w:rPr>
          <w:rFonts w:ascii="Times New Roman" w:hAnsi="Times New Roman" w:cs="Times New Roman"/>
          <w:sz w:val="18"/>
          <w:szCs w:val="18"/>
          <w:lang w:val="en-US"/>
        </w:rPr>
        <w:t xml:space="preserve">a </w:t>
      </w:r>
      <w:r w:rsidRPr="00172043">
        <w:rPr>
          <w:rFonts w:ascii="Times New Roman" w:hAnsi="Times New Roman" w:cs="Times New Roman"/>
          <w:sz w:val="18"/>
          <w:szCs w:val="18"/>
          <w:lang w:val="en-US"/>
        </w:rPr>
        <w:t xml:space="preserve">decrease of </w:t>
      </w:r>
      <w:proofErr w:type="spellStart"/>
      <w:r w:rsidRPr="00172043">
        <w:rPr>
          <w:rFonts w:ascii="Times New Roman" w:hAnsi="Times New Roman" w:cs="Times New Roman"/>
          <w:i/>
          <w:sz w:val="18"/>
          <w:szCs w:val="18"/>
          <w:lang w:val="en-US"/>
        </w:rPr>
        <w:t>M</w:t>
      </w:r>
      <w:r w:rsidRPr="00786972">
        <w:rPr>
          <w:rFonts w:ascii="Times New Roman" w:hAnsi="Times New Roman" w:cs="Times New Roman"/>
          <w:iCs/>
          <w:sz w:val="18"/>
          <w:szCs w:val="18"/>
          <w:vertAlign w:val="subscript"/>
          <w:lang w:val="en-US"/>
        </w:rPr>
        <w:t>n</w:t>
      </w:r>
      <w:r w:rsidRPr="00172043">
        <w:rPr>
          <w:rFonts w:ascii="Times New Roman" w:hAnsi="Times New Roman" w:cs="Times New Roman"/>
          <w:sz w:val="18"/>
          <w:szCs w:val="18"/>
          <w:vertAlign w:val="superscript"/>
          <w:lang w:val="en-US"/>
        </w:rPr>
        <w:t>GPC</w:t>
      </w:r>
      <w:proofErr w:type="spellEnd"/>
      <w:r w:rsidRPr="00172043">
        <w:rPr>
          <w:rFonts w:ascii="Times New Roman" w:hAnsi="Times New Roman" w:cs="Times New Roman"/>
          <w:sz w:val="18"/>
          <w:szCs w:val="18"/>
          <w:lang w:val="en-US"/>
        </w:rPr>
        <w:t xml:space="preserve">, it was possible to obtain </w:t>
      </w:r>
      <w:r w:rsidR="00786972">
        <w:rPr>
          <w:rFonts w:ascii="Times New Roman" w:hAnsi="Times New Roman" w:cs="Times New Roman"/>
          <w:sz w:val="18"/>
          <w:szCs w:val="18"/>
          <w:lang w:val="en-US"/>
        </w:rPr>
        <w:t xml:space="preserve">the </w:t>
      </w:r>
      <w:r w:rsidRPr="00172043">
        <w:rPr>
          <w:rFonts w:ascii="Times New Roman" w:hAnsi="Times New Roman" w:cs="Times New Roman"/>
          <w:sz w:val="18"/>
          <w:szCs w:val="18"/>
          <w:lang w:val="en-US"/>
        </w:rPr>
        <w:t xml:space="preserve">products with detectable </w:t>
      </w:r>
      <w:proofErr w:type="spellStart"/>
      <w:r w:rsidRPr="00172043">
        <w:rPr>
          <w:rFonts w:ascii="Times New Roman" w:hAnsi="Times New Roman" w:cs="Times New Roman"/>
          <w:i/>
          <w:sz w:val="18"/>
          <w:szCs w:val="18"/>
          <w:lang w:val="en-US"/>
        </w:rPr>
        <w:t>T</w:t>
      </w:r>
      <w:r w:rsidRPr="00786972">
        <w:rPr>
          <w:rFonts w:ascii="Times New Roman" w:hAnsi="Times New Roman" w:cs="Times New Roman"/>
          <w:iCs/>
          <w:sz w:val="18"/>
          <w:szCs w:val="18"/>
          <w:vertAlign w:val="subscript"/>
          <w:lang w:val="en-US"/>
        </w:rPr>
        <w:t>g</w:t>
      </w:r>
      <w:proofErr w:type="spellEnd"/>
      <w:r w:rsidRPr="00172043">
        <w:rPr>
          <w:rFonts w:ascii="Times New Roman" w:hAnsi="Times New Roman" w:cs="Times New Roman"/>
          <w:sz w:val="18"/>
          <w:szCs w:val="18"/>
          <w:lang w:val="en-US"/>
        </w:rPr>
        <w:t xml:space="preserve">, which decreases with </w:t>
      </w:r>
      <w:r w:rsidR="00786972">
        <w:rPr>
          <w:rFonts w:ascii="Times New Roman" w:hAnsi="Times New Roman" w:cs="Times New Roman"/>
          <w:sz w:val="18"/>
          <w:szCs w:val="18"/>
          <w:lang w:val="en-US"/>
        </w:rPr>
        <w:t>a</w:t>
      </w:r>
      <w:r w:rsidRPr="00172043">
        <w:rPr>
          <w:rFonts w:ascii="Times New Roman" w:hAnsi="Times New Roman" w:cs="Times New Roman"/>
          <w:sz w:val="18"/>
          <w:szCs w:val="18"/>
          <w:lang w:val="en-US"/>
        </w:rPr>
        <w:t xml:space="preserve"> decrease of </w:t>
      </w:r>
      <w:proofErr w:type="spellStart"/>
      <w:r w:rsidRPr="00172043">
        <w:rPr>
          <w:rFonts w:ascii="Times New Roman" w:hAnsi="Times New Roman" w:cs="Times New Roman"/>
          <w:i/>
          <w:sz w:val="18"/>
          <w:szCs w:val="18"/>
          <w:lang w:val="en-US"/>
        </w:rPr>
        <w:t>M</w:t>
      </w:r>
      <w:r w:rsidRPr="00786972">
        <w:rPr>
          <w:rFonts w:ascii="Times New Roman" w:hAnsi="Times New Roman" w:cs="Times New Roman"/>
          <w:iCs/>
          <w:sz w:val="18"/>
          <w:szCs w:val="18"/>
          <w:vertAlign w:val="subscript"/>
          <w:lang w:val="en-US"/>
        </w:rPr>
        <w:t>n</w:t>
      </w:r>
      <w:r w:rsidRPr="00172043">
        <w:rPr>
          <w:rFonts w:ascii="Times New Roman" w:hAnsi="Times New Roman" w:cs="Times New Roman"/>
          <w:sz w:val="18"/>
          <w:szCs w:val="18"/>
          <w:vertAlign w:val="superscript"/>
          <w:lang w:val="en-US"/>
        </w:rPr>
        <w:t>GPC</w:t>
      </w:r>
      <w:proofErr w:type="spellEnd"/>
      <w:r w:rsidRPr="00172043">
        <w:rPr>
          <w:rFonts w:ascii="Times New Roman" w:hAnsi="Times New Roman" w:cs="Times New Roman"/>
          <w:sz w:val="18"/>
          <w:szCs w:val="18"/>
          <w:lang w:val="en-US"/>
        </w:rPr>
        <w:t>.</w:t>
      </w:r>
    </w:p>
    <w:p w:rsidR="00F376FB" w:rsidRDefault="00875175" w:rsidP="00B23601">
      <w:pPr>
        <w:spacing w:before="240" w:after="240"/>
        <w:rPr>
          <w:rFonts w:ascii="Arial" w:hAnsi="Arial" w:cs="Arial"/>
          <w:b/>
          <w:lang w:val="en-US"/>
        </w:rPr>
      </w:pPr>
      <w:r w:rsidRPr="00875175">
        <w:rPr>
          <w:rFonts w:ascii="Arial" w:hAnsi="Arial" w:cs="Arial"/>
          <w:b/>
          <w:lang w:val="en-US"/>
        </w:rPr>
        <w:t>Conclusions</w:t>
      </w:r>
    </w:p>
    <w:p w:rsidR="00F94740" w:rsidRPr="00DC7B53" w:rsidRDefault="00786972" w:rsidP="00A231BA">
      <w:pPr>
        <w:spacing w:after="0"/>
        <w:ind w:firstLine="284"/>
        <w:jc w:val="both"/>
        <w:rPr>
          <w:rFonts w:ascii="Times New Roman" w:hAnsi="Times New Roman" w:cs="Times New Roman"/>
          <w:bCs/>
          <w:sz w:val="18"/>
          <w:szCs w:val="18"/>
          <w:lang w:val="en-US"/>
        </w:rPr>
      </w:pPr>
      <w:proofErr w:type="gramStart"/>
      <w:r>
        <w:rPr>
          <w:rFonts w:ascii="Times New Roman" w:hAnsi="Times New Roman" w:cs="Times New Roman"/>
          <w:sz w:val="18"/>
          <w:szCs w:val="18"/>
          <w:lang w:val="en-US"/>
        </w:rPr>
        <w:t>P</w:t>
      </w:r>
      <w:r w:rsidR="00DC7B53">
        <w:rPr>
          <w:rFonts w:ascii="Times New Roman" w:hAnsi="Times New Roman" w:cs="Times New Roman"/>
          <w:sz w:val="18"/>
          <w:szCs w:val="18"/>
          <w:lang w:val="en-US"/>
        </w:rPr>
        <w:t>oly</w:t>
      </w:r>
      <w:r w:rsidR="00DC7B53" w:rsidRPr="00917107">
        <w:rPr>
          <w:rFonts w:ascii="Times New Roman" w:hAnsi="Times New Roman" w:cs="Times New Roman"/>
          <w:sz w:val="18"/>
          <w:szCs w:val="18"/>
          <w:lang w:val="en-US"/>
        </w:rPr>
        <w:t>(</w:t>
      </w:r>
      <w:proofErr w:type="gramEnd"/>
      <w:r w:rsidR="00DC7B53">
        <w:rPr>
          <w:rFonts w:ascii="Times New Roman" w:hAnsi="Times New Roman" w:cs="Times New Roman"/>
          <w:sz w:val="18"/>
          <w:szCs w:val="18"/>
          <w:lang w:val="en-US"/>
        </w:rPr>
        <w:t>NDA</w:t>
      </w:r>
      <w:r w:rsidR="00DC7B53" w:rsidRPr="00917107">
        <w:rPr>
          <w:rFonts w:ascii="Times New Roman" w:hAnsi="Times New Roman" w:cs="Times New Roman"/>
          <w:sz w:val="18"/>
          <w:szCs w:val="18"/>
          <w:lang w:val="en-US"/>
        </w:rPr>
        <w:t xml:space="preserve">) </w:t>
      </w:r>
      <w:r w:rsidR="00DC7B53">
        <w:rPr>
          <w:rFonts w:ascii="Times New Roman" w:hAnsi="Times New Roman" w:cs="Times New Roman"/>
          <w:sz w:val="18"/>
          <w:szCs w:val="18"/>
          <w:lang w:val="en-US"/>
        </w:rPr>
        <w:t>was</w:t>
      </w:r>
      <w:r w:rsidR="00DC7B53" w:rsidRPr="00917107">
        <w:rPr>
          <w:rFonts w:ascii="Times New Roman" w:hAnsi="Times New Roman" w:cs="Times New Roman"/>
          <w:sz w:val="18"/>
          <w:szCs w:val="18"/>
          <w:lang w:val="en-US"/>
        </w:rPr>
        <w:t xml:space="preserve"> synthesized </w:t>
      </w:r>
      <w:r>
        <w:rPr>
          <w:rFonts w:ascii="Times New Roman" w:hAnsi="Times New Roman" w:cs="Times New Roman"/>
          <w:sz w:val="18"/>
          <w:szCs w:val="18"/>
          <w:lang w:val="en-US"/>
        </w:rPr>
        <w:t>f</w:t>
      </w:r>
      <w:r w:rsidRPr="00917107">
        <w:rPr>
          <w:rFonts w:ascii="Times New Roman" w:hAnsi="Times New Roman" w:cs="Times New Roman"/>
          <w:sz w:val="18"/>
          <w:szCs w:val="18"/>
          <w:lang w:val="en-US"/>
        </w:rPr>
        <w:t xml:space="preserve">or the first time </w:t>
      </w:r>
      <w:r w:rsidR="00DC7B53">
        <w:rPr>
          <w:rFonts w:ascii="Times New Roman" w:hAnsi="Times New Roman" w:cs="Times New Roman"/>
          <w:sz w:val="18"/>
          <w:szCs w:val="18"/>
          <w:lang w:val="en-US"/>
        </w:rPr>
        <w:t>by</w:t>
      </w:r>
      <w:r w:rsidR="00DC7B53" w:rsidRPr="00917107">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the </w:t>
      </w:r>
      <w:r w:rsidR="00DC7B53">
        <w:rPr>
          <w:rFonts w:ascii="Times New Roman" w:hAnsi="Times New Roman" w:cs="Times New Roman"/>
          <w:sz w:val="18"/>
          <w:szCs w:val="18"/>
          <w:lang w:val="en-US"/>
        </w:rPr>
        <w:t>ROMP</w:t>
      </w:r>
      <w:r w:rsidR="00DC7B53" w:rsidRPr="00917107">
        <w:rPr>
          <w:rFonts w:ascii="Times New Roman" w:hAnsi="Times New Roman" w:cs="Times New Roman"/>
          <w:sz w:val="18"/>
          <w:szCs w:val="18"/>
          <w:lang w:val="en-US"/>
        </w:rPr>
        <w:t xml:space="preserve"> </w:t>
      </w:r>
      <w:r w:rsidR="00DC7B53">
        <w:rPr>
          <w:rFonts w:ascii="Times New Roman" w:hAnsi="Times New Roman" w:cs="Times New Roman"/>
          <w:sz w:val="18"/>
          <w:szCs w:val="18"/>
          <w:lang w:val="en-US"/>
        </w:rPr>
        <w:t>in</w:t>
      </w:r>
      <w:r w:rsidR="00DC7B53" w:rsidRPr="00917107">
        <w:rPr>
          <w:rFonts w:ascii="Times New Roman" w:hAnsi="Times New Roman" w:cs="Times New Roman"/>
          <w:sz w:val="18"/>
          <w:szCs w:val="18"/>
          <w:lang w:val="en-US"/>
        </w:rPr>
        <w:t xml:space="preserve"> </w:t>
      </w:r>
      <w:r w:rsidR="00DC7B53">
        <w:rPr>
          <w:rFonts w:ascii="Times New Roman" w:hAnsi="Times New Roman" w:cs="Times New Roman"/>
          <w:sz w:val="18"/>
          <w:szCs w:val="18"/>
          <w:lang w:val="en-US"/>
        </w:rPr>
        <w:t>the</w:t>
      </w:r>
      <w:r w:rsidR="00DC7B53" w:rsidRPr="00917107">
        <w:rPr>
          <w:rFonts w:ascii="Times New Roman" w:hAnsi="Times New Roman" w:cs="Times New Roman"/>
          <w:sz w:val="18"/>
          <w:szCs w:val="18"/>
          <w:lang w:val="en-US"/>
        </w:rPr>
        <w:t xml:space="preserve"> </w:t>
      </w:r>
      <w:r w:rsidR="00DC7B53">
        <w:rPr>
          <w:rFonts w:ascii="Times New Roman" w:hAnsi="Times New Roman" w:cs="Times New Roman"/>
          <w:sz w:val="18"/>
          <w:szCs w:val="18"/>
          <w:lang w:val="en-US"/>
        </w:rPr>
        <w:t>presence</w:t>
      </w:r>
      <w:r w:rsidR="00DC7B53" w:rsidRPr="00917107">
        <w:rPr>
          <w:rFonts w:ascii="Times New Roman" w:hAnsi="Times New Roman" w:cs="Times New Roman"/>
          <w:sz w:val="18"/>
          <w:szCs w:val="18"/>
          <w:lang w:val="en-US"/>
        </w:rPr>
        <w:t xml:space="preserve"> </w:t>
      </w:r>
      <w:r w:rsidR="00DC7B53">
        <w:rPr>
          <w:rFonts w:ascii="Times New Roman" w:hAnsi="Times New Roman" w:cs="Times New Roman"/>
          <w:sz w:val="18"/>
          <w:szCs w:val="18"/>
          <w:lang w:val="en-US"/>
        </w:rPr>
        <w:t>of</w:t>
      </w:r>
      <w:r w:rsidR="00DC7B53" w:rsidRPr="00917107">
        <w:rPr>
          <w:rFonts w:ascii="Times New Roman" w:hAnsi="Times New Roman" w:cs="Times New Roman"/>
          <w:sz w:val="18"/>
          <w:szCs w:val="18"/>
          <w:lang w:val="en-US"/>
        </w:rPr>
        <w:t xml:space="preserve"> </w:t>
      </w:r>
      <w:r w:rsidR="00DC7B53">
        <w:rPr>
          <w:rFonts w:ascii="Times New Roman" w:hAnsi="Times New Roman" w:cs="Times New Roman"/>
          <w:sz w:val="18"/>
          <w:szCs w:val="18"/>
          <w:lang w:val="en-US"/>
        </w:rPr>
        <w:t>Gr</w:t>
      </w:r>
      <w:r w:rsidR="00DC7B53" w:rsidRPr="00917107">
        <w:rPr>
          <w:rFonts w:ascii="Times New Roman" w:hAnsi="Times New Roman" w:cs="Times New Roman"/>
          <w:sz w:val="18"/>
          <w:szCs w:val="18"/>
          <w:lang w:val="en-US"/>
        </w:rPr>
        <w:t xml:space="preserve">2 </w:t>
      </w:r>
      <w:r w:rsidR="00DC7B53">
        <w:rPr>
          <w:rFonts w:ascii="Times New Roman" w:hAnsi="Times New Roman" w:cs="Times New Roman"/>
          <w:sz w:val="18"/>
          <w:szCs w:val="18"/>
          <w:lang w:val="en-US"/>
        </w:rPr>
        <w:t>and</w:t>
      </w:r>
      <w:r w:rsidR="00DC7B53" w:rsidRPr="00917107">
        <w:rPr>
          <w:rFonts w:ascii="Times New Roman" w:hAnsi="Times New Roman" w:cs="Times New Roman"/>
          <w:sz w:val="18"/>
          <w:szCs w:val="18"/>
          <w:lang w:val="en-US"/>
        </w:rPr>
        <w:t xml:space="preserve"> </w:t>
      </w:r>
      <w:r w:rsidR="00BB7F79">
        <w:rPr>
          <w:rFonts w:ascii="Times New Roman" w:hAnsi="Times New Roman" w:cs="Times New Roman"/>
          <w:sz w:val="18"/>
          <w:szCs w:val="18"/>
          <w:lang w:val="en-US"/>
        </w:rPr>
        <w:t>1-</w:t>
      </w:r>
      <w:r w:rsidR="00DC7B53">
        <w:rPr>
          <w:rFonts w:ascii="Times New Roman" w:hAnsi="Times New Roman" w:cs="Times New Roman"/>
          <w:sz w:val="18"/>
          <w:szCs w:val="18"/>
          <w:lang w:val="en-US"/>
        </w:rPr>
        <w:t>hexene</w:t>
      </w:r>
      <w:r w:rsidR="00DC7B53" w:rsidRPr="00917107">
        <w:rPr>
          <w:rFonts w:ascii="Times New Roman" w:hAnsi="Times New Roman" w:cs="Times New Roman"/>
          <w:sz w:val="18"/>
          <w:szCs w:val="18"/>
          <w:lang w:val="en-US"/>
        </w:rPr>
        <w:t xml:space="preserve"> </w:t>
      </w:r>
      <w:r w:rsidR="00DC7B53">
        <w:rPr>
          <w:rFonts w:ascii="Times New Roman" w:hAnsi="Times New Roman" w:cs="Times New Roman"/>
          <w:sz w:val="18"/>
          <w:szCs w:val="18"/>
          <w:lang w:val="en-US"/>
        </w:rPr>
        <w:t>in</w:t>
      </w:r>
      <w:r w:rsidR="00DC7B53" w:rsidRPr="00917107">
        <w:rPr>
          <w:rFonts w:ascii="Times New Roman" w:hAnsi="Times New Roman" w:cs="Times New Roman"/>
          <w:sz w:val="18"/>
          <w:szCs w:val="18"/>
          <w:lang w:val="en-US"/>
        </w:rPr>
        <w:t xml:space="preserve"> </w:t>
      </w:r>
      <w:r w:rsidR="00DC7B53">
        <w:rPr>
          <w:rFonts w:ascii="Times New Roman" w:hAnsi="Times New Roman" w:cs="Times New Roman"/>
          <w:sz w:val="18"/>
          <w:szCs w:val="18"/>
          <w:lang w:val="en-US"/>
        </w:rPr>
        <w:t>DMF</w:t>
      </w:r>
      <w:r w:rsidR="00DC7B53" w:rsidRPr="00917107">
        <w:rPr>
          <w:rFonts w:ascii="Times New Roman" w:hAnsi="Times New Roman" w:cs="Times New Roman"/>
          <w:sz w:val="18"/>
          <w:szCs w:val="18"/>
          <w:lang w:val="en-US"/>
        </w:rPr>
        <w:t xml:space="preserve">. It </w:t>
      </w:r>
      <w:r>
        <w:rPr>
          <w:rFonts w:ascii="Times New Roman" w:hAnsi="Times New Roman" w:cs="Times New Roman"/>
          <w:sz w:val="18"/>
          <w:szCs w:val="18"/>
          <w:lang w:val="en-US"/>
        </w:rPr>
        <w:t>was</w:t>
      </w:r>
      <w:r w:rsidR="00DC7B53" w:rsidRPr="00917107">
        <w:rPr>
          <w:rFonts w:ascii="Times New Roman" w:hAnsi="Times New Roman" w:cs="Times New Roman"/>
          <w:sz w:val="18"/>
          <w:szCs w:val="18"/>
          <w:lang w:val="en-US"/>
        </w:rPr>
        <w:t xml:space="preserve"> shown</w:t>
      </w:r>
      <w:r w:rsidR="00DC7B53" w:rsidRPr="009B1203">
        <w:rPr>
          <w:rFonts w:ascii="Times New Roman" w:hAnsi="Times New Roman" w:cs="Times New Roman"/>
          <w:sz w:val="18"/>
          <w:szCs w:val="18"/>
          <w:lang w:val="en-US"/>
        </w:rPr>
        <w:t xml:space="preserve"> </w:t>
      </w:r>
      <w:r w:rsidR="00DC7B53" w:rsidRPr="0026332E">
        <w:rPr>
          <w:rFonts w:ascii="Times New Roman" w:hAnsi="Times New Roman" w:cs="Times New Roman"/>
          <w:sz w:val="18"/>
          <w:szCs w:val="18"/>
          <w:lang w:val="en-US"/>
        </w:rPr>
        <w:t>that</w:t>
      </w:r>
      <w:r w:rsidR="00DC7B53" w:rsidRPr="00917107">
        <w:rPr>
          <w:rFonts w:ascii="Times New Roman" w:hAnsi="Times New Roman" w:cs="Times New Roman"/>
          <w:sz w:val="18"/>
          <w:szCs w:val="18"/>
          <w:lang w:val="en-US"/>
        </w:rPr>
        <w:t xml:space="preserve"> </w:t>
      </w:r>
      <w:r w:rsidR="00BB7F79">
        <w:rPr>
          <w:rFonts w:ascii="Times New Roman" w:hAnsi="Times New Roman" w:cs="Times New Roman"/>
          <w:sz w:val="18"/>
          <w:szCs w:val="18"/>
          <w:lang w:val="en-US"/>
        </w:rPr>
        <w:t>1-</w:t>
      </w:r>
      <w:r w:rsidR="00DC7B53" w:rsidRPr="00917107">
        <w:rPr>
          <w:rFonts w:ascii="Times New Roman" w:hAnsi="Times New Roman" w:cs="Times New Roman"/>
          <w:sz w:val="18"/>
          <w:szCs w:val="18"/>
          <w:lang w:val="en-US"/>
        </w:rPr>
        <w:t>hexene can act as an effective chain transfer agent in this reaction.</w:t>
      </w:r>
      <w:r w:rsidR="00DC7B53">
        <w:rPr>
          <w:rFonts w:ascii="Times New Roman" w:hAnsi="Times New Roman" w:cs="Times New Roman"/>
          <w:sz w:val="18"/>
          <w:szCs w:val="18"/>
          <w:lang w:val="en-US"/>
        </w:rPr>
        <w:t xml:space="preserve"> The </w:t>
      </w:r>
      <w:r>
        <w:rPr>
          <w:rFonts w:ascii="Times New Roman" w:hAnsi="Times New Roman" w:cs="Times New Roman"/>
          <w:sz w:val="18"/>
          <w:szCs w:val="18"/>
          <w:lang w:val="en-US"/>
        </w:rPr>
        <w:t xml:space="preserve">resulting </w:t>
      </w:r>
      <w:r w:rsidR="00DC7B53">
        <w:rPr>
          <w:rFonts w:ascii="Times New Roman" w:hAnsi="Times New Roman" w:cs="Times New Roman"/>
          <w:sz w:val="18"/>
          <w:szCs w:val="18"/>
          <w:lang w:val="en-US"/>
        </w:rPr>
        <w:t xml:space="preserve">samples of </w:t>
      </w:r>
      <w:proofErr w:type="gramStart"/>
      <w:r w:rsidR="00DC7B53">
        <w:rPr>
          <w:rFonts w:ascii="Times New Roman" w:hAnsi="Times New Roman" w:cs="Times New Roman"/>
          <w:sz w:val="18"/>
          <w:szCs w:val="18"/>
          <w:lang w:val="en-US"/>
        </w:rPr>
        <w:t>poly(</w:t>
      </w:r>
      <w:proofErr w:type="gramEnd"/>
      <w:r w:rsidR="00DC7B53">
        <w:rPr>
          <w:rFonts w:ascii="Times New Roman" w:hAnsi="Times New Roman" w:cs="Times New Roman"/>
          <w:sz w:val="18"/>
          <w:szCs w:val="18"/>
          <w:lang w:val="en-US"/>
        </w:rPr>
        <w:t xml:space="preserve">NDA) are soluble and </w:t>
      </w:r>
      <w:r w:rsidRPr="00786972">
        <w:rPr>
          <w:rFonts w:ascii="Times New Roman" w:hAnsi="Times New Roman" w:cs="Times New Roman"/>
          <w:sz w:val="18"/>
          <w:szCs w:val="18"/>
          <w:highlight w:val="green"/>
          <w:lang w:val="en-US"/>
        </w:rPr>
        <w:t xml:space="preserve">feature low </w:t>
      </w:r>
      <w:r w:rsidR="00DC7B53" w:rsidRPr="00786972">
        <w:rPr>
          <w:rFonts w:ascii="Times New Roman" w:hAnsi="Times New Roman" w:cs="Times New Roman"/>
          <w:sz w:val="18"/>
          <w:szCs w:val="18"/>
          <w:highlight w:val="green"/>
          <w:lang w:val="en-US"/>
        </w:rPr>
        <w:t>dispersity</w:t>
      </w:r>
      <w:r w:rsidR="00DC7B53" w:rsidRPr="009B1203">
        <w:rPr>
          <w:rFonts w:ascii="Times New Roman" w:hAnsi="Times New Roman" w:cs="Times New Roman"/>
          <w:sz w:val="18"/>
          <w:szCs w:val="18"/>
          <w:lang w:val="en-US"/>
        </w:rPr>
        <w:t xml:space="preserve"> (</w:t>
      </w:r>
      <w:r w:rsidR="00DC7B53">
        <w:rPr>
          <w:rFonts w:ascii="Times New Roman" w:hAnsi="Times New Roman" w:cs="Times New Roman"/>
          <w:sz w:val="18"/>
          <w:szCs w:val="18"/>
          <w:lang w:val="en-US"/>
        </w:rPr>
        <w:t>≤</w:t>
      </w:r>
      <w:r w:rsidR="00DC7B53" w:rsidRPr="009B1203">
        <w:rPr>
          <w:rFonts w:ascii="Times New Roman" w:hAnsi="Times New Roman" w:cs="Times New Roman"/>
          <w:sz w:val="18"/>
          <w:szCs w:val="18"/>
          <w:lang w:val="en-US"/>
        </w:rPr>
        <w:t xml:space="preserve"> 2</w:t>
      </w:r>
      <w:r w:rsidR="00DC7B53">
        <w:rPr>
          <w:rFonts w:ascii="Times New Roman" w:hAnsi="Times New Roman" w:cs="Times New Roman"/>
          <w:sz w:val="18"/>
          <w:szCs w:val="18"/>
          <w:lang w:val="en-US"/>
        </w:rPr>
        <w:t>.0</w:t>
      </w:r>
      <w:r w:rsidR="00DC7B53" w:rsidRPr="009B1203">
        <w:rPr>
          <w:rFonts w:ascii="Times New Roman" w:hAnsi="Times New Roman" w:cs="Times New Roman"/>
          <w:sz w:val="18"/>
          <w:szCs w:val="18"/>
          <w:lang w:val="en-US"/>
        </w:rPr>
        <w:t>)</w:t>
      </w:r>
      <w:r w:rsidR="00DC7B53">
        <w:rPr>
          <w:rFonts w:ascii="Times New Roman" w:hAnsi="Times New Roman" w:cs="Times New Roman"/>
          <w:sz w:val="18"/>
          <w:szCs w:val="18"/>
          <w:lang w:val="en-US"/>
        </w:rPr>
        <w:t xml:space="preserve">, while </w:t>
      </w:r>
      <w:r>
        <w:rPr>
          <w:rFonts w:ascii="Times New Roman" w:hAnsi="Times New Roman" w:cs="Times New Roman"/>
          <w:sz w:val="18"/>
          <w:szCs w:val="18"/>
          <w:lang w:val="en-US"/>
        </w:rPr>
        <w:t xml:space="preserve">their </w:t>
      </w:r>
      <w:r w:rsidR="00DC7B53" w:rsidRPr="009B1203">
        <w:rPr>
          <w:rFonts w:ascii="Times New Roman" w:hAnsi="Times New Roman" w:cs="Times New Roman"/>
          <w:i/>
          <w:sz w:val="18"/>
          <w:szCs w:val="18"/>
          <w:lang w:val="en-US"/>
        </w:rPr>
        <w:t>M</w:t>
      </w:r>
      <w:r w:rsidR="00DC7B53" w:rsidRPr="00786972">
        <w:rPr>
          <w:rFonts w:ascii="Times New Roman" w:hAnsi="Times New Roman" w:cs="Times New Roman"/>
          <w:iCs/>
          <w:sz w:val="18"/>
          <w:szCs w:val="18"/>
          <w:vertAlign w:val="subscript"/>
          <w:lang w:val="en-US"/>
        </w:rPr>
        <w:t>n</w:t>
      </w:r>
      <w:r w:rsidR="00DC7B53" w:rsidRPr="00786972">
        <w:rPr>
          <w:rFonts w:ascii="Times New Roman" w:hAnsi="Times New Roman" w:cs="Times New Roman"/>
          <w:iCs/>
          <w:sz w:val="18"/>
          <w:szCs w:val="18"/>
          <w:lang w:val="en-US"/>
        </w:rPr>
        <w:t xml:space="preserve"> </w:t>
      </w:r>
      <w:r>
        <w:rPr>
          <w:rFonts w:ascii="Times New Roman" w:hAnsi="Times New Roman" w:cs="Times New Roman"/>
          <w:iCs/>
          <w:sz w:val="18"/>
          <w:szCs w:val="18"/>
          <w:lang w:val="en-US"/>
        </w:rPr>
        <w:t xml:space="preserve">values </w:t>
      </w:r>
      <w:r w:rsidR="00DC7B53">
        <w:rPr>
          <w:rFonts w:ascii="Times New Roman" w:hAnsi="Times New Roman" w:cs="Times New Roman"/>
          <w:sz w:val="18"/>
          <w:szCs w:val="18"/>
          <w:lang w:val="en-US"/>
        </w:rPr>
        <w:t>varied in the range of 8</w:t>
      </w:r>
      <w:r>
        <w:rPr>
          <w:rFonts w:ascii="Times New Roman" w:hAnsi="Times New Roman" w:cs="Times New Roman"/>
          <w:sz w:val="18"/>
          <w:szCs w:val="18"/>
          <w:lang w:val="en-US"/>
        </w:rPr>
        <w:t>–</w:t>
      </w:r>
      <w:r w:rsidR="00DC7B53">
        <w:rPr>
          <w:rFonts w:ascii="Times New Roman" w:hAnsi="Times New Roman" w:cs="Times New Roman"/>
          <w:sz w:val="18"/>
          <w:szCs w:val="18"/>
          <w:lang w:val="en-US"/>
        </w:rPr>
        <w:t xml:space="preserve">46 </w:t>
      </w:r>
      <w:proofErr w:type="spellStart"/>
      <w:r w:rsidR="00DC7B53">
        <w:rPr>
          <w:rFonts w:ascii="Times New Roman" w:hAnsi="Times New Roman" w:cs="Times New Roman"/>
          <w:sz w:val="18"/>
          <w:szCs w:val="18"/>
          <w:lang w:val="en-US"/>
        </w:rPr>
        <w:t>kDa</w:t>
      </w:r>
      <w:proofErr w:type="spellEnd"/>
      <w:r w:rsidR="00DC7B53">
        <w:rPr>
          <w:rFonts w:ascii="Times New Roman" w:hAnsi="Times New Roman" w:cs="Times New Roman"/>
          <w:sz w:val="18"/>
          <w:szCs w:val="18"/>
          <w:lang w:val="en-US"/>
        </w:rPr>
        <w:t xml:space="preserve">. </w:t>
      </w:r>
      <w:r w:rsidR="00DC7B53" w:rsidRPr="00917107">
        <w:rPr>
          <w:rFonts w:ascii="Times New Roman" w:hAnsi="Times New Roman" w:cs="Times New Roman"/>
          <w:sz w:val="18"/>
          <w:szCs w:val="18"/>
          <w:lang w:val="en-US"/>
        </w:rPr>
        <w:t xml:space="preserve">A decrease </w:t>
      </w:r>
      <w:r>
        <w:rPr>
          <w:rFonts w:ascii="Times New Roman" w:hAnsi="Times New Roman" w:cs="Times New Roman"/>
          <w:sz w:val="18"/>
          <w:szCs w:val="18"/>
          <w:lang w:val="en-US"/>
        </w:rPr>
        <w:t xml:space="preserve">in </w:t>
      </w:r>
      <w:proofErr w:type="spellStart"/>
      <w:r w:rsidR="00DC7B53" w:rsidRPr="00EC06DE">
        <w:rPr>
          <w:rFonts w:ascii="Times New Roman" w:hAnsi="Times New Roman" w:cs="Times New Roman"/>
          <w:i/>
          <w:sz w:val="18"/>
          <w:szCs w:val="18"/>
          <w:lang w:val="en-US"/>
        </w:rPr>
        <w:t>M</w:t>
      </w:r>
      <w:r w:rsidR="00DC7B53" w:rsidRPr="00786972">
        <w:rPr>
          <w:rFonts w:ascii="Times New Roman" w:hAnsi="Times New Roman" w:cs="Times New Roman"/>
          <w:iCs/>
          <w:sz w:val="18"/>
          <w:szCs w:val="18"/>
          <w:vertAlign w:val="subscript"/>
          <w:lang w:val="en-US"/>
        </w:rPr>
        <w:t>n</w:t>
      </w:r>
      <w:r w:rsidR="00DC7B53" w:rsidRPr="00EC06DE">
        <w:rPr>
          <w:rFonts w:ascii="Times New Roman" w:hAnsi="Times New Roman" w:cs="Times New Roman"/>
          <w:sz w:val="18"/>
          <w:szCs w:val="18"/>
          <w:vertAlign w:val="superscript"/>
          <w:lang w:val="en-US"/>
        </w:rPr>
        <w:t>GPC</w:t>
      </w:r>
      <w:proofErr w:type="spellEnd"/>
      <w:r w:rsidR="00DC7B53" w:rsidRPr="00EC06DE">
        <w:rPr>
          <w:rFonts w:ascii="Times New Roman" w:hAnsi="Times New Roman" w:cs="Times New Roman"/>
          <w:sz w:val="18"/>
          <w:szCs w:val="18"/>
          <w:lang w:val="en-US"/>
        </w:rPr>
        <w:t xml:space="preserve"> </w:t>
      </w:r>
      <w:r w:rsidR="00DC7B53">
        <w:rPr>
          <w:rFonts w:ascii="Times New Roman" w:hAnsi="Times New Roman" w:cs="Times New Roman"/>
          <w:sz w:val="18"/>
          <w:szCs w:val="18"/>
          <w:lang w:val="en-US"/>
        </w:rPr>
        <w:t xml:space="preserve">of </w:t>
      </w:r>
      <w:proofErr w:type="gramStart"/>
      <w:r w:rsidR="00DC7B53" w:rsidRPr="00EC06DE">
        <w:rPr>
          <w:rFonts w:ascii="Times New Roman" w:hAnsi="Times New Roman" w:cs="Times New Roman"/>
          <w:sz w:val="18"/>
          <w:szCs w:val="18"/>
          <w:lang w:val="en-US"/>
        </w:rPr>
        <w:t>poly(</w:t>
      </w:r>
      <w:proofErr w:type="gramEnd"/>
      <w:r w:rsidR="00DC7B53" w:rsidRPr="00EC06DE">
        <w:rPr>
          <w:rFonts w:ascii="Times New Roman" w:hAnsi="Times New Roman" w:cs="Times New Roman"/>
          <w:sz w:val="18"/>
          <w:szCs w:val="18"/>
          <w:lang w:val="en-US"/>
        </w:rPr>
        <w:t xml:space="preserve">NDA) </w:t>
      </w:r>
      <w:r w:rsidR="00DC7B53" w:rsidRPr="00917107">
        <w:rPr>
          <w:rFonts w:ascii="Times New Roman" w:hAnsi="Times New Roman" w:cs="Times New Roman"/>
          <w:sz w:val="18"/>
          <w:szCs w:val="18"/>
          <w:lang w:val="en-US"/>
        </w:rPr>
        <w:t>leads to a decrease</w:t>
      </w:r>
      <w:r w:rsidR="00DC7B53">
        <w:rPr>
          <w:rFonts w:ascii="Times New Roman" w:hAnsi="Times New Roman" w:cs="Times New Roman"/>
          <w:sz w:val="18"/>
          <w:szCs w:val="18"/>
          <w:lang w:val="en-US"/>
        </w:rPr>
        <w:t xml:space="preserve"> in</w:t>
      </w:r>
      <w:r w:rsidR="00BB7F79">
        <w:rPr>
          <w:rFonts w:ascii="Times New Roman" w:hAnsi="Times New Roman" w:cs="Times New Roman"/>
          <w:sz w:val="18"/>
          <w:szCs w:val="18"/>
          <w:lang w:val="en-US"/>
        </w:rPr>
        <w:t xml:space="preserve"> the value of </w:t>
      </w:r>
      <w:proofErr w:type="spellStart"/>
      <w:r w:rsidR="00DC7B53" w:rsidRPr="00EC06DE">
        <w:rPr>
          <w:rFonts w:ascii="Times New Roman" w:hAnsi="Times New Roman" w:cs="Times New Roman"/>
          <w:i/>
          <w:sz w:val="18"/>
          <w:szCs w:val="18"/>
          <w:lang w:val="en-US"/>
        </w:rPr>
        <w:t>T</w:t>
      </w:r>
      <w:r w:rsidR="00DC7B53" w:rsidRPr="00786972">
        <w:rPr>
          <w:rFonts w:ascii="Times New Roman" w:hAnsi="Times New Roman" w:cs="Times New Roman"/>
          <w:iCs/>
          <w:sz w:val="18"/>
          <w:szCs w:val="18"/>
          <w:vertAlign w:val="subscript"/>
          <w:lang w:val="en-US"/>
        </w:rPr>
        <w:t>g</w:t>
      </w:r>
      <w:proofErr w:type="spellEnd"/>
      <w:r w:rsidR="00BB7F79">
        <w:rPr>
          <w:rFonts w:ascii="Times New Roman" w:hAnsi="Times New Roman" w:cs="Times New Roman"/>
          <w:sz w:val="18"/>
          <w:szCs w:val="18"/>
          <w:lang w:val="en-US"/>
        </w:rPr>
        <w:t>.</w:t>
      </w:r>
    </w:p>
    <w:p w:rsidR="00F94740" w:rsidRPr="00F94740" w:rsidRDefault="00F94740" w:rsidP="00F94740">
      <w:pPr>
        <w:pStyle w:val="Header1"/>
        <w:spacing w:before="240" w:after="240"/>
      </w:pPr>
      <w:r w:rsidRPr="00F94740">
        <w:t>Acknowledgements</w:t>
      </w:r>
    </w:p>
    <w:p w:rsidR="00F94740" w:rsidRPr="006070A2" w:rsidRDefault="006F035E" w:rsidP="00F94740">
      <w:pPr>
        <w:pStyle w:val="MainText"/>
        <w:ind w:firstLine="284"/>
      </w:pPr>
      <w:r w:rsidRPr="00EC06DE">
        <w:t xml:space="preserve">This </w:t>
      </w:r>
      <w:r>
        <w:t>work was supported by the Russian Science Foundation</w:t>
      </w:r>
      <w:r w:rsidRPr="00EC06DE">
        <w:t xml:space="preserve"> </w:t>
      </w:r>
      <w:r>
        <w:t>(project no.</w:t>
      </w:r>
      <w:r w:rsidRPr="00EC06DE">
        <w:t xml:space="preserve"> 24-73-00330</w:t>
      </w:r>
      <w:r>
        <w:t>)</w:t>
      </w:r>
      <w:r w:rsidRPr="00EC06DE">
        <w:t>.</w:t>
      </w:r>
      <w:r>
        <w:t xml:space="preserve"> </w:t>
      </w:r>
      <w:r w:rsidRPr="00435E80">
        <w:t xml:space="preserve">The work was performed using the equipment of the Collaborative Access Center </w:t>
      </w:r>
      <w:r>
        <w:t>"</w:t>
      </w:r>
      <w:proofErr w:type="spellStart"/>
      <w:r w:rsidRPr="00435E80">
        <w:t>Сenter</w:t>
      </w:r>
      <w:proofErr w:type="spellEnd"/>
      <w:r w:rsidRPr="00435E80">
        <w:t xml:space="preserve"> for Polymer Research</w:t>
      </w:r>
      <w:r>
        <w:t>"</w:t>
      </w:r>
      <w:r w:rsidRPr="00435E80">
        <w:t xml:space="preserve"> </w:t>
      </w:r>
      <w:r>
        <w:t>of the</w:t>
      </w:r>
      <w:r w:rsidRPr="00435E80">
        <w:t xml:space="preserve"> </w:t>
      </w:r>
      <w:proofErr w:type="spellStart"/>
      <w:r w:rsidRPr="00435E80">
        <w:t>Enikolopov</w:t>
      </w:r>
      <w:proofErr w:type="spellEnd"/>
      <w:r w:rsidRPr="00435E80">
        <w:t xml:space="preserve"> Institute of Synthetic Polymeric Materials</w:t>
      </w:r>
      <w:r w:rsidR="00E56CD8">
        <w:t>,</w:t>
      </w:r>
      <w:r w:rsidRPr="00435E80">
        <w:t xml:space="preserve"> Russian Academy of Sciences</w:t>
      </w:r>
      <w:r>
        <w:t>.</w:t>
      </w:r>
    </w:p>
    <w:p w:rsidR="00F86864" w:rsidRPr="00F86864" w:rsidRDefault="00F86864" w:rsidP="00161894">
      <w:pPr>
        <w:pStyle w:val="Header1"/>
        <w:spacing w:before="240" w:after="240"/>
      </w:pPr>
      <w:r w:rsidRPr="00F86864">
        <w:t xml:space="preserve">Corresponding </w:t>
      </w:r>
      <w:r w:rsidR="005C7369">
        <w:t>a</w:t>
      </w:r>
      <w:r w:rsidRPr="00F86864">
        <w:t>uthor</w:t>
      </w:r>
    </w:p>
    <w:p w:rsidR="00F86864" w:rsidRPr="006F035E" w:rsidRDefault="00F86864" w:rsidP="00071D12">
      <w:pPr>
        <w:pStyle w:val="MainText"/>
        <w:ind w:firstLine="284"/>
      </w:pPr>
      <w:r w:rsidRPr="00F86864">
        <w:rPr>
          <w:rFonts w:ascii="AdvOT8608a8d1" w:hAnsi="AdvOT8608a8d1" w:cs="AdvOT8608a8d1"/>
        </w:rPr>
        <w:t xml:space="preserve">* </w:t>
      </w:r>
      <w:r w:rsidRPr="00F86864">
        <w:t xml:space="preserve">E-mail: </w:t>
      </w:r>
      <w:r w:rsidR="006F035E" w:rsidRPr="004224E5">
        <w:t>morontsev@ips.ac.ru. Tel: +7(495)647-5927</w:t>
      </w:r>
      <w:r w:rsidR="006F035E">
        <w:t xml:space="preserve">, </w:t>
      </w:r>
      <w:r w:rsidR="006F035E" w:rsidRPr="004224E5">
        <w:t>ext. 193</w:t>
      </w:r>
      <w:r w:rsidR="006F035E">
        <w:t xml:space="preserve"> (A. A. </w:t>
      </w:r>
      <w:proofErr w:type="spellStart"/>
      <w:r w:rsidR="006F035E">
        <w:t>Morontsev</w:t>
      </w:r>
      <w:proofErr w:type="spellEnd"/>
      <w:r w:rsidR="006F035E">
        <w:t>).</w:t>
      </w:r>
    </w:p>
    <w:p w:rsidR="00161894" w:rsidRPr="00161894" w:rsidRDefault="00161894" w:rsidP="00161894">
      <w:pPr>
        <w:pStyle w:val="Header1"/>
        <w:spacing w:before="240" w:after="240"/>
      </w:pPr>
      <w:r w:rsidRPr="00161894">
        <w:t>Electronic supplementary information</w:t>
      </w:r>
    </w:p>
    <w:p w:rsidR="00161894" w:rsidRPr="00A15F05" w:rsidRDefault="003F69F7" w:rsidP="00161894">
      <w:pPr>
        <w:pStyle w:val="Header1"/>
        <w:spacing w:before="0" w:after="0"/>
        <w:ind w:firstLine="284"/>
        <w:jc w:val="both"/>
        <w:rPr>
          <w:rFonts w:ascii="Times New Roman" w:hAnsi="Times New Roman" w:cs="Times New Roman"/>
          <w:b w:val="0"/>
          <w:sz w:val="18"/>
          <w:szCs w:val="18"/>
        </w:rPr>
      </w:pPr>
      <w:r w:rsidRPr="00990133">
        <w:rPr>
          <w:rFonts w:ascii="Times New Roman" w:hAnsi="Times New Roman" w:cs="Times New Roman"/>
          <w:b w:val="0"/>
          <w:bCs/>
          <w:sz w:val="18"/>
          <w:szCs w:val="18"/>
        </w:rPr>
        <w:t xml:space="preserve">Electronic supplementary information (ESI) available online: </w:t>
      </w:r>
      <w:r w:rsidRPr="003F69F7">
        <w:rPr>
          <w:rFonts w:ascii="Times New Roman" w:hAnsi="Times New Roman" w:cs="Times New Roman"/>
          <w:b w:val="0"/>
          <w:bCs/>
          <w:sz w:val="18"/>
          <w:szCs w:val="18"/>
          <w:highlight w:val="green"/>
        </w:rPr>
        <w:t xml:space="preserve">the experimental section, NMR </w:t>
      </w:r>
      <w:r w:rsidR="00C236D5">
        <w:rPr>
          <w:rFonts w:ascii="Times New Roman" w:hAnsi="Times New Roman" w:cs="Times New Roman"/>
          <w:b w:val="0"/>
          <w:bCs/>
          <w:sz w:val="18"/>
          <w:szCs w:val="18"/>
          <w:highlight w:val="green"/>
        </w:rPr>
        <w:t xml:space="preserve">and IR </w:t>
      </w:r>
      <w:r w:rsidRPr="003F69F7">
        <w:rPr>
          <w:rFonts w:ascii="Times New Roman" w:hAnsi="Times New Roman" w:cs="Times New Roman"/>
          <w:b w:val="0"/>
          <w:bCs/>
          <w:sz w:val="18"/>
          <w:szCs w:val="18"/>
          <w:highlight w:val="green"/>
        </w:rPr>
        <w:t>spectra, DSC curves</w:t>
      </w:r>
      <w:r w:rsidRPr="00990133">
        <w:rPr>
          <w:rFonts w:ascii="Times New Roman" w:hAnsi="Times New Roman" w:cs="Times New Roman"/>
          <w:b w:val="0"/>
          <w:bCs/>
          <w:sz w:val="18"/>
          <w:szCs w:val="18"/>
        </w:rPr>
        <w:t>. For ESI, see DOI: 10.32931/</w:t>
      </w:r>
      <w:proofErr w:type="spellStart"/>
      <w:r w:rsidRPr="00990133">
        <w:rPr>
          <w:rFonts w:ascii="Times New Roman" w:hAnsi="Times New Roman" w:cs="Times New Roman"/>
          <w:b w:val="0"/>
          <w:bCs/>
          <w:sz w:val="18"/>
          <w:szCs w:val="18"/>
        </w:rPr>
        <w:t>io</w:t>
      </w:r>
      <w:r>
        <w:rPr>
          <w:rFonts w:ascii="Times New Roman" w:hAnsi="Times New Roman" w:cs="Times New Roman"/>
          <w:b w:val="0"/>
          <w:bCs/>
          <w:sz w:val="18"/>
          <w:szCs w:val="18"/>
        </w:rPr>
        <w:t>XXXXx</w:t>
      </w:r>
      <w:proofErr w:type="spellEnd"/>
      <w:r w:rsidR="00161894" w:rsidRPr="00A15F05">
        <w:rPr>
          <w:rFonts w:ascii="Times New Roman" w:hAnsi="Times New Roman" w:cs="Times New Roman"/>
          <w:b w:val="0"/>
          <w:sz w:val="18"/>
          <w:szCs w:val="18"/>
        </w:rPr>
        <w:t>.</w:t>
      </w:r>
    </w:p>
    <w:p w:rsidR="00F94740" w:rsidRPr="002801B2" w:rsidRDefault="00F94740" w:rsidP="00161894">
      <w:pPr>
        <w:pStyle w:val="Header1"/>
        <w:spacing w:before="240" w:after="240"/>
      </w:pPr>
      <w:r w:rsidRPr="00F94740">
        <w:t>References</w:t>
      </w:r>
    </w:p>
    <w:p w:rsidR="00D10B15" w:rsidRDefault="00D10B15" w:rsidP="00D10B15">
      <w:pPr>
        <w:pStyle w:val="References"/>
        <w:spacing w:line="264" w:lineRule="auto"/>
        <w:ind w:left="454" w:hanging="454"/>
        <w:rPr>
          <w:sz w:val="16"/>
          <w:szCs w:val="16"/>
        </w:rPr>
      </w:pPr>
      <w:r w:rsidRPr="00D10B15">
        <w:rPr>
          <w:sz w:val="16"/>
          <w:szCs w:val="16"/>
        </w:rPr>
        <w:t>1</w:t>
      </w:r>
      <w:r>
        <w:rPr>
          <w:sz w:val="16"/>
          <w:szCs w:val="16"/>
        </w:rPr>
        <w:t>.</w:t>
      </w:r>
      <w:r>
        <w:rPr>
          <w:sz w:val="16"/>
          <w:szCs w:val="16"/>
        </w:rPr>
        <w:tab/>
      </w:r>
      <w:r w:rsidRPr="004546F4">
        <w:rPr>
          <w:sz w:val="16"/>
          <w:szCs w:val="16"/>
        </w:rPr>
        <w:t>R. He, X. Zhan, Q. Zhang</w:t>
      </w:r>
      <w:r>
        <w:rPr>
          <w:sz w:val="16"/>
          <w:szCs w:val="16"/>
        </w:rPr>
        <w:t>,</w:t>
      </w:r>
      <w:r w:rsidRPr="004546F4">
        <w:rPr>
          <w:sz w:val="16"/>
          <w:szCs w:val="16"/>
        </w:rPr>
        <w:t xml:space="preserve"> F. Chen, </w:t>
      </w:r>
      <w:r w:rsidRPr="004546F4">
        <w:rPr>
          <w:i/>
          <w:sz w:val="16"/>
          <w:szCs w:val="16"/>
        </w:rPr>
        <w:t xml:space="preserve">J. Appl. </w:t>
      </w:r>
      <w:proofErr w:type="spellStart"/>
      <w:r w:rsidRPr="004546F4">
        <w:rPr>
          <w:i/>
          <w:sz w:val="16"/>
          <w:szCs w:val="16"/>
        </w:rPr>
        <w:t>Polym</w:t>
      </w:r>
      <w:proofErr w:type="spellEnd"/>
      <w:r w:rsidRPr="004546F4">
        <w:rPr>
          <w:i/>
          <w:sz w:val="16"/>
          <w:szCs w:val="16"/>
        </w:rPr>
        <w:t>. Sci.</w:t>
      </w:r>
      <w:r w:rsidRPr="004546F4">
        <w:rPr>
          <w:sz w:val="16"/>
          <w:szCs w:val="16"/>
        </w:rPr>
        <w:t xml:space="preserve">, </w:t>
      </w:r>
      <w:r w:rsidRPr="004546F4">
        <w:rPr>
          <w:b/>
          <w:sz w:val="16"/>
          <w:szCs w:val="16"/>
        </w:rPr>
        <w:t>2016</w:t>
      </w:r>
      <w:r w:rsidRPr="004546F4">
        <w:rPr>
          <w:sz w:val="16"/>
          <w:szCs w:val="16"/>
        </w:rPr>
        <w:t xml:space="preserve">, </w:t>
      </w:r>
      <w:r w:rsidRPr="004546F4">
        <w:rPr>
          <w:i/>
          <w:sz w:val="16"/>
          <w:szCs w:val="16"/>
        </w:rPr>
        <w:t>133</w:t>
      </w:r>
      <w:r w:rsidRPr="004546F4">
        <w:rPr>
          <w:sz w:val="16"/>
          <w:szCs w:val="16"/>
        </w:rPr>
        <w:t xml:space="preserve">, 42826. </w:t>
      </w:r>
      <w:r>
        <w:rPr>
          <w:sz w:val="16"/>
          <w:szCs w:val="16"/>
        </w:rPr>
        <w:t xml:space="preserve">DOI: </w:t>
      </w:r>
      <w:r w:rsidRPr="00A41FE3">
        <w:rPr>
          <w:sz w:val="16"/>
          <w:szCs w:val="16"/>
        </w:rPr>
        <w:t>10.1002/app.42826</w:t>
      </w:r>
    </w:p>
    <w:p w:rsidR="00D10B15" w:rsidRPr="00D6427D" w:rsidRDefault="00D10B15" w:rsidP="00D10B15">
      <w:pPr>
        <w:pStyle w:val="References"/>
        <w:spacing w:line="264" w:lineRule="auto"/>
        <w:ind w:left="454" w:hanging="454"/>
        <w:rPr>
          <w:sz w:val="16"/>
          <w:szCs w:val="16"/>
        </w:rPr>
      </w:pPr>
      <w:bookmarkStart w:id="0" w:name="_Hlk180873710"/>
      <w:r>
        <w:rPr>
          <w:sz w:val="16"/>
          <w:szCs w:val="16"/>
        </w:rPr>
        <w:t>2.</w:t>
      </w:r>
      <w:r>
        <w:rPr>
          <w:sz w:val="16"/>
          <w:szCs w:val="16"/>
        </w:rPr>
        <w:tab/>
      </w:r>
      <w:r w:rsidRPr="00D6427D">
        <w:rPr>
          <w:sz w:val="16"/>
          <w:szCs w:val="16"/>
        </w:rPr>
        <w:t>N.</w:t>
      </w:r>
      <w:r w:rsidR="00B1138A">
        <w:rPr>
          <w:sz w:val="16"/>
          <w:szCs w:val="16"/>
        </w:rPr>
        <w:t xml:space="preserve"> </w:t>
      </w:r>
      <w:r w:rsidRPr="00D6427D">
        <w:rPr>
          <w:sz w:val="16"/>
          <w:szCs w:val="16"/>
        </w:rPr>
        <w:t>P. Bezrukov, S.</w:t>
      </w:r>
      <w:r w:rsidR="00B1138A">
        <w:rPr>
          <w:sz w:val="16"/>
          <w:szCs w:val="16"/>
        </w:rPr>
        <w:t xml:space="preserve"> </w:t>
      </w:r>
      <w:r w:rsidRPr="00D6427D">
        <w:rPr>
          <w:sz w:val="16"/>
          <w:szCs w:val="16"/>
        </w:rPr>
        <w:t>V. Antonov, N.</w:t>
      </w:r>
      <w:r w:rsidR="00B1138A">
        <w:rPr>
          <w:sz w:val="16"/>
          <w:szCs w:val="16"/>
        </w:rPr>
        <w:t xml:space="preserve"> </w:t>
      </w:r>
      <w:r w:rsidRPr="00D6427D">
        <w:rPr>
          <w:sz w:val="16"/>
          <w:szCs w:val="16"/>
        </w:rPr>
        <w:t>M. Smirnova, A.</w:t>
      </w:r>
      <w:r w:rsidR="00B1138A">
        <w:rPr>
          <w:sz w:val="16"/>
          <w:szCs w:val="16"/>
        </w:rPr>
        <w:t xml:space="preserve"> </w:t>
      </w:r>
      <w:r w:rsidRPr="00D6427D">
        <w:rPr>
          <w:sz w:val="16"/>
          <w:szCs w:val="16"/>
        </w:rPr>
        <w:t>V. Vlasova, V.</w:t>
      </w:r>
      <w:r w:rsidR="00B1138A">
        <w:rPr>
          <w:sz w:val="16"/>
          <w:szCs w:val="16"/>
        </w:rPr>
        <w:t xml:space="preserve"> </w:t>
      </w:r>
      <w:r w:rsidRPr="00D6427D">
        <w:rPr>
          <w:sz w:val="16"/>
          <w:szCs w:val="16"/>
        </w:rPr>
        <w:t xml:space="preserve">Ya. </w:t>
      </w:r>
      <w:proofErr w:type="spellStart"/>
      <w:r w:rsidRPr="00D6427D">
        <w:rPr>
          <w:sz w:val="16"/>
          <w:szCs w:val="16"/>
        </w:rPr>
        <w:t>Melekhina</w:t>
      </w:r>
      <w:proofErr w:type="spellEnd"/>
      <w:r w:rsidRPr="00D6427D">
        <w:rPr>
          <w:sz w:val="16"/>
          <w:szCs w:val="16"/>
        </w:rPr>
        <w:t>, V.</w:t>
      </w:r>
      <w:r w:rsidR="00B1138A">
        <w:rPr>
          <w:sz w:val="16"/>
          <w:szCs w:val="16"/>
        </w:rPr>
        <w:t xml:space="preserve"> </w:t>
      </w:r>
      <w:r w:rsidRPr="00D6427D">
        <w:rPr>
          <w:sz w:val="16"/>
          <w:szCs w:val="16"/>
        </w:rPr>
        <w:t>V. Makarova, V.</w:t>
      </w:r>
      <w:r w:rsidR="00B1138A">
        <w:rPr>
          <w:sz w:val="16"/>
          <w:szCs w:val="16"/>
        </w:rPr>
        <w:t xml:space="preserve"> </w:t>
      </w:r>
      <w:r w:rsidRPr="00D6427D">
        <w:rPr>
          <w:sz w:val="16"/>
          <w:szCs w:val="16"/>
        </w:rPr>
        <w:t>N. Tarasov, I.</w:t>
      </w:r>
      <w:r w:rsidR="00B1138A">
        <w:rPr>
          <w:sz w:val="16"/>
          <w:szCs w:val="16"/>
        </w:rPr>
        <w:t xml:space="preserve"> </w:t>
      </w:r>
      <w:r w:rsidRPr="00D6427D">
        <w:rPr>
          <w:sz w:val="16"/>
          <w:szCs w:val="16"/>
        </w:rPr>
        <w:t xml:space="preserve">O. </w:t>
      </w:r>
      <w:proofErr w:type="spellStart"/>
      <w:r w:rsidRPr="00D6427D">
        <w:rPr>
          <w:sz w:val="16"/>
          <w:szCs w:val="16"/>
        </w:rPr>
        <w:t>Ermakov</w:t>
      </w:r>
      <w:proofErr w:type="spellEnd"/>
      <w:r w:rsidRPr="00D6427D">
        <w:rPr>
          <w:sz w:val="16"/>
          <w:szCs w:val="16"/>
        </w:rPr>
        <w:t xml:space="preserve">, </w:t>
      </w:r>
      <w:proofErr w:type="spellStart"/>
      <w:r w:rsidR="00B1138A" w:rsidRPr="00B1138A">
        <w:rPr>
          <w:i/>
          <w:iCs/>
          <w:sz w:val="16"/>
          <w:szCs w:val="16"/>
        </w:rPr>
        <w:t>Polym</w:t>
      </w:r>
      <w:proofErr w:type="spellEnd"/>
      <w:r w:rsidR="00B1138A" w:rsidRPr="00B1138A">
        <w:rPr>
          <w:i/>
          <w:iCs/>
          <w:sz w:val="16"/>
          <w:szCs w:val="16"/>
        </w:rPr>
        <w:t>. Sci</w:t>
      </w:r>
      <w:r w:rsidR="00B1138A" w:rsidRPr="00D6427D">
        <w:rPr>
          <w:sz w:val="16"/>
          <w:szCs w:val="16"/>
        </w:rPr>
        <w:t>.</w:t>
      </w:r>
      <w:r w:rsidR="00B1138A">
        <w:rPr>
          <w:sz w:val="16"/>
          <w:szCs w:val="16"/>
        </w:rPr>
        <w:t>,</w:t>
      </w:r>
      <w:r w:rsidR="00B1138A" w:rsidRPr="00D6427D">
        <w:rPr>
          <w:sz w:val="16"/>
          <w:szCs w:val="16"/>
        </w:rPr>
        <w:t xml:space="preserve"> </w:t>
      </w:r>
      <w:r w:rsidR="00B1138A" w:rsidRPr="00B1138A">
        <w:rPr>
          <w:i/>
          <w:iCs/>
          <w:sz w:val="16"/>
          <w:szCs w:val="16"/>
        </w:rPr>
        <w:t>Ser. D</w:t>
      </w:r>
      <w:r w:rsidR="00B1138A">
        <w:rPr>
          <w:sz w:val="16"/>
          <w:szCs w:val="16"/>
        </w:rPr>
        <w:t>,</w:t>
      </w:r>
      <w:r w:rsidR="00B1138A" w:rsidRPr="00D6427D">
        <w:rPr>
          <w:i/>
          <w:iCs/>
          <w:sz w:val="16"/>
          <w:szCs w:val="16"/>
        </w:rPr>
        <w:t xml:space="preserve"> </w:t>
      </w:r>
      <w:r w:rsidRPr="00D6427D">
        <w:rPr>
          <w:b/>
          <w:bCs/>
          <w:sz w:val="16"/>
          <w:szCs w:val="16"/>
        </w:rPr>
        <w:t>2024</w:t>
      </w:r>
      <w:r w:rsidR="00B1138A">
        <w:rPr>
          <w:sz w:val="16"/>
          <w:szCs w:val="16"/>
        </w:rPr>
        <w:t>.</w:t>
      </w:r>
      <w:r w:rsidRPr="00D6427D">
        <w:rPr>
          <w:sz w:val="16"/>
          <w:szCs w:val="16"/>
        </w:rPr>
        <w:t xml:space="preserve"> DOI: 10.31044/1813-7008-2024-0-8-2-13</w:t>
      </w:r>
    </w:p>
    <w:bookmarkEnd w:id="0"/>
    <w:p w:rsidR="00D10B15" w:rsidRDefault="00D10B15" w:rsidP="00D10B15">
      <w:pPr>
        <w:pStyle w:val="References"/>
        <w:spacing w:line="264" w:lineRule="auto"/>
        <w:ind w:left="454" w:hanging="454"/>
        <w:rPr>
          <w:sz w:val="16"/>
          <w:szCs w:val="16"/>
        </w:rPr>
      </w:pPr>
      <w:r>
        <w:rPr>
          <w:sz w:val="16"/>
          <w:szCs w:val="16"/>
        </w:rPr>
        <w:t>3.</w:t>
      </w:r>
      <w:r>
        <w:rPr>
          <w:sz w:val="16"/>
          <w:szCs w:val="16"/>
        </w:rPr>
        <w:tab/>
        <w:t>K.</w:t>
      </w:r>
      <w:r w:rsidR="00B1138A">
        <w:rPr>
          <w:sz w:val="16"/>
          <w:szCs w:val="16"/>
        </w:rPr>
        <w:t xml:space="preserve"> </w:t>
      </w:r>
      <w:r w:rsidRPr="00EA2544">
        <w:rPr>
          <w:sz w:val="16"/>
          <w:szCs w:val="16"/>
        </w:rPr>
        <w:t>F.</w:t>
      </w:r>
      <w:r>
        <w:rPr>
          <w:sz w:val="16"/>
          <w:szCs w:val="16"/>
        </w:rPr>
        <w:t xml:space="preserve"> </w:t>
      </w:r>
      <w:r w:rsidRPr="00EA2544">
        <w:rPr>
          <w:sz w:val="16"/>
          <w:szCs w:val="16"/>
        </w:rPr>
        <w:t>Castner, N.</w:t>
      </w:r>
      <w:r w:rsidRPr="00FF0CBC">
        <w:rPr>
          <w:sz w:val="16"/>
          <w:szCs w:val="16"/>
        </w:rPr>
        <w:t xml:space="preserve"> </w:t>
      </w:r>
      <w:r w:rsidRPr="00EA2544">
        <w:rPr>
          <w:sz w:val="16"/>
          <w:szCs w:val="16"/>
        </w:rPr>
        <w:t xml:space="preserve">Calderon, </w:t>
      </w:r>
      <w:r w:rsidRPr="00EA2544">
        <w:rPr>
          <w:i/>
          <w:sz w:val="16"/>
          <w:szCs w:val="16"/>
        </w:rPr>
        <w:t xml:space="preserve">J. Mol. </w:t>
      </w:r>
      <w:proofErr w:type="spellStart"/>
      <w:r w:rsidRPr="00EA2544">
        <w:rPr>
          <w:i/>
          <w:sz w:val="16"/>
          <w:szCs w:val="16"/>
        </w:rPr>
        <w:t>Catal</w:t>
      </w:r>
      <w:proofErr w:type="spellEnd"/>
      <w:r w:rsidRPr="00EA2544">
        <w:rPr>
          <w:i/>
          <w:sz w:val="16"/>
          <w:szCs w:val="16"/>
        </w:rPr>
        <w:t>.</w:t>
      </w:r>
      <w:r>
        <w:rPr>
          <w:sz w:val="16"/>
          <w:szCs w:val="16"/>
        </w:rPr>
        <w:t xml:space="preserve">, </w:t>
      </w:r>
      <w:r w:rsidRPr="00AE29EC">
        <w:rPr>
          <w:b/>
          <w:sz w:val="16"/>
          <w:szCs w:val="16"/>
        </w:rPr>
        <w:t>1982</w:t>
      </w:r>
      <w:r>
        <w:rPr>
          <w:sz w:val="16"/>
          <w:szCs w:val="16"/>
        </w:rPr>
        <w:t>,</w:t>
      </w:r>
      <w:r w:rsidRPr="00EA2544">
        <w:rPr>
          <w:sz w:val="16"/>
          <w:szCs w:val="16"/>
        </w:rPr>
        <w:t xml:space="preserve"> </w:t>
      </w:r>
      <w:r w:rsidRPr="00AE29EC">
        <w:rPr>
          <w:i/>
          <w:sz w:val="16"/>
          <w:szCs w:val="16"/>
        </w:rPr>
        <w:t>15</w:t>
      </w:r>
      <w:r>
        <w:rPr>
          <w:sz w:val="16"/>
          <w:szCs w:val="16"/>
        </w:rPr>
        <w:t>,</w:t>
      </w:r>
      <w:r w:rsidRPr="00EA2544">
        <w:rPr>
          <w:sz w:val="16"/>
          <w:szCs w:val="16"/>
        </w:rPr>
        <w:t xml:space="preserve"> 47</w:t>
      </w:r>
      <w:r w:rsidR="00B1138A">
        <w:rPr>
          <w:sz w:val="16"/>
          <w:szCs w:val="16"/>
        </w:rPr>
        <w:t>–</w:t>
      </w:r>
      <w:r w:rsidRPr="00EA2544">
        <w:rPr>
          <w:sz w:val="16"/>
          <w:szCs w:val="16"/>
        </w:rPr>
        <w:t>59.</w:t>
      </w:r>
      <w:r>
        <w:rPr>
          <w:sz w:val="16"/>
          <w:szCs w:val="16"/>
        </w:rPr>
        <w:t xml:space="preserve"> DOI: </w:t>
      </w:r>
      <w:r w:rsidRPr="00AE29EC">
        <w:rPr>
          <w:sz w:val="16"/>
          <w:szCs w:val="16"/>
        </w:rPr>
        <w:t>10.1016/0304-5102(82)80004-7</w:t>
      </w:r>
    </w:p>
    <w:p w:rsidR="00D10B15" w:rsidRDefault="00D10B15" w:rsidP="00D10B15">
      <w:pPr>
        <w:pStyle w:val="References"/>
        <w:spacing w:line="264" w:lineRule="auto"/>
        <w:ind w:left="454" w:hanging="454"/>
        <w:rPr>
          <w:sz w:val="16"/>
          <w:szCs w:val="16"/>
        </w:rPr>
      </w:pPr>
      <w:r>
        <w:rPr>
          <w:sz w:val="16"/>
          <w:szCs w:val="16"/>
        </w:rPr>
        <w:t>4.</w:t>
      </w:r>
      <w:r>
        <w:rPr>
          <w:sz w:val="16"/>
          <w:szCs w:val="16"/>
        </w:rPr>
        <w:tab/>
        <w:t>M.</w:t>
      </w:r>
      <w:r w:rsidR="00B1138A">
        <w:rPr>
          <w:sz w:val="16"/>
          <w:szCs w:val="16"/>
        </w:rPr>
        <w:t xml:space="preserve"> </w:t>
      </w:r>
      <w:r w:rsidRPr="00FF0CBC">
        <w:rPr>
          <w:sz w:val="16"/>
          <w:szCs w:val="16"/>
        </w:rPr>
        <w:t xml:space="preserve">R. </w:t>
      </w:r>
      <w:proofErr w:type="spellStart"/>
      <w:r w:rsidRPr="00FF0CBC">
        <w:rPr>
          <w:sz w:val="16"/>
          <w:szCs w:val="16"/>
        </w:rPr>
        <w:t>Buchmeiser</w:t>
      </w:r>
      <w:proofErr w:type="spellEnd"/>
      <w:r w:rsidRPr="00FF0CBC">
        <w:rPr>
          <w:sz w:val="16"/>
          <w:szCs w:val="16"/>
        </w:rPr>
        <w:t xml:space="preserve">, N. </w:t>
      </w:r>
      <w:proofErr w:type="spellStart"/>
      <w:r w:rsidRPr="00FF0CBC">
        <w:rPr>
          <w:sz w:val="16"/>
          <w:szCs w:val="16"/>
        </w:rPr>
        <w:t>Atzl</w:t>
      </w:r>
      <w:proofErr w:type="spellEnd"/>
      <w:r w:rsidRPr="00FF0CBC">
        <w:rPr>
          <w:sz w:val="16"/>
          <w:szCs w:val="16"/>
        </w:rPr>
        <w:t xml:space="preserve">, </w:t>
      </w:r>
      <w:r>
        <w:rPr>
          <w:sz w:val="16"/>
          <w:szCs w:val="16"/>
        </w:rPr>
        <w:t>G.</w:t>
      </w:r>
      <w:r w:rsidR="00B1138A">
        <w:rPr>
          <w:sz w:val="16"/>
          <w:szCs w:val="16"/>
        </w:rPr>
        <w:t xml:space="preserve"> </w:t>
      </w:r>
      <w:r w:rsidRPr="00FF0CBC">
        <w:rPr>
          <w:sz w:val="16"/>
          <w:szCs w:val="16"/>
        </w:rPr>
        <w:t>K. Bonn</w:t>
      </w:r>
      <w:r>
        <w:rPr>
          <w:sz w:val="16"/>
          <w:szCs w:val="16"/>
        </w:rPr>
        <w:t>,</w:t>
      </w:r>
      <w:r w:rsidRPr="00FF0CBC">
        <w:rPr>
          <w:sz w:val="16"/>
          <w:szCs w:val="16"/>
        </w:rPr>
        <w:t xml:space="preserve"> </w:t>
      </w:r>
      <w:r w:rsidRPr="00FF0CBC">
        <w:rPr>
          <w:i/>
          <w:sz w:val="16"/>
          <w:szCs w:val="16"/>
        </w:rPr>
        <w:t>J. Am. Chem. Soc.</w:t>
      </w:r>
      <w:r>
        <w:rPr>
          <w:sz w:val="16"/>
          <w:szCs w:val="16"/>
        </w:rPr>
        <w:t>,</w:t>
      </w:r>
      <w:r w:rsidRPr="00FF0CBC">
        <w:rPr>
          <w:sz w:val="16"/>
          <w:szCs w:val="16"/>
        </w:rPr>
        <w:t xml:space="preserve"> </w:t>
      </w:r>
      <w:r w:rsidRPr="00FF0CBC">
        <w:rPr>
          <w:b/>
          <w:sz w:val="16"/>
          <w:szCs w:val="16"/>
        </w:rPr>
        <w:t>1997</w:t>
      </w:r>
      <w:r w:rsidRPr="004F6D66">
        <w:rPr>
          <w:sz w:val="16"/>
          <w:szCs w:val="16"/>
        </w:rPr>
        <w:t>,</w:t>
      </w:r>
      <w:r w:rsidRPr="00FF0CBC">
        <w:rPr>
          <w:sz w:val="16"/>
          <w:szCs w:val="16"/>
        </w:rPr>
        <w:t xml:space="preserve"> </w:t>
      </w:r>
      <w:r w:rsidRPr="00FF0CBC">
        <w:rPr>
          <w:i/>
          <w:sz w:val="16"/>
          <w:szCs w:val="16"/>
        </w:rPr>
        <w:t>119</w:t>
      </w:r>
      <w:r>
        <w:rPr>
          <w:sz w:val="16"/>
          <w:szCs w:val="16"/>
        </w:rPr>
        <w:t>,</w:t>
      </w:r>
      <w:r w:rsidRPr="00FF0CBC">
        <w:rPr>
          <w:sz w:val="16"/>
          <w:szCs w:val="16"/>
        </w:rPr>
        <w:t xml:space="preserve"> 9166</w:t>
      </w:r>
      <w:r w:rsidR="00B1138A">
        <w:rPr>
          <w:sz w:val="16"/>
          <w:szCs w:val="16"/>
        </w:rPr>
        <w:t>–</w:t>
      </w:r>
      <w:r w:rsidRPr="00FF0CBC">
        <w:rPr>
          <w:sz w:val="16"/>
          <w:szCs w:val="16"/>
        </w:rPr>
        <w:t>9174.</w:t>
      </w:r>
      <w:r>
        <w:rPr>
          <w:sz w:val="16"/>
          <w:szCs w:val="16"/>
        </w:rPr>
        <w:t xml:space="preserve"> DOI: </w:t>
      </w:r>
      <w:r w:rsidRPr="00FF0CBC">
        <w:rPr>
          <w:sz w:val="16"/>
          <w:szCs w:val="16"/>
        </w:rPr>
        <w:t>10.1021/ja970359w</w:t>
      </w:r>
    </w:p>
    <w:p w:rsidR="00D10B15" w:rsidRDefault="00D10B15" w:rsidP="00D10B15">
      <w:pPr>
        <w:pStyle w:val="References"/>
        <w:spacing w:line="264" w:lineRule="auto"/>
        <w:ind w:left="454" w:hanging="454"/>
        <w:rPr>
          <w:sz w:val="16"/>
          <w:szCs w:val="16"/>
        </w:rPr>
      </w:pPr>
      <w:r>
        <w:rPr>
          <w:sz w:val="16"/>
          <w:szCs w:val="16"/>
        </w:rPr>
        <w:t>5.</w:t>
      </w:r>
      <w:r>
        <w:rPr>
          <w:sz w:val="16"/>
          <w:szCs w:val="16"/>
        </w:rPr>
        <w:tab/>
      </w:r>
      <w:r w:rsidRPr="00FF0CBC">
        <w:rPr>
          <w:sz w:val="16"/>
          <w:szCs w:val="16"/>
        </w:rPr>
        <w:t xml:space="preserve">S. </w:t>
      </w:r>
      <w:proofErr w:type="spellStart"/>
      <w:r w:rsidRPr="00FF0CBC">
        <w:rPr>
          <w:sz w:val="16"/>
          <w:szCs w:val="16"/>
        </w:rPr>
        <w:t>Kanaoka</w:t>
      </w:r>
      <w:proofErr w:type="spellEnd"/>
      <w:r w:rsidRPr="00FF0CBC">
        <w:rPr>
          <w:sz w:val="16"/>
          <w:szCs w:val="16"/>
        </w:rPr>
        <w:t>, R. H. Grubbs</w:t>
      </w:r>
      <w:r>
        <w:rPr>
          <w:sz w:val="16"/>
          <w:szCs w:val="16"/>
        </w:rPr>
        <w:t>,</w:t>
      </w:r>
      <w:r w:rsidRPr="00FF0CBC">
        <w:rPr>
          <w:sz w:val="16"/>
          <w:szCs w:val="16"/>
        </w:rPr>
        <w:t xml:space="preserve"> </w:t>
      </w:r>
      <w:r w:rsidRPr="004F6D66">
        <w:rPr>
          <w:i/>
          <w:sz w:val="16"/>
          <w:szCs w:val="16"/>
        </w:rPr>
        <w:t>Macromolecules</w:t>
      </w:r>
      <w:r w:rsidR="00B1138A">
        <w:rPr>
          <w:iCs/>
          <w:sz w:val="16"/>
          <w:szCs w:val="16"/>
        </w:rPr>
        <w:t>,</w:t>
      </w:r>
      <w:r w:rsidRPr="00FF0CBC">
        <w:rPr>
          <w:sz w:val="16"/>
          <w:szCs w:val="16"/>
        </w:rPr>
        <w:t xml:space="preserve"> </w:t>
      </w:r>
      <w:r w:rsidRPr="00FF0CBC">
        <w:rPr>
          <w:b/>
          <w:sz w:val="16"/>
          <w:szCs w:val="16"/>
        </w:rPr>
        <w:t>1995</w:t>
      </w:r>
      <w:r w:rsidRPr="004F6D66">
        <w:rPr>
          <w:sz w:val="16"/>
          <w:szCs w:val="16"/>
        </w:rPr>
        <w:t>,</w:t>
      </w:r>
      <w:r w:rsidRPr="00FF0CBC">
        <w:rPr>
          <w:sz w:val="16"/>
          <w:szCs w:val="16"/>
        </w:rPr>
        <w:t xml:space="preserve"> </w:t>
      </w:r>
      <w:r w:rsidRPr="006D3B5A">
        <w:rPr>
          <w:i/>
          <w:iCs/>
          <w:sz w:val="16"/>
          <w:szCs w:val="16"/>
        </w:rPr>
        <w:t>28</w:t>
      </w:r>
      <w:r>
        <w:rPr>
          <w:sz w:val="16"/>
          <w:szCs w:val="16"/>
        </w:rPr>
        <w:t>,</w:t>
      </w:r>
      <w:r w:rsidRPr="00FF0CBC">
        <w:rPr>
          <w:sz w:val="16"/>
          <w:szCs w:val="16"/>
        </w:rPr>
        <w:t xml:space="preserve"> 4707</w:t>
      </w:r>
      <w:r w:rsidR="00B1138A">
        <w:rPr>
          <w:sz w:val="16"/>
          <w:szCs w:val="16"/>
        </w:rPr>
        <w:t>–</w:t>
      </w:r>
      <w:r w:rsidRPr="00FF0CBC">
        <w:rPr>
          <w:sz w:val="16"/>
          <w:szCs w:val="16"/>
        </w:rPr>
        <w:t>4713.</w:t>
      </w:r>
      <w:r>
        <w:rPr>
          <w:sz w:val="16"/>
          <w:szCs w:val="16"/>
        </w:rPr>
        <w:t xml:space="preserve"> DOI: </w:t>
      </w:r>
      <w:r w:rsidRPr="00FF0CBC">
        <w:rPr>
          <w:sz w:val="16"/>
          <w:szCs w:val="16"/>
        </w:rPr>
        <w:t>10.1021/ma00117a050</w:t>
      </w:r>
    </w:p>
    <w:p w:rsidR="00D10B15" w:rsidRDefault="00D10B15" w:rsidP="00D10B15">
      <w:pPr>
        <w:pStyle w:val="References"/>
        <w:spacing w:line="264" w:lineRule="auto"/>
        <w:ind w:left="454" w:hanging="454"/>
        <w:rPr>
          <w:sz w:val="16"/>
          <w:szCs w:val="16"/>
        </w:rPr>
      </w:pPr>
      <w:r>
        <w:rPr>
          <w:sz w:val="16"/>
          <w:szCs w:val="16"/>
        </w:rPr>
        <w:t>6.</w:t>
      </w:r>
      <w:r>
        <w:rPr>
          <w:sz w:val="16"/>
          <w:szCs w:val="16"/>
        </w:rPr>
        <w:tab/>
      </w:r>
      <w:r w:rsidRPr="004F6D66">
        <w:rPr>
          <w:sz w:val="16"/>
          <w:szCs w:val="16"/>
        </w:rPr>
        <w:t>Y. Yang, S. Lin, X. Feng, Q. Pan</w:t>
      </w:r>
      <w:r>
        <w:rPr>
          <w:sz w:val="16"/>
          <w:szCs w:val="16"/>
        </w:rPr>
        <w:t xml:space="preserve">, </w:t>
      </w:r>
      <w:proofErr w:type="spellStart"/>
      <w:r w:rsidRPr="005D50AE">
        <w:rPr>
          <w:i/>
          <w:sz w:val="16"/>
          <w:szCs w:val="16"/>
        </w:rPr>
        <w:t>ChemistrySelect</w:t>
      </w:r>
      <w:proofErr w:type="spellEnd"/>
      <w:r w:rsidR="00B1138A">
        <w:rPr>
          <w:sz w:val="16"/>
          <w:szCs w:val="16"/>
        </w:rPr>
        <w:t xml:space="preserve">, </w:t>
      </w:r>
      <w:r w:rsidRPr="005D50AE">
        <w:rPr>
          <w:b/>
          <w:sz w:val="16"/>
          <w:szCs w:val="16"/>
        </w:rPr>
        <w:t>2022</w:t>
      </w:r>
      <w:r>
        <w:rPr>
          <w:sz w:val="16"/>
          <w:szCs w:val="16"/>
        </w:rPr>
        <w:t>,</w:t>
      </w:r>
      <w:r w:rsidRPr="004F6D66">
        <w:rPr>
          <w:sz w:val="16"/>
          <w:szCs w:val="16"/>
        </w:rPr>
        <w:t xml:space="preserve"> </w:t>
      </w:r>
      <w:r w:rsidRPr="006D3B5A">
        <w:rPr>
          <w:i/>
          <w:iCs/>
          <w:sz w:val="16"/>
          <w:szCs w:val="16"/>
        </w:rPr>
        <w:t>7</w:t>
      </w:r>
      <w:r>
        <w:rPr>
          <w:sz w:val="16"/>
          <w:szCs w:val="16"/>
        </w:rPr>
        <w:t xml:space="preserve">, </w:t>
      </w:r>
      <w:r w:rsidRPr="004F6D66">
        <w:rPr>
          <w:sz w:val="16"/>
          <w:szCs w:val="16"/>
        </w:rPr>
        <w:t>e202201040.</w:t>
      </w:r>
      <w:r>
        <w:rPr>
          <w:sz w:val="16"/>
          <w:szCs w:val="16"/>
        </w:rPr>
        <w:t xml:space="preserve"> DOI: </w:t>
      </w:r>
      <w:r w:rsidRPr="005D50AE">
        <w:rPr>
          <w:sz w:val="16"/>
          <w:szCs w:val="16"/>
        </w:rPr>
        <w:t>10.1002/slct.202201040</w:t>
      </w:r>
    </w:p>
    <w:p w:rsidR="00D10B15" w:rsidRDefault="00D10B15" w:rsidP="00D10B15">
      <w:pPr>
        <w:pStyle w:val="References"/>
        <w:spacing w:line="264" w:lineRule="auto"/>
        <w:ind w:left="454" w:hanging="454"/>
        <w:rPr>
          <w:sz w:val="16"/>
          <w:szCs w:val="16"/>
        </w:rPr>
      </w:pPr>
      <w:r>
        <w:rPr>
          <w:sz w:val="16"/>
          <w:szCs w:val="16"/>
        </w:rPr>
        <w:t>7.</w:t>
      </w:r>
      <w:r>
        <w:rPr>
          <w:sz w:val="16"/>
          <w:szCs w:val="16"/>
        </w:rPr>
        <w:tab/>
      </w:r>
      <w:r w:rsidRPr="005D50AE">
        <w:rPr>
          <w:sz w:val="16"/>
          <w:szCs w:val="16"/>
        </w:rPr>
        <w:t>Y. Pan, T. Li, Y. Zhou, L. Li</w:t>
      </w:r>
      <w:r>
        <w:rPr>
          <w:sz w:val="16"/>
          <w:szCs w:val="16"/>
        </w:rPr>
        <w:t>,</w:t>
      </w:r>
      <w:r w:rsidRPr="005D50AE">
        <w:rPr>
          <w:sz w:val="16"/>
          <w:szCs w:val="16"/>
        </w:rPr>
        <w:t xml:space="preserve"> </w:t>
      </w:r>
      <w:r w:rsidRPr="005D50AE">
        <w:rPr>
          <w:i/>
          <w:sz w:val="16"/>
          <w:szCs w:val="16"/>
        </w:rPr>
        <w:t>Polymer</w:t>
      </w:r>
      <w:r w:rsidR="00B1138A">
        <w:rPr>
          <w:sz w:val="16"/>
          <w:szCs w:val="16"/>
        </w:rPr>
        <w:t>,</w:t>
      </w:r>
      <w:r w:rsidRPr="005D50AE">
        <w:rPr>
          <w:sz w:val="16"/>
          <w:szCs w:val="16"/>
        </w:rPr>
        <w:t xml:space="preserve"> </w:t>
      </w:r>
      <w:r w:rsidRPr="005D50AE">
        <w:rPr>
          <w:b/>
          <w:sz w:val="16"/>
          <w:szCs w:val="16"/>
        </w:rPr>
        <w:t>2022</w:t>
      </w:r>
      <w:r>
        <w:rPr>
          <w:sz w:val="16"/>
          <w:szCs w:val="16"/>
        </w:rPr>
        <w:t>,</w:t>
      </w:r>
      <w:r w:rsidRPr="005D50AE">
        <w:rPr>
          <w:sz w:val="16"/>
          <w:szCs w:val="16"/>
        </w:rPr>
        <w:t xml:space="preserve"> </w:t>
      </w:r>
      <w:r w:rsidRPr="005D50AE">
        <w:rPr>
          <w:i/>
          <w:sz w:val="16"/>
          <w:szCs w:val="16"/>
        </w:rPr>
        <w:t>242</w:t>
      </w:r>
      <w:r>
        <w:rPr>
          <w:sz w:val="16"/>
          <w:szCs w:val="16"/>
        </w:rPr>
        <w:t>,</w:t>
      </w:r>
      <w:r w:rsidRPr="005D50AE">
        <w:rPr>
          <w:sz w:val="16"/>
          <w:szCs w:val="16"/>
        </w:rPr>
        <w:t xml:space="preserve"> 124613.</w:t>
      </w:r>
      <w:r>
        <w:rPr>
          <w:sz w:val="16"/>
          <w:szCs w:val="16"/>
        </w:rPr>
        <w:t xml:space="preserve"> DOI: </w:t>
      </w:r>
      <w:r w:rsidRPr="005D50AE">
        <w:rPr>
          <w:sz w:val="16"/>
          <w:szCs w:val="16"/>
        </w:rPr>
        <w:t>10.1016/j.polymer.2022.124613</w:t>
      </w:r>
    </w:p>
    <w:p w:rsidR="00D10B15" w:rsidRDefault="00D10B15" w:rsidP="00D10B15">
      <w:pPr>
        <w:pStyle w:val="References"/>
        <w:spacing w:line="264" w:lineRule="auto"/>
        <w:ind w:left="454" w:hanging="454"/>
        <w:rPr>
          <w:sz w:val="16"/>
          <w:szCs w:val="16"/>
        </w:rPr>
      </w:pPr>
      <w:r>
        <w:rPr>
          <w:sz w:val="16"/>
          <w:szCs w:val="16"/>
        </w:rPr>
        <w:t>8.</w:t>
      </w:r>
      <w:r>
        <w:rPr>
          <w:sz w:val="16"/>
          <w:szCs w:val="16"/>
        </w:rPr>
        <w:tab/>
      </w:r>
      <w:r w:rsidRPr="005D50AE">
        <w:rPr>
          <w:sz w:val="16"/>
          <w:szCs w:val="16"/>
        </w:rPr>
        <w:t>H. Yu, S. Lin, D. Sun, Q. Pan</w:t>
      </w:r>
      <w:r>
        <w:rPr>
          <w:sz w:val="16"/>
          <w:szCs w:val="16"/>
        </w:rPr>
        <w:t>,</w:t>
      </w:r>
      <w:r w:rsidRPr="005D50AE">
        <w:rPr>
          <w:sz w:val="16"/>
          <w:szCs w:val="16"/>
        </w:rPr>
        <w:t xml:space="preserve"> </w:t>
      </w:r>
      <w:r w:rsidRPr="00D47A57">
        <w:rPr>
          <w:i/>
          <w:sz w:val="16"/>
          <w:szCs w:val="16"/>
        </w:rPr>
        <w:t xml:space="preserve">High Perform. </w:t>
      </w:r>
      <w:proofErr w:type="spellStart"/>
      <w:r w:rsidRPr="00D47A57">
        <w:rPr>
          <w:i/>
          <w:sz w:val="16"/>
          <w:szCs w:val="16"/>
        </w:rPr>
        <w:t>Polym</w:t>
      </w:r>
      <w:proofErr w:type="spellEnd"/>
      <w:r w:rsidRPr="00D47A57">
        <w:rPr>
          <w:i/>
          <w:sz w:val="16"/>
          <w:szCs w:val="16"/>
        </w:rPr>
        <w:t>.</w:t>
      </w:r>
      <w:r w:rsidR="00B1138A">
        <w:rPr>
          <w:sz w:val="16"/>
          <w:szCs w:val="16"/>
        </w:rPr>
        <w:t xml:space="preserve">, </w:t>
      </w:r>
      <w:r w:rsidRPr="00D47A57">
        <w:rPr>
          <w:b/>
          <w:sz w:val="16"/>
          <w:szCs w:val="16"/>
        </w:rPr>
        <w:t>2020</w:t>
      </w:r>
      <w:r w:rsidRPr="00D10B15">
        <w:rPr>
          <w:sz w:val="16"/>
          <w:szCs w:val="16"/>
        </w:rPr>
        <w:t>,</w:t>
      </w:r>
      <w:r w:rsidRPr="005D50AE">
        <w:rPr>
          <w:sz w:val="16"/>
          <w:szCs w:val="16"/>
        </w:rPr>
        <w:t xml:space="preserve"> </w:t>
      </w:r>
      <w:r w:rsidRPr="00D47A57">
        <w:rPr>
          <w:i/>
          <w:sz w:val="16"/>
          <w:szCs w:val="16"/>
        </w:rPr>
        <w:t>32</w:t>
      </w:r>
      <w:r w:rsidRPr="00D10B15">
        <w:rPr>
          <w:sz w:val="16"/>
          <w:szCs w:val="16"/>
        </w:rPr>
        <w:t>,</w:t>
      </w:r>
      <w:r w:rsidRPr="005D50AE">
        <w:rPr>
          <w:sz w:val="16"/>
          <w:szCs w:val="16"/>
        </w:rPr>
        <w:t xml:space="preserve"> 729</w:t>
      </w:r>
      <w:r w:rsidR="00B1138A">
        <w:rPr>
          <w:sz w:val="16"/>
          <w:szCs w:val="16"/>
        </w:rPr>
        <w:t>–</w:t>
      </w:r>
      <w:r w:rsidRPr="005D50AE">
        <w:rPr>
          <w:sz w:val="16"/>
          <w:szCs w:val="16"/>
        </w:rPr>
        <w:t>737.</w:t>
      </w:r>
      <w:r w:rsidRPr="00D10B15">
        <w:rPr>
          <w:sz w:val="16"/>
          <w:szCs w:val="16"/>
        </w:rPr>
        <w:t xml:space="preserve"> </w:t>
      </w:r>
      <w:r>
        <w:rPr>
          <w:sz w:val="16"/>
          <w:szCs w:val="16"/>
        </w:rPr>
        <w:t xml:space="preserve">DOI: </w:t>
      </w:r>
      <w:r w:rsidRPr="00D47A57">
        <w:rPr>
          <w:sz w:val="16"/>
          <w:szCs w:val="16"/>
        </w:rPr>
        <w:t>10.1177/0954008319900536</w:t>
      </w:r>
    </w:p>
    <w:p w:rsidR="00D10B15" w:rsidRDefault="00D10B15" w:rsidP="00D10B15">
      <w:pPr>
        <w:pStyle w:val="References"/>
        <w:spacing w:line="264" w:lineRule="auto"/>
        <w:ind w:left="454" w:hanging="454"/>
        <w:rPr>
          <w:sz w:val="16"/>
          <w:szCs w:val="16"/>
        </w:rPr>
      </w:pPr>
      <w:r>
        <w:rPr>
          <w:sz w:val="16"/>
          <w:szCs w:val="16"/>
        </w:rPr>
        <w:t>9.</w:t>
      </w:r>
      <w:r>
        <w:rPr>
          <w:sz w:val="16"/>
          <w:szCs w:val="16"/>
        </w:rPr>
        <w:tab/>
        <w:t>J.</w:t>
      </w:r>
      <w:r w:rsidR="007B4B71">
        <w:rPr>
          <w:sz w:val="16"/>
          <w:szCs w:val="16"/>
        </w:rPr>
        <w:t>-x</w:t>
      </w:r>
      <w:r w:rsidRPr="00D47A57">
        <w:rPr>
          <w:sz w:val="16"/>
          <w:szCs w:val="16"/>
        </w:rPr>
        <w:t xml:space="preserve">. Yang, </w:t>
      </w:r>
      <w:r>
        <w:rPr>
          <w:sz w:val="16"/>
          <w:szCs w:val="16"/>
        </w:rPr>
        <w:t>L.</w:t>
      </w:r>
      <w:r w:rsidR="007B4B71">
        <w:rPr>
          <w:sz w:val="16"/>
          <w:szCs w:val="16"/>
        </w:rPr>
        <w:t>-x</w:t>
      </w:r>
      <w:r w:rsidRPr="00D47A57">
        <w:rPr>
          <w:sz w:val="16"/>
          <w:szCs w:val="16"/>
        </w:rPr>
        <w:t>.</w:t>
      </w:r>
      <w:r w:rsidRPr="00D373E4">
        <w:rPr>
          <w:sz w:val="16"/>
          <w:szCs w:val="16"/>
        </w:rPr>
        <w:t xml:space="preserve"> </w:t>
      </w:r>
      <w:r w:rsidRPr="00D47A57">
        <w:rPr>
          <w:sz w:val="16"/>
          <w:szCs w:val="16"/>
        </w:rPr>
        <w:t xml:space="preserve">Ren, </w:t>
      </w:r>
      <w:r>
        <w:rPr>
          <w:sz w:val="16"/>
          <w:szCs w:val="16"/>
        </w:rPr>
        <w:t>Y.</w:t>
      </w:r>
      <w:r w:rsidR="007B4B71">
        <w:rPr>
          <w:sz w:val="16"/>
          <w:szCs w:val="16"/>
        </w:rPr>
        <w:t>-s</w:t>
      </w:r>
      <w:r w:rsidRPr="00D47A57">
        <w:rPr>
          <w:sz w:val="16"/>
          <w:szCs w:val="16"/>
        </w:rPr>
        <w:t>. Li</w:t>
      </w:r>
      <w:r w:rsidRPr="00D373E4">
        <w:rPr>
          <w:sz w:val="16"/>
          <w:szCs w:val="16"/>
        </w:rPr>
        <w:t xml:space="preserve">, </w:t>
      </w:r>
      <w:r w:rsidRPr="00D373E4">
        <w:rPr>
          <w:i/>
          <w:sz w:val="16"/>
          <w:szCs w:val="16"/>
        </w:rPr>
        <w:t>Chin</w:t>
      </w:r>
      <w:r w:rsidR="00B1138A">
        <w:rPr>
          <w:i/>
          <w:sz w:val="16"/>
          <w:szCs w:val="16"/>
        </w:rPr>
        <w:t>.</w:t>
      </w:r>
      <w:r w:rsidRPr="00D373E4">
        <w:rPr>
          <w:i/>
          <w:sz w:val="16"/>
          <w:szCs w:val="16"/>
        </w:rPr>
        <w:t xml:space="preserve"> J. </w:t>
      </w:r>
      <w:proofErr w:type="spellStart"/>
      <w:r w:rsidRPr="00D373E4">
        <w:rPr>
          <w:i/>
          <w:sz w:val="16"/>
          <w:szCs w:val="16"/>
        </w:rPr>
        <w:t>Polym</w:t>
      </w:r>
      <w:proofErr w:type="spellEnd"/>
      <w:r w:rsidRPr="00D373E4">
        <w:rPr>
          <w:i/>
          <w:sz w:val="16"/>
          <w:szCs w:val="16"/>
        </w:rPr>
        <w:t>. Sci.</w:t>
      </w:r>
      <w:r w:rsidRPr="00D373E4">
        <w:rPr>
          <w:sz w:val="16"/>
          <w:szCs w:val="16"/>
        </w:rPr>
        <w:t>,</w:t>
      </w:r>
      <w:r w:rsidRPr="00D47A57">
        <w:rPr>
          <w:sz w:val="16"/>
          <w:szCs w:val="16"/>
        </w:rPr>
        <w:t xml:space="preserve"> </w:t>
      </w:r>
      <w:r w:rsidRPr="00D373E4">
        <w:rPr>
          <w:b/>
          <w:sz w:val="16"/>
          <w:szCs w:val="16"/>
        </w:rPr>
        <w:t>2017</w:t>
      </w:r>
      <w:r w:rsidRPr="00D373E4">
        <w:rPr>
          <w:sz w:val="16"/>
          <w:szCs w:val="16"/>
        </w:rPr>
        <w:t>,</w:t>
      </w:r>
      <w:r w:rsidRPr="00D47A57">
        <w:rPr>
          <w:sz w:val="16"/>
          <w:szCs w:val="16"/>
        </w:rPr>
        <w:t xml:space="preserve"> </w:t>
      </w:r>
      <w:r w:rsidRPr="00D373E4">
        <w:rPr>
          <w:i/>
          <w:sz w:val="16"/>
          <w:szCs w:val="16"/>
        </w:rPr>
        <w:t>35</w:t>
      </w:r>
      <w:r w:rsidRPr="00D373E4">
        <w:rPr>
          <w:sz w:val="16"/>
          <w:szCs w:val="16"/>
        </w:rPr>
        <w:t xml:space="preserve">, </w:t>
      </w:r>
      <w:r w:rsidRPr="00D47A57">
        <w:rPr>
          <w:sz w:val="16"/>
          <w:szCs w:val="16"/>
        </w:rPr>
        <w:t>36</w:t>
      </w:r>
      <w:r w:rsidR="00B1138A">
        <w:rPr>
          <w:sz w:val="16"/>
          <w:szCs w:val="16"/>
        </w:rPr>
        <w:t>–</w:t>
      </w:r>
      <w:r w:rsidRPr="00D47A57">
        <w:rPr>
          <w:sz w:val="16"/>
          <w:szCs w:val="16"/>
        </w:rPr>
        <w:t>45.</w:t>
      </w:r>
      <w:r w:rsidRPr="00D10B15">
        <w:rPr>
          <w:sz w:val="16"/>
          <w:szCs w:val="16"/>
        </w:rPr>
        <w:t xml:space="preserve"> </w:t>
      </w:r>
      <w:r>
        <w:rPr>
          <w:sz w:val="16"/>
          <w:szCs w:val="16"/>
        </w:rPr>
        <w:t xml:space="preserve">DOI: </w:t>
      </w:r>
      <w:r w:rsidRPr="00D373E4">
        <w:rPr>
          <w:sz w:val="16"/>
          <w:szCs w:val="16"/>
        </w:rPr>
        <w:t>10.1007/s10118-017-1873-1</w:t>
      </w:r>
    </w:p>
    <w:p w:rsidR="00D10B15" w:rsidRDefault="00D10B15" w:rsidP="00D10B15">
      <w:pPr>
        <w:pStyle w:val="References"/>
        <w:spacing w:line="264" w:lineRule="auto"/>
        <w:ind w:left="454" w:hanging="454"/>
        <w:rPr>
          <w:sz w:val="16"/>
          <w:szCs w:val="16"/>
        </w:rPr>
      </w:pPr>
      <w:r>
        <w:rPr>
          <w:sz w:val="16"/>
          <w:szCs w:val="16"/>
        </w:rPr>
        <w:t>10.</w:t>
      </w:r>
      <w:r>
        <w:rPr>
          <w:sz w:val="16"/>
          <w:szCs w:val="16"/>
        </w:rPr>
        <w:tab/>
        <w:t>B.</w:t>
      </w:r>
      <w:r w:rsidR="007B4B71">
        <w:rPr>
          <w:sz w:val="16"/>
          <w:szCs w:val="16"/>
        </w:rPr>
        <w:t xml:space="preserve"> </w:t>
      </w:r>
      <w:r w:rsidRPr="00D373E4">
        <w:rPr>
          <w:sz w:val="16"/>
          <w:szCs w:val="16"/>
        </w:rPr>
        <w:t xml:space="preserve">T. Tuten, D. Chao, </w:t>
      </w:r>
      <w:r>
        <w:rPr>
          <w:sz w:val="16"/>
          <w:szCs w:val="16"/>
        </w:rPr>
        <w:t>C.</w:t>
      </w:r>
      <w:r w:rsidR="007B4B71">
        <w:rPr>
          <w:sz w:val="16"/>
          <w:szCs w:val="16"/>
        </w:rPr>
        <w:t xml:space="preserve"> </w:t>
      </w:r>
      <w:r w:rsidRPr="00D373E4">
        <w:rPr>
          <w:sz w:val="16"/>
          <w:szCs w:val="16"/>
        </w:rPr>
        <w:t xml:space="preserve">K. Lyon, E. B. </w:t>
      </w:r>
      <w:proofErr w:type="spellStart"/>
      <w:r w:rsidRPr="00D373E4">
        <w:rPr>
          <w:sz w:val="16"/>
          <w:szCs w:val="16"/>
        </w:rPr>
        <w:t>Berda</w:t>
      </w:r>
      <w:proofErr w:type="spellEnd"/>
      <w:r>
        <w:rPr>
          <w:sz w:val="16"/>
          <w:szCs w:val="16"/>
        </w:rPr>
        <w:t>,</w:t>
      </w:r>
      <w:r w:rsidRPr="00D373E4">
        <w:rPr>
          <w:sz w:val="16"/>
          <w:szCs w:val="16"/>
        </w:rPr>
        <w:t xml:space="preserve"> </w:t>
      </w:r>
      <w:proofErr w:type="spellStart"/>
      <w:r w:rsidRPr="00D373E4">
        <w:rPr>
          <w:i/>
          <w:sz w:val="16"/>
          <w:szCs w:val="16"/>
        </w:rPr>
        <w:t>Polym</w:t>
      </w:r>
      <w:proofErr w:type="spellEnd"/>
      <w:r w:rsidRPr="00D373E4">
        <w:rPr>
          <w:i/>
          <w:sz w:val="16"/>
          <w:szCs w:val="16"/>
        </w:rPr>
        <w:t>. Chem.</w:t>
      </w:r>
      <w:r>
        <w:rPr>
          <w:sz w:val="16"/>
          <w:szCs w:val="16"/>
        </w:rPr>
        <w:t>,</w:t>
      </w:r>
      <w:r w:rsidRPr="00D373E4">
        <w:rPr>
          <w:sz w:val="16"/>
          <w:szCs w:val="16"/>
        </w:rPr>
        <w:t xml:space="preserve"> </w:t>
      </w:r>
      <w:r w:rsidRPr="00D373E4">
        <w:rPr>
          <w:b/>
          <w:sz w:val="16"/>
          <w:szCs w:val="16"/>
        </w:rPr>
        <w:t>2012</w:t>
      </w:r>
      <w:r w:rsidR="007B4B71">
        <w:rPr>
          <w:sz w:val="16"/>
          <w:szCs w:val="16"/>
        </w:rPr>
        <w:t>,</w:t>
      </w:r>
      <w:r w:rsidRPr="00D373E4">
        <w:rPr>
          <w:sz w:val="16"/>
          <w:szCs w:val="16"/>
        </w:rPr>
        <w:t xml:space="preserve"> </w:t>
      </w:r>
      <w:r w:rsidRPr="00D373E4">
        <w:rPr>
          <w:i/>
          <w:sz w:val="16"/>
          <w:szCs w:val="16"/>
        </w:rPr>
        <w:t>3</w:t>
      </w:r>
      <w:r>
        <w:rPr>
          <w:sz w:val="16"/>
          <w:szCs w:val="16"/>
        </w:rPr>
        <w:t>,</w:t>
      </w:r>
      <w:r w:rsidRPr="00D373E4">
        <w:rPr>
          <w:sz w:val="16"/>
          <w:szCs w:val="16"/>
        </w:rPr>
        <w:t xml:space="preserve"> 3068</w:t>
      </w:r>
      <w:r w:rsidR="007B4B71">
        <w:rPr>
          <w:sz w:val="16"/>
          <w:szCs w:val="16"/>
        </w:rPr>
        <w:t>–</w:t>
      </w:r>
      <w:r w:rsidRPr="00D373E4">
        <w:rPr>
          <w:sz w:val="16"/>
          <w:szCs w:val="16"/>
        </w:rPr>
        <w:t>3071.</w:t>
      </w:r>
      <w:r>
        <w:rPr>
          <w:sz w:val="16"/>
          <w:szCs w:val="16"/>
        </w:rPr>
        <w:t xml:space="preserve"> DOI: </w:t>
      </w:r>
      <w:r w:rsidRPr="00D373E4">
        <w:rPr>
          <w:sz w:val="16"/>
          <w:szCs w:val="16"/>
        </w:rPr>
        <w:t>10.1039/C2PY20308A</w:t>
      </w:r>
    </w:p>
    <w:p w:rsidR="00166162" w:rsidRDefault="00D10B15" w:rsidP="00D10B15">
      <w:pPr>
        <w:pStyle w:val="References"/>
        <w:spacing w:line="264" w:lineRule="auto"/>
        <w:ind w:left="454" w:hanging="454"/>
        <w:rPr>
          <w:sz w:val="16"/>
          <w:szCs w:val="16"/>
        </w:rPr>
      </w:pPr>
      <w:r>
        <w:rPr>
          <w:sz w:val="16"/>
          <w:szCs w:val="16"/>
        </w:rPr>
        <w:t>11.</w:t>
      </w:r>
      <w:r>
        <w:rPr>
          <w:sz w:val="16"/>
          <w:szCs w:val="16"/>
        </w:rPr>
        <w:tab/>
      </w:r>
      <w:r w:rsidRPr="00D373E4">
        <w:rPr>
          <w:sz w:val="16"/>
          <w:szCs w:val="16"/>
        </w:rPr>
        <w:t xml:space="preserve">D. Aoki, K. Yasuda, K. </w:t>
      </w:r>
      <w:proofErr w:type="spellStart"/>
      <w:r w:rsidRPr="00D373E4">
        <w:rPr>
          <w:sz w:val="16"/>
          <w:szCs w:val="16"/>
        </w:rPr>
        <w:t>Arimitsu</w:t>
      </w:r>
      <w:proofErr w:type="spellEnd"/>
      <w:r>
        <w:rPr>
          <w:sz w:val="16"/>
          <w:szCs w:val="16"/>
        </w:rPr>
        <w:t>,</w:t>
      </w:r>
      <w:r w:rsidRPr="00D373E4">
        <w:rPr>
          <w:sz w:val="16"/>
          <w:szCs w:val="16"/>
        </w:rPr>
        <w:t xml:space="preserve"> </w:t>
      </w:r>
      <w:r w:rsidRPr="007B4B71">
        <w:rPr>
          <w:i/>
          <w:iCs/>
          <w:sz w:val="16"/>
          <w:szCs w:val="16"/>
        </w:rPr>
        <w:t xml:space="preserve">ACS Macro </w:t>
      </w:r>
      <w:proofErr w:type="spellStart"/>
      <w:r w:rsidRPr="007B4B71">
        <w:rPr>
          <w:i/>
          <w:iCs/>
          <w:sz w:val="16"/>
          <w:szCs w:val="16"/>
        </w:rPr>
        <w:t>Lett</w:t>
      </w:r>
      <w:proofErr w:type="spellEnd"/>
      <w:r w:rsidRPr="00D373E4">
        <w:rPr>
          <w:sz w:val="16"/>
          <w:szCs w:val="16"/>
        </w:rPr>
        <w:t>.</w:t>
      </w:r>
      <w:r>
        <w:rPr>
          <w:sz w:val="16"/>
          <w:szCs w:val="16"/>
        </w:rPr>
        <w:t>,</w:t>
      </w:r>
      <w:r w:rsidRPr="00D373E4">
        <w:rPr>
          <w:sz w:val="16"/>
          <w:szCs w:val="16"/>
        </w:rPr>
        <w:t xml:space="preserve"> </w:t>
      </w:r>
      <w:r w:rsidRPr="00D373E4">
        <w:rPr>
          <w:b/>
          <w:sz w:val="16"/>
          <w:szCs w:val="16"/>
        </w:rPr>
        <w:t>2023</w:t>
      </w:r>
      <w:r>
        <w:rPr>
          <w:sz w:val="16"/>
          <w:szCs w:val="16"/>
        </w:rPr>
        <w:t>,</w:t>
      </w:r>
      <w:r w:rsidRPr="00D373E4">
        <w:rPr>
          <w:sz w:val="16"/>
          <w:szCs w:val="16"/>
        </w:rPr>
        <w:t xml:space="preserve"> </w:t>
      </w:r>
      <w:r w:rsidRPr="00D373E4">
        <w:rPr>
          <w:i/>
          <w:sz w:val="16"/>
          <w:szCs w:val="16"/>
        </w:rPr>
        <w:t>12</w:t>
      </w:r>
      <w:r>
        <w:rPr>
          <w:sz w:val="16"/>
          <w:szCs w:val="16"/>
        </w:rPr>
        <w:t xml:space="preserve">, </w:t>
      </w:r>
      <w:r w:rsidRPr="00D373E4">
        <w:rPr>
          <w:sz w:val="16"/>
          <w:szCs w:val="16"/>
        </w:rPr>
        <w:t>462</w:t>
      </w:r>
      <w:r w:rsidR="007B4B71">
        <w:rPr>
          <w:sz w:val="16"/>
          <w:szCs w:val="16"/>
        </w:rPr>
        <w:t>–</w:t>
      </w:r>
      <w:r w:rsidRPr="00D373E4">
        <w:rPr>
          <w:sz w:val="16"/>
          <w:szCs w:val="16"/>
        </w:rPr>
        <w:t>467.</w:t>
      </w:r>
      <w:r>
        <w:rPr>
          <w:sz w:val="16"/>
          <w:szCs w:val="16"/>
        </w:rPr>
        <w:t xml:space="preserve"> DOI: </w:t>
      </w:r>
      <w:r w:rsidRPr="00D373E4">
        <w:rPr>
          <w:sz w:val="16"/>
          <w:szCs w:val="16"/>
        </w:rPr>
        <w:t>10.1021/acsmacrolett.2c00737</w:t>
      </w:r>
    </w:p>
    <w:p w:rsidR="003F69F7" w:rsidRDefault="003F69F7" w:rsidP="003F69F7">
      <w:pPr>
        <w:pStyle w:val="References"/>
        <w:spacing w:line="264" w:lineRule="auto"/>
        <w:ind w:left="0" w:firstLine="0"/>
        <w:rPr>
          <w:sz w:val="16"/>
          <w:szCs w:val="16"/>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5"/>
        <w:gridCol w:w="1236"/>
      </w:tblGrid>
      <w:tr w:rsidR="003F69F7" w:rsidRPr="003A13B7" w:rsidTr="00C26EDC">
        <w:trPr>
          <w:jc w:val="right"/>
        </w:trPr>
        <w:tc>
          <w:tcPr>
            <w:tcW w:w="3255" w:type="dxa"/>
            <w:vAlign w:val="center"/>
          </w:tcPr>
          <w:p w:rsidR="003F69F7" w:rsidRPr="0095093A" w:rsidRDefault="003F69F7" w:rsidP="00C26EDC">
            <w:pPr>
              <w:jc w:val="center"/>
              <w:rPr>
                <w:rFonts w:ascii="Arial" w:hAnsi="Arial" w:cs="Arial"/>
                <w:color w:val="263238"/>
                <w:shd w:val="clear" w:color="auto" w:fill="FFFFFF"/>
                <w:lang w:val="en-US"/>
              </w:rPr>
            </w:pPr>
            <w:r w:rsidRPr="0095093A">
              <w:rPr>
                <w:rFonts w:ascii="Times New Roman" w:hAnsi="Times New Roman" w:cs="Times New Roman"/>
                <w:b/>
                <w:bCs/>
                <w:sz w:val="16"/>
                <w:szCs w:val="16"/>
                <w:lang w:val="it-IT"/>
              </w:rPr>
              <w:br w:type="column"/>
            </w:r>
            <w:r w:rsidRPr="0095093A">
              <w:rPr>
                <w:sz w:val="16"/>
                <w:szCs w:val="16"/>
                <w:lang w:val="en-US"/>
              </w:rPr>
              <w:t>This article is licensed under a Creative Commons Attribution-</w:t>
            </w:r>
            <w:proofErr w:type="spellStart"/>
            <w:r w:rsidRPr="0095093A">
              <w:rPr>
                <w:sz w:val="16"/>
                <w:szCs w:val="16"/>
                <w:lang w:val="en-US"/>
              </w:rPr>
              <w:t>NonCommercial</w:t>
            </w:r>
            <w:proofErr w:type="spellEnd"/>
            <w:r w:rsidRPr="0095093A">
              <w:rPr>
                <w:sz w:val="16"/>
                <w:szCs w:val="16"/>
                <w:lang w:val="en-US"/>
              </w:rPr>
              <w:t xml:space="preserve"> 4.0 International License.</w:t>
            </w:r>
          </w:p>
        </w:tc>
        <w:tc>
          <w:tcPr>
            <w:tcW w:w="1236" w:type="dxa"/>
            <w:vAlign w:val="center"/>
          </w:tcPr>
          <w:p w:rsidR="003F69F7" w:rsidRPr="003A13B7" w:rsidRDefault="003F69F7" w:rsidP="00C26EDC">
            <w:pPr>
              <w:autoSpaceDE w:val="0"/>
              <w:autoSpaceDN w:val="0"/>
              <w:adjustRightInd w:val="0"/>
              <w:jc w:val="center"/>
              <w:rPr>
                <w:rFonts w:ascii="Arial" w:hAnsi="Arial" w:cs="Arial"/>
                <w:color w:val="263238"/>
                <w:sz w:val="18"/>
                <w:szCs w:val="18"/>
                <w:shd w:val="clear" w:color="auto" w:fill="FFFFFF"/>
                <w:lang w:val="en-US"/>
              </w:rPr>
            </w:pPr>
            <w:r w:rsidRPr="0095093A">
              <w:rPr>
                <w:rFonts w:ascii="Times New Roman" w:hAnsi="Times New Roman"/>
                <w:noProof/>
                <w:sz w:val="16"/>
                <w:szCs w:val="16"/>
              </w:rPr>
              <w:drawing>
                <wp:inline distT="0" distB="0" distL="0" distR="0">
                  <wp:extent cx="620466" cy="217152"/>
                  <wp:effectExtent l="19050" t="0" r="8184" b="0"/>
                  <wp:docPr id="286762753" name="Рисунок 125" descr="D:\Rinat\Rinat\доки\журнал\cc-by-nc.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5"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rsidR="003F69F7" w:rsidRPr="0050483C" w:rsidRDefault="003F69F7" w:rsidP="0050483C">
      <w:pPr>
        <w:pStyle w:val="References"/>
        <w:spacing w:line="264" w:lineRule="auto"/>
        <w:ind w:left="0" w:firstLine="0"/>
        <w:rPr>
          <w:bCs/>
          <w:sz w:val="16"/>
          <w:szCs w:val="16"/>
          <w:lang w:val="ru-RU"/>
        </w:rPr>
      </w:pPr>
    </w:p>
    <w:sectPr w:rsidR="003F69F7" w:rsidRPr="0050483C"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5F92" w:rsidRDefault="00CD5F92" w:rsidP="00427E5A">
      <w:pPr>
        <w:spacing w:after="0" w:line="240" w:lineRule="auto"/>
      </w:pPr>
      <w:r>
        <w:separator/>
      </w:r>
    </w:p>
    <w:p w:rsidR="00CD5F92" w:rsidRDefault="00CD5F92"/>
  </w:endnote>
  <w:endnote w:type="continuationSeparator" w:id="0">
    <w:p w:rsidR="00CD5F92" w:rsidRDefault="00CD5F92" w:rsidP="00427E5A">
      <w:pPr>
        <w:spacing w:after="0" w:line="240" w:lineRule="auto"/>
      </w:pPr>
      <w:r>
        <w:continuationSeparator/>
      </w:r>
    </w:p>
    <w:p w:rsidR="00CD5F92" w:rsidRDefault="00CD5F9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351" w:rsidRPr="00A6442F" w:rsidRDefault="00E253B0" w:rsidP="007A3351">
    <w:pPr>
      <w:pStyle w:val="af"/>
      <w:jc w:val="center"/>
      <w:rPr>
        <w:rStyle w:val="MainText0"/>
        <w:i/>
      </w:rPr>
    </w:pPr>
    <w:r>
      <w:rPr>
        <w:rStyle w:val="MainText0"/>
      </w:rPr>
      <w:t>I</w:t>
    </w:r>
    <w:r w:rsidR="007A3351" w:rsidRPr="00622DF1">
      <w:rPr>
        <w:rStyle w:val="MainText0"/>
      </w:rPr>
      <w:t>.</w:t>
    </w:r>
    <w:r w:rsidR="00916E1F" w:rsidRPr="00622DF1">
      <w:rPr>
        <w:rStyle w:val="MainText0"/>
      </w:rPr>
      <w:t xml:space="preserve"> </w:t>
    </w:r>
    <w:r>
      <w:rPr>
        <w:rStyle w:val="MainText0"/>
      </w:rPr>
      <w:t>V</w:t>
    </w:r>
    <w:r w:rsidR="007A3351" w:rsidRPr="00622DF1">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Ignatyev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8</w:t>
    </w:r>
    <w:r w:rsidR="00DF4999" w:rsidRPr="005C7369">
      <w:rPr>
        <w:rStyle w:val="MainText0"/>
        <w:i/>
        <w:iCs/>
      </w:rPr>
      <w:t xml:space="preserve"> (</w:t>
    </w:r>
    <w:r>
      <w:rPr>
        <w:rStyle w:val="MainText0"/>
        <w:i/>
        <w:iCs/>
      </w:rPr>
      <w:t>1–3</w:t>
    </w:r>
    <w:r w:rsidR="00DF4999" w:rsidRPr="005C7369">
      <w:rPr>
        <w:rStyle w:val="MainText0"/>
        <w:i/>
        <w:iCs/>
      </w:rPr>
      <w:t>)</w:t>
    </w:r>
    <w:r w:rsidR="00DF4999" w:rsidRPr="00110678">
      <w:rPr>
        <w:rStyle w:val="MainText0"/>
      </w:rPr>
      <w:t xml:space="preserve">, </w:t>
    </w:r>
    <w:r w:rsidR="00DF4999">
      <w:rPr>
        <w:rStyle w:val="MainText0"/>
      </w:rPr>
      <w:t>XX–XX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5F92" w:rsidRDefault="00CD5F92" w:rsidP="00427E5A">
      <w:pPr>
        <w:spacing w:after="0" w:line="240" w:lineRule="auto"/>
      </w:pPr>
      <w:r>
        <w:separator/>
      </w:r>
    </w:p>
    <w:p w:rsidR="00CD5F92" w:rsidRDefault="00CD5F92"/>
  </w:footnote>
  <w:footnote w:type="continuationSeparator" w:id="0">
    <w:p w:rsidR="00CD5F92" w:rsidRDefault="00CD5F92" w:rsidP="00427E5A">
      <w:pPr>
        <w:spacing w:after="0" w:line="240" w:lineRule="auto"/>
      </w:pPr>
      <w:r>
        <w:continuationSeparator/>
      </w:r>
    </w:p>
    <w:p w:rsidR="00CD5F92" w:rsidRDefault="00CD5F9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1652487238"/>
      <w:docPartObj>
        <w:docPartGallery w:val="Page Numbers (Top of Page)"/>
        <w:docPartUnique/>
      </w:docPartObj>
    </w:sdtPr>
    <w:sdtContent>
      <w:sdt>
        <w:sdtPr>
          <w:rPr>
            <w:rFonts w:ascii="Times New Roman" w:hAnsi="Times New Roman" w:cs="Times New Roman"/>
            <w:i/>
          </w:rPr>
          <w:id w:val="1630276690"/>
          <w:docPartObj>
            <w:docPartGallery w:val="Page Numbers (Top of Page)"/>
            <w:docPartUnique/>
          </w:docPartObj>
        </w:sdtPr>
        <w:sdtContent>
          <w:p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757A51"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757A51" w:rsidRPr="001E7945">
          <w:rPr>
            <w:rFonts w:ascii="Times New Roman" w:hAnsi="Times New Roman" w:cs="Times New Roman"/>
            <w:i/>
          </w:rPr>
          <w:fldChar w:fldCharType="separate"/>
        </w:r>
        <w:r w:rsidR="0050483C">
          <w:rPr>
            <w:rFonts w:ascii="Times New Roman" w:hAnsi="Times New Roman" w:cs="Times New Roman"/>
            <w:i/>
            <w:noProof/>
            <w:lang w:val="en-US"/>
          </w:rPr>
          <w:t>2</w:t>
        </w:r>
        <w:r w:rsidR="00757A51" w:rsidRPr="001E7945">
          <w:rPr>
            <w:rFonts w:ascii="Times New Roman" w:hAnsi="Times New Roman" w:cs="Times New Roman"/>
            <w:i/>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7"/>
  </w:num>
  <w:num w:numId="6">
    <w:abstractNumId w:val="8"/>
  </w:num>
  <w:num w:numId="7">
    <w:abstractNumId w:val="0"/>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6637"/>
    <w:rsid w:val="00021E9C"/>
    <w:rsid w:val="00052C07"/>
    <w:rsid w:val="00064622"/>
    <w:rsid w:val="00067EC7"/>
    <w:rsid w:val="00071D12"/>
    <w:rsid w:val="00080691"/>
    <w:rsid w:val="0008088D"/>
    <w:rsid w:val="0009510B"/>
    <w:rsid w:val="000A280C"/>
    <w:rsid w:val="000B5E27"/>
    <w:rsid w:val="000E1B06"/>
    <w:rsid w:val="00161894"/>
    <w:rsid w:val="00166162"/>
    <w:rsid w:val="00172043"/>
    <w:rsid w:val="00173A8E"/>
    <w:rsid w:val="001B0919"/>
    <w:rsid w:val="001B0ED5"/>
    <w:rsid w:val="001B6750"/>
    <w:rsid w:val="001E7945"/>
    <w:rsid w:val="002500A5"/>
    <w:rsid w:val="002722F1"/>
    <w:rsid w:val="002801B2"/>
    <w:rsid w:val="002D6411"/>
    <w:rsid w:val="0031578F"/>
    <w:rsid w:val="00321C31"/>
    <w:rsid w:val="00332DE4"/>
    <w:rsid w:val="003B067D"/>
    <w:rsid w:val="003E2893"/>
    <w:rsid w:val="003F69F7"/>
    <w:rsid w:val="00427E5A"/>
    <w:rsid w:val="00436D4B"/>
    <w:rsid w:val="00440577"/>
    <w:rsid w:val="00463737"/>
    <w:rsid w:val="0049039B"/>
    <w:rsid w:val="004A44BC"/>
    <w:rsid w:val="004A5676"/>
    <w:rsid w:val="004C0411"/>
    <w:rsid w:val="004E7056"/>
    <w:rsid w:val="00502985"/>
    <w:rsid w:val="0050483C"/>
    <w:rsid w:val="00510F9A"/>
    <w:rsid w:val="00524995"/>
    <w:rsid w:val="00533D73"/>
    <w:rsid w:val="00534762"/>
    <w:rsid w:val="00541A74"/>
    <w:rsid w:val="005A1542"/>
    <w:rsid w:val="005C7369"/>
    <w:rsid w:val="005E76C3"/>
    <w:rsid w:val="00613E64"/>
    <w:rsid w:val="00622DF1"/>
    <w:rsid w:val="00645497"/>
    <w:rsid w:val="0065245B"/>
    <w:rsid w:val="00683408"/>
    <w:rsid w:val="006939A5"/>
    <w:rsid w:val="006E0C73"/>
    <w:rsid w:val="006F035E"/>
    <w:rsid w:val="00706F05"/>
    <w:rsid w:val="0072037E"/>
    <w:rsid w:val="007516EA"/>
    <w:rsid w:val="00757A51"/>
    <w:rsid w:val="0076654A"/>
    <w:rsid w:val="00786972"/>
    <w:rsid w:val="007A3351"/>
    <w:rsid w:val="007B4B71"/>
    <w:rsid w:val="007D3514"/>
    <w:rsid w:val="007D3F5F"/>
    <w:rsid w:val="008114FB"/>
    <w:rsid w:val="00820A77"/>
    <w:rsid w:val="00831CF8"/>
    <w:rsid w:val="00842E5C"/>
    <w:rsid w:val="008622A1"/>
    <w:rsid w:val="00863A30"/>
    <w:rsid w:val="00875175"/>
    <w:rsid w:val="0089304F"/>
    <w:rsid w:val="00894EE2"/>
    <w:rsid w:val="008A02BF"/>
    <w:rsid w:val="008A6A35"/>
    <w:rsid w:val="008C3512"/>
    <w:rsid w:val="008C6630"/>
    <w:rsid w:val="008C68C0"/>
    <w:rsid w:val="008D2BCF"/>
    <w:rsid w:val="008E062B"/>
    <w:rsid w:val="00904B7F"/>
    <w:rsid w:val="00916E1F"/>
    <w:rsid w:val="00930DA8"/>
    <w:rsid w:val="00941219"/>
    <w:rsid w:val="009667F3"/>
    <w:rsid w:val="009955FD"/>
    <w:rsid w:val="009A6DAE"/>
    <w:rsid w:val="009B1ECD"/>
    <w:rsid w:val="00A231BA"/>
    <w:rsid w:val="00A6442F"/>
    <w:rsid w:val="00A76F33"/>
    <w:rsid w:val="00A9345F"/>
    <w:rsid w:val="00AF12A4"/>
    <w:rsid w:val="00B1138A"/>
    <w:rsid w:val="00B23601"/>
    <w:rsid w:val="00B5202A"/>
    <w:rsid w:val="00BB1D07"/>
    <w:rsid w:val="00BB7F79"/>
    <w:rsid w:val="00BE4FEF"/>
    <w:rsid w:val="00C02E59"/>
    <w:rsid w:val="00C121F2"/>
    <w:rsid w:val="00C21F2B"/>
    <w:rsid w:val="00C236D5"/>
    <w:rsid w:val="00C25E43"/>
    <w:rsid w:val="00C54A40"/>
    <w:rsid w:val="00C571E1"/>
    <w:rsid w:val="00CA3051"/>
    <w:rsid w:val="00CA605E"/>
    <w:rsid w:val="00CD128C"/>
    <w:rsid w:val="00CD5F92"/>
    <w:rsid w:val="00CD6FAC"/>
    <w:rsid w:val="00D10B15"/>
    <w:rsid w:val="00D33D37"/>
    <w:rsid w:val="00D36C9F"/>
    <w:rsid w:val="00D63609"/>
    <w:rsid w:val="00D71473"/>
    <w:rsid w:val="00D90F44"/>
    <w:rsid w:val="00DA0A72"/>
    <w:rsid w:val="00DC7B53"/>
    <w:rsid w:val="00DE79B2"/>
    <w:rsid w:val="00DF1FCB"/>
    <w:rsid w:val="00DF4999"/>
    <w:rsid w:val="00E253B0"/>
    <w:rsid w:val="00E56CD8"/>
    <w:rsid w:val="00E60451"/>
    <w:rsid w:val="00E76E65"/>
    <w:rsid w:val="00E81EDE"/>
    <w:rsid w:val="00E95346"/>
    <w:rsid w:val="00EA6C3B"/>
    <w:rsid w:val="00EB2FCC"/>
    <w:rsid w:val="00ED28BF"/>
    <w:rsid w:val="00EE0429"/>
    <w:rsid w:val="00EE4066"/>
    <w:rsid w:val="00EE601F"/>
    <w:rsid w:val="00EF625A"/>
    <w:rsid w:val="00F376FB"/>
    <w:rsid w:val="00F44BBC"/>
    <w:rsid w:val="00F462DB"/>
    <w:rsid w:val="00F6796A"/>
    <w:rsid w:val="00F86864"/>
    <w:rsid w:val="00F94740"/>
    <w:rsid w:val="00F95280"/>
    <w:rsid w:val="00FA0CD1"/>
    <w:rsid w:val="00FB4DBE"/>
    <w:rsid w:val="00FD2F8B"/>
    <w:rsid w:val="00FE45D6"/>
    <w:rsid w:val="00FF7D7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customStyle="1" w:styleId="rynqvb">
    <w:name w:val="rynqvb"/>
    <w:basedOn w:val="a0"/>
    <w:rsid w:val="0049039B"/>
  </w:style>
  <w:style w:type="table" w:customStyle="1" w:styleId="13">
    <w:name w:val="Сетка таблицы1"/>
    <w:basedOn w:val="a1"/>
    <w:next w:val="a1"/>
    <w:uiPriority w:val="59"/>
    <w:rsid w:val="003F69F7"/>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if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hyperlink" Target="https://creativecommons.org/licenses/by/4.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33B2D-A7E9-48F0-9F00-9178E9826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Pages>
  <Words>1446</Words>
  <Characters>8243</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Pavel</cp:lastModifiedBy>
  <cp:revision>51</cp:revision>
  <dcterms:created xsi:type="dcterms:W3CDTF">2018-09-10T13:23:00Z</dcterms:created>
  <dcterms:modified xsi:type="dcterms:W3CDTF">2025-07-07T12:26:00Z</dcterms:modified>
</cp:coreProperties>
</file>