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AE39E3">
        <w:rPr>
          <w:rFonts w:ascii="Times New Roman" w:hAnsi="Times New Roman" w:cs="Times New Roman"/>
          <w:sz w:val="36"/>
          <w:szCs w:val="36"/>
          <w:lang w:val="en-US"/>
        </w:rPr>
        <w:t xml:space="preserve">, </w:t>
      </w:r>
      <w:r w:rsidR="00EA36FE">
        <w:rPr>
          <w:rFonts w:ascii="Times New Roman" w:hAnsi="Times New Roman" w:cs="Times New Roman"/>
          <w:sz w:val="36"/>
          <w:szCs w:val="36"/>
          <w:lang w:val="en-US"/>
        </w:rPr>
        <w:t>57</w:t>
      </w:r>
      <w:r w:rsidR="00F27BF3" w:rsidRPr="006118F4">
        <w:rPr>
          <w:rFonts w:ascii="Times New Roman" w:hAnsi="Times New Roman" w:cs="Times New Roman"/>
          <w:sz w:val="36"/>
          <w:szCs w:val="36"/>
          <w:lang w:val="en-US"/>
        </w:rPr>
        <w:t>–</w:t>
      </w:r>
      <w:r w:rsidR="00EA36FE">
        <w:rPr>
          <w:rFonts w:ascii="Times New Roman" w:hAnsi="Times New Roman" w:cs="Times New Roman"/>
          <w:sz w:val="36"/>
          <w:szCs w:val="36"/>
          <w:lang w:val="en-US"/>
        </w:rPr>
        <w:t>59</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EA36FE">
          <w:rPr>
            <w:rFonts w:ascii="Times New Roman" w:hAnsi="Times New Roman" w:cs="Times New Roman"/>
            <w:b/>
            <w:sz w:val="24"/>
            <w:szCs w:val="24"/>
            <w:lang w:val="en-US"/>
          </w:rPr>
          <w:t>10.32931/io2518</w:t>
        </w:r>
        <w:r w:rsidR="0091084F" w:rsidRPr="00FD0D30">
          <w:rPr>
            <w:rFonts w:ascii="Times New Roman" w:hAnsi="Times New Roman" w:cs="Times New Roman"/>
            <w:b/>
            <w:sz w:val="24"/>
            <w:szCs w:val="24"/>
            <w:lang w:val="en-US"/>
          </w:rPr>
          <w:t>a</w:t>
        </w:r>
      </w:hyperlink>
    </w:p>
    <w:p w:rsidR="002801B8" w:rsidRPr="00EA36FE" w:rsidRDefault="00EA36FE" w:rsidP="00EA36FE">
      <w:pPr>
        <w:pStyle w:val="ArticleTitle"/>
      </w:pPr>
      <w:r>
        <w:rPr>
          <w:rStyle w:val="MainText0"/>
          <w:sz w:val="36"/>
          <w:szCs w:val="28"/>
        </w:rPr>
        <w:t xml:space="preserve">Gas Transport Properties of Metathesis </w:t>
      </w:r>
      <w:proofErr w:type="spellStart"/>
      <w:r>
        <w:rPr>
          <w:rStyle w:val="MainText0"/>
          <w:sz w:val="36"/>
          <w:szCs w:val="28"/>
        </w:rPr>
        <w:t>Polynorbornene</w:t>
      </w:r>
      <w:proofErr w:type="spellEnd"/>
      <w:r>
        <w:rPr>
          <w:rStyle w:val="MainText0"/>
          <w:sz w:val="36"/>
          <w:szCs w:val="28"/>
        </w:rPr>
        <w:t xml:space="preserve"> with t</w:t>
      </w:r>
      <w:r w:rsidRPr="00EA36FE">
        <w:rPr>
          <w:rStyle w:val="MainText0"/>
          <w:sz w:val="36"/>
          <w:szCs w:val="28"/>
        </w:rPr>
        <w:t xml:space="preserve">he </w:t>
      </w:r>
      <w:proofErr w:type="spellStart"/>
      <w:r>
        <w:rPr>
          <w:rStyle w:val="MainText0"/>
          <w:sz w:val="36"/>
          <w:szCs w:val="28"/>
        </w:rPr>
        <w:t>Substituents</w:t>
      </w:r>
      <w:proofErr w:type="spellEnd"/>
      <w:r>
        <w:rPr>
          <w:rStyle w:val="MainText0"/>
          <w:sz w:val="36"/>
          <w:szCs w:val="28"/>
        </w:rPr>
        <w:t xml:space="preserve"> in the Side Chain Based o</w:t>
      </w:r>
      <w:r w:rsidRPr="00EA36FE">
        <w:rPr>
          <w:rStyle w:val="MainText0"/>
          <w:sz w:val="36"/>
          <w:szCs w:val="28"/>
        </w:rPr>
        <w:t>n Β-(–)-</w:t>
      </w:r>
      <w:proofErr w:type="spellStart"/>
      <w:r w:rsidRPr="00EA36FE">
        <w:rPr>
          <w:rStyle w:val="MainText0"/>
          <w:sz w:val="36"/>
          <w:szCs w:val="28"/>
        </w:rPr>
        <w:t>Pinene</w:t>
      </w:r>
      <w:proofErr w:type="spellEnd"/>
    </w:p>
    <w:p w:rsidR="00F46F0E" w:rsidRPr="00EA36FE" w:rsidRDefault="00EA36FE" w:rsidP="00EA36FE">
      <w:pPr>
        <w:pStyle w:val="Authors"/>
      </w:pPr>
      <w:r w:rsidRPr="00EA36FE">
        <w:t>P. P. Lezhnin, I. L. Borisov, and M. V. Bermeshev*</w:t>
      </w:r>
    </w:p>
    <w:p w:rsidR="008518EA" w:rsidRPr="00EA36FE" w:rsidRDefault="00EA36FE" w:rsidP="00EA36FE">
      <w:pPr>
        <w:pStyle w:val="Affelations"/>
      </w:pPr>
      <w:proofErr w:type="spellStart"/>
      <w:r w:rsidRPr="00EA36FE">
        <w:t>Topchiev</w:t>
      </w:r>
      <w:proofErr w:type="spellEnd"/>
      <w:r w:rsidRPr="00EA36FE">
        <w:t xml:space="preserve"> Institute of Petrochemical Synthesis, Russian Academy of Sciences, </w:t>
      </w:r>
      <w:proofErr w:type="spellStart"/>
      <w:r w:rsidRPr="00EA36FE">
        <w:t>Leninskii</w:t>
      </w:r>
      <w:proofErr w:type="spellEnd"/>
      <w:r w:rsidRPr="00EA36FE">
        <w:t xml:space="preserve"> pr. </w:t>
      </w:r>
      <w:r w:rsidRPr="00EA36FE">
        <w:rPr>
          <w:rStyle w:val="rynqvb"/>
        </w:rPr>
        <w:t>29,</w:t>
      </w:r>
      <w:r w:rsidRPr="00EA36FE">
        <w:t xml:space="preserve"> Moscow, 119991 Russia</w:t>
      </w:r>
      <w:r w:rsidR="00F27BF3" w:rsidRPr="00EA36FE">
        <w:br/>
      </w:r>
    </w:p>
    <w:p w:rsidR="008518EA" w:rsidRPr="007659A9" w:rsidRDefault="008518EA" w:rsidP="005827E1">
      <w:pPr>
        <w:pStyle w:val="CorrespondingAuthor"/>
      </w:pPr>
      <w:r w:rsidRPr="005827E1">
        <w:rPr>
          <w:b/>
          <w:i w:val="0"/>
        </w:rPr>
        <w:t>Corresponding author:</w:t>
      </w:r>
      <w:r w:rsidRPr="0068614A">
        <w:t xml:space="preserve"> </w:t>
      </w:r>
      <w:r w:rsidR="00EA36FE">
        <w:t xml:space="preserve">M. V. </w:t>
      </w:r>
      <w:proofErr w:type="spellStart"/>
      <w:r w:rsidR="00EA36FE">
        <w:t>Bermeshev</w:t>
      </w:r>
      <w:proofErr w:type="spellEnd"/>
      <w:r w:rsidR="00D31C2D" w:rsidRPr="005827E1">
        <w:t>, e-mail:</w:t>
      </w:r>
      <w:r w:rsidR="00F27BF3" w:rsidRPr="005827E1">
        <w:t xml:space="preserve"> </w:t>
      </w:r>
      <w:r w:rsidR="00EA36FE">
        <w:t>bmv</w:t>
      </w:r>
      <w:r w:rsidR="00EA36FE" w:rsidRPr="00440577">
        <w:t>@i</w:t>
      </w:r>
      <w:r w:rsidR="00EA36FE">
        <w:t>ps.ac.ru</w:t>
      </w:r>
      <w:r w:rsidR="00C01303" w:rsidRPr="005827E1">
        <w:br/>
      </w:r>
      <w:r w:rsidR="00EA36FE">
        <w:t>Received 21</w:t>
      </w:r>
      <w:r w:rsidRPr="005827E1">
        <w:t xml:space="preserve"> </w:t>
      </w:r>
      <w:r w:rsidR="00EA36FE">
        <w:t>Octo</w:t>
      </w:r>
      <w:r w:rsidRPr="005827E1">
        <w:t xml:space="preserve">ber 2024; accepted </w:t>
      </w:r>
      <w:r w:rsidR="00EA36FE">
        <w:t>1</w:t>
      </w:r>
      <w:r w:rsidR="001704B0" w:rsidRPr="005827E1">
        <w:t xml:space="preserve"> </w:t>
      </w:r>
      <w:r w:rsidR="00EA36FE">
        <w:t>Decem</w:t>
      </w:r>
      <w:r w:rsidR="001704B0" w:rsidRPr="005827E1">
        <w:t xml:space="preserve">ber </w:t>
      </w:r>
      <w:r w:rsidR="00F27BF3" w:rsidRPr="005827E1">
        <w:t>2024</w:t>
      </w:r>
    </w:p>
    <w:p w:rsidR="00D118AB" w:rsidRPr="008518EA" w:rsidRDefault="00F46F0E" w:rsidP="0068614A">
      <w:pPr>
        <w:pStyle w:val="MainHeader"/>
      </w:pPr>
      <w:r w:rsidRPr="000843DF">
        <w:t>Abstract</w:t>
      </w:r>
    </w:p>
    <w:p w:rsidR="00D118AB" w:rsidRPr="006C6033" w:rsidRDefault="00D118AB" w:rsidP="004C2362">
      <w:pPr>
        <w:pStyle w:val="AbsFig"/>
        <w:rPr>
          <w:lang w:val="en-US"/>
        </w:rPr>
      </w:pPr>
    </w:p>
    <w:p w:rsidR="001704B0" w:rsidRDefault="00EA36FE" w:rsidP="001704B0">
      <w:pPr>
        <w:pStyle w:val="AbsText"/>
      </w:pPr>
      <w:r w:rsidRPr="008E1BD2">
        <w:t>The gas separation properties of a high-molecular</w:t>
      </w:r>
      <w:r>
        <w:t>-weight</w:t>
      </w:r>
      <w:r w:rsidRPr="008E1BD2">
        <w:t xml:space="preserve"> metathesis polymer based on </w:t>
      </w:r>
      <w:proofErr w:type="spellStart"/>
      <w:r w:rsidRPr="008E1BD2">
        <w:t>nadimide</w:t>
      </w:r>
      <w:proofErr w:type="spellEnd"/>
      <w:r w:rsidRPr="008E1BD2">
        <w:t xml:space="preserve"> containing β-(</w:t>
      </w:r>
      <w:r>
        <w:t>–</w:t>
      </w:r>
      <w:r w:rsidRPr="008E1BD2">
        <w:t>)-</w:t>
      </w:r>
      <w:proofErr w:type="spellStart"/>
      <w:r w:rsidRPr="008E1BD2">
        <w:t>pinene</w:t>
      </w:r>
      <w:proofErr w:type="spellEnd"/>
      <w:r w:rsidRPr="008E1BD2">
        <w:t xml:space="preserve"> </w:t>
      </w:r>
      <w:r>
        <w:t>fragments,</w:t>
      </w:r>
      <w:r w:rsidRPr="008E1BD2">
        <w:t xml:space="preserve"> synthesized in the presence of </w:t>
      </w:r>
      <w:r>
        <w:t>the first-</w:t>
      </w:r>
      <w:r w:rsidRPr="008E1BD2">
        <w:t>generation Grubbs catalyst</w:t>
      </w:r>
      <w:r>
        <w:t>,</w:t>
      </w:r>
      <w:r w:rsidRPr="008E1BD2">
        <w:t xml:space="preserve"> were studied. In particular, the permeability and diffusion coefficients for a wide range of gases were determined for the first time. This polymer is characterized by low values of gas permeability coefficients, corresponding to the gas permeability level of </w:t>
      </w:r>
      <w:proofErr w:type="spellStart"/>
      <w:r w:rsidRPr="008E1BD2">
        <w:t>polyimides</w:t>
      </w:r>
      <w:proofErr w:type="spellEnd"/>
      <w:r w:rsidRPr="008E1BD2">
        <w:t xml:space="preserve"> and cellulose acetate. At the same time, the selectivity of separation of gas pairs containing CO</w:t>
      </w:r>
      <w:r w:rsidRPr="00067511">
        <w:rPr>
          <w:vertAlign w:val="subscript"/>
        </w:rPr>
        <w:t>2</w:t>
      </w:r>
      <w:r>
        <w:t xml:space="preserve"> and </w:t>
      </w:r>
      <w:r w:rsidRPr="008E1BD2">
        <w:t>O</w:t>
      </w:r>
      <w:r w:rsidRPr="00EE31DE">
        <w:rPr>
          <w:vertAlign w:val="subscript"/>
        </w:rPr>
        <w:t>2</w:t>
      </w:r>
      <w:r w:rsidRPr="008E1BD2">
        <w:t>/N</w:t>
      </w:r>
      <w:r w:rsidRPr="00EE31DE">
        <w:rPr>
          <w:vertAlign w:val="subscript"/>
        </w:rPr>
        <w:t>2</w:t>
      </w:r>
      <w:r w:rsidRPr="008E1BD2">
        <w:t xml:space="preserve"> pair for the polymer </w:t>
      </w:r>
      <w:r>
        <w:t xml:space="preserve">explored </w:t>
      </w:r>
      <w:r w:rsidRPr="008E1BD2">
        <w:t xml:space="preserve">is significantly higher </w:t>
      </w:r>
      <w:r>
        <w:t xml:space="preserve">than that of the </w:t>
      </w:r>
      <w:r w:rsidRPr="008E1BD2">
        <w:t xml:space="preserve">related </w:t>
      </w:r>
      <w:proofErr w:type="spellStart"/>
      <w:r w:rsidRPr="008E1BD2">
        <w:t>unsubstituted</w:t>
      </w:r>
      <w:proofErr w:type="spellEnd"/>
      <w:r w:rsidRPr="008E1BD2">
        <w:t xml:space="preserve"> metathesis </w:t>
      </w:r>
      <w:proofErr w:type="spellStart"/>
      <w:r w:rsidRPr="008E1BD2">
        <w:t>polynorbornene</w:t>
      </w:r>
      <w:proofErr w:type="spellEnd"/>
      <w:r>
        <w:t>.</w:t>
      </w:r>
    </w:p>
    <w:p w:rsidR="00166162" w:rsidRPr="00EF6BD4" w:rsidRDefault="00F46F0E" w:rsidP="00EF6BD4">
      <w:pPr>
        <w:pStyle w:val="Keywords"/>
        <w:rPr>
          <w:szCs w:val="20"/>
        </w:rPr>
      </w:pPr>
      <w:r w:rsidRPr="00EF6BD4">
        <w:rPr>
          <w:b/>
        </w:rPr>
        <w:t>Key words:</w:t>
      </w:r>
      <w:r w:rsidRPr="00EF6BD4">
        <w:t xml:space="preserve"> </w:t>
      </w:r>
      <w:r w:rsidR="00EA36FE" w:rsidRPr="00493D12">
        <w:t>β-(</w:t>
      </w:r>
      <w:r w:rsidR="00EA36FE">
        <w:t>–</w:t>
      </w:r>
      <w:r w:rsidR="00EA36FE" w:rsidRPr="00493D12">
        <w:t>)-</w:t>
      </w:r>
      <w:proofErr w:type="spellStart"/>
      <w:r w:rsidR="00EA36FE" w:rsidRPr="00493D12">
        <w:t>pinene</w:t>
      </w:r>
      <w:proofErr w:type="spellEnd"/>
      <w:r w:rsidR="00EA36FE" w:rsidRPr="00493D12">
        <w:t xml:space="preserve">, </w:t>
      </w:r>
      <w:proofErr w:type="spellStart"/>
      <w:r w:rsidR="00EA36FE" w:rsidRPr="00493D12">
        <w:t>nadimide</w:t>
      </w:r>
      <w:proofErr w:type="spellEnd"/>
      <w:r w:rsidR="00EA36FE" w:rsidRPr="00493D12">
        <w:t xml:space="preserve">, </w:t>
      </w:r>
      <w:proofErr w:type="spellStart"/>
      <w:r w:rsidR="00EA36FE" w:rsidRPr="00493D12">
        <w:t>polynorbornene</w:t>
      </w:r>
      <w:proofErr w:type="spellEnd"/>
      <w:r w:rsidR="00EA36FE" w:rsidRPr="00493D12">
        <w:t>, gas transport properties</w:t>
      </w:r>
      <w:r w:rsidR="00EA36FE" w:rsidRPr="0065245B">
        <w:t>.</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EA36FE" w:rsidRDefault="00EA36FE" w:rsidP="00EA36FE">
      <w:pPr>
        <w:pStyle w:val="Text"/>
      </w:pPr>
      <w:r w:rsidRPr="006C6033">
        <w:rPr>
          <w:lang w:val="en-US"/>
        </w:rPr>
        <w:t xml:space="preserve">The gas transport properties of polymers play an important role in many industrial and high-tech areas [1], such as packaging industry, membrane technologies, and biomedical engineering. Nowadays, despite the development of different effective polymeric membrane materials for various gas separation processes, the most available but less effective polymers such as cellulose acetate, </w:t>
      </w:r>
      <w:proofErr w:type="spellStart"/>
      <w:r w:rsidRPr="006C6033">
        <w:rPr>
          <w:lang w:val="en-US"/>
        </w:rPr>
        <w:t>polysulfones</w:t>
      </w:r>
      <w:proofErr w:type="spellEnd"/>
      <w:r w:rsidRPr="006C6033">
        <w:rPr>
          <w:lang w:val="en-US"/>
        </w:rPr>
        <w:t xml:space="preserve">, and </w:t>
      </w:r>
      <w:proofErr w:type="spellStart"/>
      <w:r w:rsidRPr="006C6033">
        <w:rPr>
          <w:lang w:val="en-US"/>
        </w:rPr>
        <w:t>polyimides</w:t>
      </w:r>
      <w:proofErr w:type="spellEnd"/>
      <w:r w:rsidRPr="006C6033">
        <w:rPr>
          <w:lang w:val="en-US"/>
        </w:rPr>
        <w:t xml:space="preserve">, are used in industry. At the same time, new polymeric materials are actively developed for potential use as selective layers in membrane processes, which combine a set of the required operational characteristics (gas separation selectivity, permeability, stability of properties over time, the possibility of simple synthesis from the available raw materials, </w:t>
      </w:r>
      <w:r w:rsidRPr="006C6033">
        <w:rPr>
          <w:i/>
          <w:iCs/>
          <w:lang w:val="en-US"/>
        </w:rPr>
        <w:t>etc.</w:t>
      </w:r>
      <w:r w:rsidRPr="006C6033">
        <w:rPr>
          <w:lang w:val="en-US"/>
        </w:rPr>
        <w:t xml:space="preserve">) </w:t>
      </w:r>
      <w:r>
        <w:t>[2–4].</w:t>
      </w:r>
    </w:p>
    <w:p w:rsidR="00EA36FE" w:rsidRPr="006C6033" w:rsidRDefault="00EA36FE" w:rsidP="00EA36FE">
      <w:pPr>
        <w:pStyle w:val="Text"/>
        <w:rPr>
          <w:lang w:val="en-US"/>
        </w:rPr>
      </w:pPr>
      <w:r w:rsidRPr="006C6033">
        <w:rPr>
          <w:lang w:val="en-US"/>
        </w:rPr>
        <w:t xml:space="preserve">A key element in the development of such materials is the ability to conduct systematic studies of the polymer properties and establish relationships between the structure of the polymer and its properties. Earlier it has been shown that </w:t>
      </w:r>
      <w:proofErr w:type="spellStart"/>
      <w:r w:rsidRPr="006C6033">
        <w:rPr>
          <w:lang w:val="en-US"/>
        </w:rPr>
        <w:t>norbornene</w:t>
      </w:r>
      <w:proofErr w:type="spellEnd"/>
      <w:r w:rsidRPr="006C6033">
        <w:rPr>
          <w:lang w:val="en-US"/>
        </w:rPr>
        <w:t xml:space="preserve"> derivatives represent a promising platform for the synthesis of a series of polymers with different structures of both the main chain and side </w:t>
      </w:r>
      <w:proofErr w:type="spellStart"/>
      <w:r w:rsidRPr="006C6033">
        <w:rPr>
          <w:lang w:val="en-US"/>
        </w:rPr>
        <w:t>substituents</w:t>
      </w:r>
      <w:proofErr w:type="spellEnd"/>
      <w:r w:rsidRPr="006C6033">
        <w:rPr>
          <w:lang w:val="en-US"/>
        </w:rPr>
        <w:t>, and a number of highly permeable membrane materials and polymers combining high selectivity relative to CO</w:t>
      </w:r>
      <w:r w:rsidRPr="006C6033">
        <w:rPr>
          <w:vertAlign w:val="subscript"/>
          <w:lang w:val="en-US"/>
        </w:rPr>
        <w:t>2</w:t>
      </w:r>
      <w:r w:rsidRPr="006C6033">
        <w:rPr>
          <w:lang w:val="en-US"/>
        </w:rPr>
        <w:t>-containing gas vapors have been synthesized on their basis.</w:t>
      </w:r>
    </w:p>
    <w:p w:rsidR="00EA36FE" w:rsidRPr="006C6033" w:rsidRDefault="00EA36FE" w:rsidP="00EA36FE">
      <w:pPr>
        <w:pStyle w:val="Text"/>
        <w:rPr>
          <w:lang w:val="en-US"/>
        </w:rPr>
      </w:pPr>
      <w:r w:rsidRPr="006C6033">
        <w:rPr>
          <w:lang w:val="en-US"/>
        </w:rPr>
        <w:t xml:space="preserve">In turn, </w:t>
      </w:r>
      <w:proofErr w:type="spellStart"/>
      <w:r w:rsidRPr="006C6033">
        <w:rPr>
          <w:lang w:val="en-US"/>
        </w:rPr>
        <w:t>terpenes</w:t>
      </w:r>
      <w:proofErr w:type="spellEnd"/>
      <w:r w:rsidRPr="006C6033">
        <w:rPr>
          <w:lang w:val="en-US"/>
        </w:rPr>
        <w:t xml:space="preserve"> are available natural organic compounds that are widely used in industry for the production of polymers. The production of polymers based on </w:t>
      </w:r>
      <w:proofErr w:type="spellStart"/>
      <w:r w:rsidRPr="006C6033">
        <w:rPr>
          <w:lang w:val="en-US"/>
        </w:rPr>
        <w:t>terpenes</w:t>
      </w:r>
      <w:proofErr w:type="spellEnd"/>
      <w:r w:rsidRPr="006C6033">
        <w:rPr>
          <w:lang w:val="en-US"/>
        </w:rPr>
        <w:t xml:space="preserve"> has a number of </w:t>
      </w:r>
      <w:r w:rsidRPr="006C6033">
        <w:rPr>
          <w:lang w:val="en-US"/>
        </w:rPr>
        <w:lastRenderedPageBreak/>
        <w:t>advantages and is highly urgent, since it allows for reducing the environmental impact and the amount of waste.</w:t>
      </w:r>
    </w:p>
    <w:p w:rsidR="00EA36FE" w:rsidRPr="006C6033" w:rsidRDefault="00EA36FE" w:rsidP="00EA36FE">
      <w:pPr>
        <w:pStyle w:val="Text"/>
        <w:rPr>
          <w:lang w:val="en-US"/>
        </w:rPr>
      </w:pPr>
      <w:r w:rsidRPr="006C6033">
        <w:rPr>
          <w:lang w:val="en-US"/>
        </w:rPr>
        <w:t xml:space="preserve">In this work, the gas transport properties of a polymer combining in its structure the fragments and advantages of both </w:t>
      </w:r>
      <w:proofErr w:type="spellStart"/>
      <w:r w:rsidRPr="006C6033">
        <w:rPr>
          <w:lang w:val="en-US"/>
        </w:rPr>
        <w:t>norbornene</w:t>
      </w:r>
      <w:proofErr w:type="spellEnd"/>
      <w:r w:rsidRPr="006C6033">
        <w:rPr>
          <w:lang w:val="en-US"/>
        </w:rPr>
        <w:t xml:space="preserve"> derivatives and </w:t>
      </w:r>
      <w:proofErr w:type="spellStart"/>
      <w:r w:rsidRPr="006C6033">
        <w:rPr>
          <w:lang w:val="en-US"/>
        </w:rPr>
        <w:t>terpenes</w:t>
      </w:r>
      <w:proofErr w:type="spellEnd"/>
      <w:r w:rsidRPr="006C6033">
        <w:rPr>
          <w:lang w:val="en-US"/>
        </w:rPr>
        <w:t xml:space="preserve"> were studied for the first time. In particular, the main chain of the studied polymer was formed by the </w:t>
      </w:r>
      <w:proofErr w:type="spellStart"/>
      <w:r w:rsidRPr="006C6033">
        <w:rPr>
          <w:lang w:val="en-US"/>
        </w:rPr>
        <w:t>norbornene</w:t>
      </w:r>
      <w:proofErr w:type="spellEnd"/>
      <w:r w:rsidRPr="006C6033">
        <w:rPr>
          <w:lang w:val="en-US"/>
        </w:rPr>
        <w:t xml:space="preserve"> units, while the side </w:t>
      </w:r>
      <w:proofErr w:type="spellStart"/>
      <w:r w:rsidRPr="006C6033">
        <w:rPr>
          <w:lang w:val="en-US"/>
        </w:rPr>
        <w:t>substituents</w:t>
      </w:r>
      <w:proofErr w:type="spellEnd"/>
      <w:r w:rsidRPr="006C6033">
        <w:rPr>
          <w:lang w:val="en-US"/>
        </w:rPr>
        <w:t xml:space="preserve"> contain the fragments of one of the most available </w:t>
      </w:r>
      <w:proofErr w:type="spellStart"/>
      <w:r w:rsidRPr="006C6033">
        <w:rPr>
          <w:lang w:val="en-US"/>
        </w:rPr>
        <w:t>terpenes</w:t>
      </w:r>
      <w:proofErr w:type="spellEnd"/>
      <w:r w:rsidRPr="006C6033">
        <w:rPr>
          <w:lang w:val="en-US"/>
        </w:rPr>
        <w:t xml:space="preserve">, namely, </w:t>
      </w:r>
      <w:r>
        <w:t>β</w:t>
      </w:r>
      <w:r w:rsidRPr="006C6033">
        <w:rPr>
          <w:lang w:val="en-US"/>
        </w:rPr>
        <w:t>-(–)-</w:t>
      </w:r>
      <w:proofErr w:type="spellStart"/>
      <w:r w:rsidRPr="006C6033">
        <w:rPr>
          <w:lang w:val="en-US"/>
        </w:rPr>
        <w:t>pinene</w:t>
      </w:r>
      <w:proofErr w:type="spellEnd"/>
      <w:r w:rsidRPr="006C6033">
        <w:rPr>
          <w:lang w:val="en-US"/>
        </w:rPr>
        <w:t>.</w:t>
      </w:r>
    </w:p>
    <w:p w:rsidR="00EA36FE" w:rsidRDefault="00EA36FE" w:rsidP="00EA36FE">
      <w:pPr>
        <w:pStyle w:val="MainHeader"/>
      </w:pPr>
      <w:r w:rsidRPr="00875175">
        <w:t>Results and discussion</w:t>
      </w:r>
    </w:p>
    <w:p w:rsidR="00EA36FE" w:rsidRDefault="00EA36FE" w:rsidP="00EA36FE">
      <w:pPr>
        <w:pStyle w:val="Text"/>
        <w:rPr>
          <w:lang w:val="en-US"/>
        </w:rPr>
      </w:pPr>
      <w:r w:rsidRPr="003E1CE8">
        <w:rPr>
          <w:lang w:val="en-US"/>
        </w:rPr>
        <w:t xml:space="preserve">A sample of </w:t>
      </w:r>
      <w:r>
        <w:rPr>
          <w:lang w:val="en-US"/>
        </w:rPr>
        <w:t>the</w:t>
      </w:r>
      <w:r w:rsidRPr="003E1CE8">
        <w:rPr>
          <w:lang w:val="en-US"/>
        </w:rPr>
        <w:t xml:space="preserve"> metathesis polymer based on </w:t>
      </w:r>
      <w:proofErr w:type="spellStart"/>
      <w:r w:rsidRPr="003E1CE8">
        <w:rPr>
          <w:lang w:val="en-US"/>
        </w:rPr>
        <w:t>nadimide</w:t>
      </w:r>
      <w:proofErr w:type="spellEnd"/>
      <w:r w:rsidRPr="003E1CE8">
        <w:rPr>
          <w:lang w:val="en-US"/>
        </w:rPr>
        <w:t xml:space="preserve"> containing β-(</w:t>
      </w:r>
      <w:r>
        <w:rPr>
          <w:lang w:val="en-US"/>
        </w:rPr>
        <w:t>–</w:t>
      </w:r>
      <w:r w:rsidRPr="003E1CE8">
        <w:rPr>
          <w:lang w:val="en-US"/>
        </w:rPr>
        <w:t>)-</w:t>
      </w:r>
      <w:proofErr w:type="spellStart"/>
      <w:r w:rsidRPr="003E1CE8">
        <w:rPr>
          <w:lang w:val="en-US"/>
        </w:rPr>
        <w:t>pinene</w:t>
      </w:r>
      <w:proofErr w:type="spellEnd"/>
      <w:r w:rsidRPr="003E1CE8">
        <w:rPr>
          <w:lang w:val="en-US"/>
        </w:rPr>
        <w:t xml:space="preserve"> fragments (</w:t>
      </w:r>
      <w:proofErr w:type="spellStart"/>
      <w:r w:rsidRPr="00A502F0">
        <w:rPr>
          <w:b/>
          <w:bCs/>
          <w:lang w:val="en-US"/>
        </w:rPr>
        <w:t>PNBpin</w:t>
      </w:r>
      <w:proofErr w:type="spellEnd"/>
      <w:r w:rsidRPr="003E1CE8">
        <w:rPr>
          <w:lang w:val="en-US"/>
        </w:rPr>
        <w:t xml:space="preserve">) was synthesized </w:t>
      </w:r>
      <w:r>
        <w:rPr>
          <w:lang w:val="en-US"/>
        </w:rPr>
        <w:t xml:space="preserve">by the </w:t>
      </w:r>
      <w:r w:rsidRPr="003E1CE8">
        <w:rPr>
          <w:lang w:val="en-US"/>
        </w:rPr>
        <w:t xml:space="preserve">previously described method in the presence of </w:t>
      </w:r>
      <w:r>
        <w:rPr>
          <w:lang w:val="en-US"/>
        </w:rPr>
        <w:t>the</w:t>
      </w:r>
      <w:r w:rsidRPr="003E1CE8">
        <w:rPr>
          <w:lang w:val="en-US"/>
        </w:rPr>
        <w:t xml:space="preserve"> first-generation Grubbs catalyst (Fig. 1) </w:t>
      </w:r>
      <w:r>
        <w:rPr>
          <w:lang w:val="en-US"/>
        </w:rPr>
        <w:t xml:space="preserve">[5]. </w:t>
      </w:r>
      <w:r w:rsidRPr="003E1CE8">
        <w:rPr>
          <w:lang w:val="en-US"/>
        </w:rPr>
        <w:t xml:space="preserve">The </w:t>
      </w:r>
      <w:r>
        <w:rPr>
          <w:lang w:val="en-US"/>
        </w:rPr>
        <w:t>resulting</w:t>
      </w:r>
      <w:r w:rsidRPr="003E1CE8">
        <w:rPr>
          <w:lang w:val="en-US"/>
        </w:rPr>
        <w:t xml:space="preserve"> polymer is high-molecular (</w:t>
      </w:r>
      <w:proofErr w:type="spellStart"/>
      <w:r w:rsidRPr="00A502F0">
        <w:rPr>
          <w:i/>
          <w:iCs/>
          <w:lang w:val="en-US"/>
        </w:rPr>
        <w:t>M</w:t>
      </w:r>
      <w:r w:rsidRPr="00A502F0">
        <w:rPr>
          <w:vertAlign w:val="subscript"/>
          <w:lang w:val="en-US"/>
        </w:rPr>
        <w:t>n</w:t>
      </w:r>
      <w:proofErr w:type="spellEnd"/>
      <w:r w:rsidRPr="003E1CE8">
        <w:rPr>
          <w:lang w:val="en-US"/>
        </w:rPr>
        <w:t xml:space="preserve"> = 9.6</w:t>
      </w:r>
      <w:r>
        <w:rPr>
          <w:lang w:val="en-US"/>
        </w:rPr>
        <w:t>·</w:t>
      </w:r>
      <w:r w:rsidRPr="003E1CE8">
        <w:rPr>
          <w:lang w:val="en-US"/>
        </w:rPr>
        <w:t>10</w:t>
      </w:r>
      <w:r w:rsidRPr="00A502F0">
        <w:rPr>
          <w:vertAlign w:val="superscript"/>
          <w:lang w:val="en-US"/>
        </w:rPr>
        <w:t>5</w:t>
      </w:r>
      <w:r w:rsidRPr="003E1CE8">
        <w:rPr>
          <w:lang w:val="en-US"/>
        </w:rPr>
        <w:t xml:space="preserve">, </w:t>
      </w:r>
      <w:r w:rsidRPr="00A502F0">
        <w:rPr>
          <w:i/>
          <w:iCs/>
          <w:lang w:val="en-US"/>
        </w:rPr>
        <w:t>M</w:t>
      </w:r>
      <w:r w:rsidRPr="00A502F0">
        <w:rPr>
          <w:vertAlign w:val="subscript"/>
          <w:lang w:val="en-US"/>
        </w:rPr>
        <w:t>w</w:t>
      </w:r>
      <w:r w:rsidRPr="003E1CE8">
        <w:rPr>
          <w:lang w:val="en-US"/>
        </w:rPr>
        <w:t>/</w:t>
      </w:r>
      <w:proofErr w:type="spellStart"/>
      <w:r w:rsidRPr="00A502F0">
        <w:rPr>
          <w:i/>
          <w:iCs/>
          <w:lang w:val="en-US"/>
        </w:rPr>
        <w:t>M</w:t>
      </w:r>
      <w:r w:rsidRPr="00A502F0">
        <w:rPr>
          <w:vertAlign w:val="subscript"/>
          <w:lang w:val="en-US"/>
        </w:rPr>
        <w:t>n</w:t>
      </w:r>
      <w:proofErr w:type="spellEnd"/>
      <w:r w:rsidRPr="003E1CE8">
        <w:rPr>
          <w:lang w:val="en-US"/>
        </w:rPr>
        <w:t xml:space="preserve"> = 3.0), glassy</w:t>
      </w:r>
      <w:r>
        <w:rPr>
          <w:lang w:val="en-US"/>
        </w:rPr>
        <w:t>,</w:t>
      </w:r>
      <w:r w:rsidRPr="003E1CE8">
        <w:rPr>
          <w:lang w:val="en-US"/>
        </w:rPr>
        <w:t xml:space="preserve"> and amorphous (Table 1).</w:t>
      </w:r>
    </w:p>
    <w:p w:rsidR="00EA36FE" w:rsidRPr="004166F1" w:rsidRDefault="00EA36FE" w:rsidP="00EA36FE">
      <w:pPr>
        <w:pStyle w:val="Illustration"/>
      </w:pPr>
    </w:p>
    <w:p w:rsidR="00EA36FE" w:rsidRDefault="00EA36FE" w:rsidP="00EA36FE">
      <w:pPr>
        <w:pStyle w:val="IllustrationDescription"/>
      </w:pPr>
      <w:proofErr w:type="gramStart"/>
      <w:r w:rsidRPr="00D472E8">
        <w:rPr>
          <w:b/>
        </w:rPr>
        <w:t>Figure 1.</w:t>
      </w:r>
      <w:proofErr w:type="gramEnd"/>
      <w:r>
        <w:t xml:space="preserve"> </w:t>
      </w:r>
      <w:proofErr w:type="gramStart"/>
      <w:r>
        <w:t xml:space="preserve">Structures of </w:t>
      </w:r>
      <w:proofErr w:type="spellStart"/>
      <w:r w:rsidRPr="00D472E8">
        <w:rPr>
          <w:b/>
        </w:rPr>
        <w:t>PNBpin</w:t>
      </w:r>
      <w:proofErr w:type="spellEnd"/>
      <w:r w:rsidRPr="00D472E8">
        <w:t xml:space="preserve"> </w:t>
      </w:r>
      <w:r>
        <w:t xml:space="preserve">and </w:t>
      </w:r>
      <w:r w:rsidRPr="00D472E8">
        <w:rPr>
          <w:b/>
        </w:rPr>
        <w:t>PNB</w:t>
      </w:r>
      <w:r w:rsidRPr="00D472E8">
        <w:t>.</w:t>
      </w:r>
      <w:proofErr w:type="gramEnd"/>
    </w:p>
    <w:p w:rsidR="00EA36FE" w:rsidRPr="006C6033" w:rsidRDefault="00EA36FE" w:rsidP="00EA36FE">
      <w:pPr>
        <w:pStyle w:val="TableDescription"/>
        <w:rPr>
          <w:lang w:val="en-US"/>
        </w:rPr>
      </w:pPr>
      <w:proofErr w:type="gramStart"/>
      <w:r w:rsidRPr="00EA36FE">
        <w:rPr>
          <w:b/>
          <w:color w:val="000000" w:themeColor="text1"/>
          <w:lang w:val="en-US"/>
        </w:rPr>
        <w:t>Table 1.</w:t>
      </w:r>
      <w:proofErr w:type="gramEnd"/>
      <w:r w:rsidRPr="005A4CD6">
        <w:rPr>
          <w:color w:val="000000" w:themeColor="text1"/>
          <w:lang w:val="en-US"/>
        </w:rPr>
        <w:t xml:space="preserve"> </w:t>
      </w:r>
      <w:r>
        <w:rPr>
          <w:color w:val="000000" w:themeColor="text1"/>
          <w:lang w:val="en-US"/>
        </w:rPr>
        <w:t>Sel</w:t>
      </w:r>
      <w:r w:rsidRPr="006C6033">
        <w:rPr>
          <w:lang w:val="en-US"/>
        </w:rPr>
        <w:t xml:space="preserve">ected basic properties of </w:t>
      </w:r>
      <w:proofErr w:type="spellStart"/>
      <w:r w:rsidRPr="006C6033">
        <w:rPr>
          <w:b/>
          <w:lang w:val="en-US"/>
        </w:rPr>
        <w:t>PNBpin</w:t>
      </w:r>
      <w:proofErr w:type="spellEnd"/>
      <w:r w:rsidRPr="006C6033">
        <w:rPr>
          <w:lang w:val="en-US"/>
        </w:rPr>
        <w:t xml:space="preserve"> in comparison with </w:t>
      </w:r>
      <w:r w:rsidRPr="006C6033">
        <w:rPr>
          <w:b/>
          <w:lang w:val="en-US"/>
        </w:rPr>
        <w:t>PNB</w:t>
      </w:r>
      <w:r w:rsidRPr="006C6033">
        <w:rPr>
          <w:lang w:val="en-US"/>
        </w:rPr>
        <w:t xml:space="preserve"> and </w:t>
      </w:r>
      <w:r w:rsidRPr="006C6033">
        <w:rPr>
          <w:b/>
          <w:lang w:val="en-US"/>
        </w:rPr>
        <w:t>CA</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
        <w:gridCol w:w="747"/>
        <w:gridCol w:w="747"/>
        <w:gridCol w:w="636"/>
        <w:gridCol w:w="945"/>
        <w:gridCol w:w="1718"/>
      </w:tblGrid>
      <w:tr w:rsidR="00EA36FE" w:rsidRPr="00507E07" w:rsidTr="00EA36FE">
        <w:trPr>
          <w:trHeight w:val="463"/>
          <w:jc w:val="center"/>
        </w:trPr>
        <w:tc>
          <w:tcPr>
            <w:tcW w:w="0" w:type="auto"/>
            <w:tcBorders>
              <w:top w:val="single" w:sz="4" w:space="0" w:color="auto"/>
              <w:bottom w:val="single" w:sz="4" w:space="0" w:color="auto"/>
            </w:tcBorders>
            <w:vAlign w:val="center"/>
          </w:tcPr>
          <w:p w:rsidR="00EA36FE" w:rsidRPr="00507E07" w:rsidRDefault="00EA36FE" w:rsidP="00EA36FE">
            <w:pPr>
              <w:pStyle w:val="ArticleTable"/>
            </w:pPr>
            <w:r w:rsidRPr="00507E07">
              <w:t>Polymer</w:t>
            </w:r>
          </w:p>
        </w:tc>
        <w:tc>
          <w:tcPr>
            <w:tcW w:w="0" w:type="auto"/>
            <w:tcBorders>
              <w:top w:val="single" w:sz="4" w:space="0" w:color="auto"/>
              <w:bottom w:val="single" w:sz="4" w:space="0" w:color="auto"/>
            </w:tcBorders>
            <w:vAlign w:val="center"/>
          </w:tcPr>
          <w:p w:rsidR="00EA36FE" w:rsidRPr="00507E07" w:rsidRDefault="00EA36FE" w:rsidP="00EA36FE">
            <w:pPr>
              <w:pStyle w:val="ArticleTable"/>
            </w:pPr>
            <w:proofErr w:type="spellStart"/>
            <w:r w:rsidRPr="00507E07">
              <w:rPr>
                <w:i/>
                <w:iCs/>
              </w:rPr>
              <w:t>T</w:t>
            </w:r>
            <w:r w:rsidRPr="00507E07">
              <w:rPr>
                <w:vertAlign w:val="subscript"/>
              </w:rPr>
              <w:t>g</w:t>
            </w:r>
            <w:proofErr w:type="spellEnd"/>
            <w:r w:rsidRPr="00507E07">
              <w:t>,</w:t>
            </w:r>
            <w:r>
              <w:t xml:space="preserve"> </w:t>
            </w:r>
            <w:r w:rsidRPr="00507E07">
              <w:t>°C</w:t>
            </w:r>
          </w:p>
        </w:tc>
        <w:tc>
          <w:tcPr>
            <w:tcW w:w="0" w:type="auto"/>
            <w:tcBorders>
              <w:top w:val="single" w:sz="4" w:space="0" w:color="auto"/>
              <w:bottom w:val="single" w:sz="4" w:space="0" w:color="auto"/>
            </w:tcBorders>
            <w:vAlign w:val="center"/>
          </w:tcPr>
          <w:p w:rsidR="00EA36FE" w:rsidRPr="00507E07" w:rsidRDefault="00EA36FE" w:rsidP="00EA36FE">
            <w:pPr>
              <w:pStyle w:val="ArticleTable"/>
            </w:pPr>
            <w:r w:rsidRPr="00507E07">
              <w:rPr>
                <w:i/>
                <w:iCs/>
              </w:rPr>
              <w:t>T</w:t>
            </w:r>
            <w:r w:rsidRPr="00507E07">
              <w:rPr>
                <w:vertAlign w:val="subscript"/>
              </w:rPr>
              <w:t>d</w:t>
            </w:r>
            <w:r w:rsidRPr="00507E07">
              <w:t>,</w:t>
            </w:r>
            <w:r>
              <w:t xml:space="preserve"> </w:t>
            </w:r>
            <w:r w:rsidRPr="00507E07">
              <w:t>°C</w:t>
            </w:r>
          </w:p>
        </w:tc>
        <w:tc>
          <w:tcPr>
            <w:tcW w:w="0" w:type="auto"/>
            <w:tcBorders>
              <w:top w:val="single" w:sz="4" w:space="0" w:color="auto"/>
              <w:bottom w:val="single" w:sz="4" w:space="0" w:color="auto"/>
            </w:tcBorders>
            <w:vAlign w:val="center"/>
          </w:tcPr>
          <w:p w:rsidR="00EA36FE" w:rsidRPr="00507E07" w:rsidRDefault="00EA36FE" w:rsidP="00EA36FE">
            <w:pPr>
              <w:pStyle w:val="ArticleTable"/>
            </w:pPr>
            <w:r w:rsidRPr="00507E07">
              <w:rPr>
                <w:i/>
                <w:iCs/>
              </w:rPr>
              <w:t>d</w:t>
            </w:r>
            <w:r w:rsidRPr="00507E07">
              <w:rPr>
                <w:vertAlign w:val="subscript"/>
              </w:rPr>
              <w:t>1</w:t>
            </w:r>
            <w:r w:rsidRPr="00507E07">
              <w:t xml:space="preserve">, </w:t>
            </w:r>
            <w:r w:rsidRPr="00507E07">
              <w:rPr>
                <w:rFonts w:ascii="Cambria Math" w:hAnsi="Cambria Math" w:cs="Cambria Math"/>
              </w:rPr>
              <w:t>Å</w:t>
            </w:r>
          </w:p>
        </w:tc>
        <w:tc>
          <w:tcPr>
            <w:tcW w:w="0" w:type="auto"/>
            <w:tcBorders>
              <w:top w:val="single" w:sz="4" w:space="0" w:color="auto"/>
              <w:bottom w:val="single" w:sz="4" w:space="0" w:color="auto"/>
            </w:tcBorders>
            <w:vAlign w:val="center"/>
          </w:tcPr>
          <w:p w:rsidR="00EA36FE" w:rsidRPr="00507E07" w:rsidRDefault="00EA36FE" w:rsidP="00EA36FE">
            <w:pPr>
              <w:pStyle w:val="ArticleTable"/>
            </w:pPr>
            <w:r w:rsidRPr="00507E07">
              <w:rPr>
                <w:i/>
                <w:iCs/>
              </w:rPr>
              <w:t>d</w:t>
            </w:r>
            <w:r w:rsidRPr="00507E07">
              <w:t>,</w:t>
            </w:r>
            <w:r>
              <w:t xml:space="preserve"> </w:t>
            </w:r>
            <w:r w:rsidRPr="00507E07">
              <w:t>g/cm</w:t>
            </w:r>
            <w:r w:rsidRPr="00507E07">
              <w:rPr>
                <w:vertAlign w:val="superscript"/>
              </w:rPr>
              <w:t>3</w:t>
            </w:r>
          </w:p>
        </w:tc>
        <w:tc>
          <w:tcPr>
            <w:tcW w:w="0" w:type="auto"/>
            <w:tcBorders>
              <w:top w:val="single" w:sz="4" w:space="0" w:color="auto"/>
              <w:bottom w:val="single" w:sz="4" w:space="0" w:color="auto"/>
            </w:tcBorders>
            <w:vAlign w:val="center"/>
          </w:tcPr>
          <w:p w:rsidR="00EA36FE" w:rsidRPr="00507E07" w:rsidRDefault="00EA36FE" w:rsidP="00EA36FE">
            <w:pPr>
              <w:pStyle w:val="ArticleTable"/>
            </w:pPr>
            <w:r w:rsidRPr="00507E07">
              <w:t>FFV, %</w:t>
            </w:r>
          </w:p>
        </w:tc>
      </w:tr>
      <w:tr w:rsidR="00EA36FE" w:rsidRPr="00507E07" w:rsidTr="00EA36FE">
        <w:trPr>
          <w:trHeight w:val="227"/>
          <w:jc w:val="center"/>
        </w:trPr>
        <w:tc>
          <w:tcPr>
            <w:tcW w:w="0" w:type="auto"/>
            <w:tcBorders>
              <w:top w:val="single" w:sz="4" w:space="0" w:color="auto"/>
            </w:tcBorders>
            <w:vAlign w:val="center"/>
          </w:tcPr>
          <w:p w:rsidR="00EA36FE" w:rsidRPr="00507E07" w:rsidRDefault="00EA36FE" w:rsidP="00EA36FE">
            <w:pPr>
              <w:pStyle w:val="ArticleTable"/>
              <w:rPr>
                <w:b/>
              </w:rPr>
            </w:pPr>
            <w:proofErr w:type="spellStart"/>
            <w:r w:rsidRPr="00507E07">
              <w:rPr>
                <w:b/>
              </w:rPr>
              <w:t>PNBpin</w:t>
            </w:r>
            <w:proofErr w:type="spellEnd"/>
          </w:p>
        </w:tc>
        <w:tc>
          <w:tcPr>
            <w:tcW w:w="0" w:type="auto"/>
            <w:tcBorders>
              <w:top w:val="single" w:sz="4" w:space="0" w:color="auto"/>
            </w:tcBorders>
            <w:vAlign w:val="center"/>
          </w:tcPr>
          <w:p w:rsidR="00EA36FE" w:rsidRPr="00507E07" w:rsidRDefault="00EA36FE" w:rsidP="00EA36FE">
            <w:pPr>
              <w:pStyle w:val="ArticleTable"/>
            </w:pPr>
            <w:r w:rsidRPr="00507E07">
              <w:t>188</w:t>
            </w:r>
          </w:p>
        </w:tc>
        <w:tc>
          <w:tcPr>
            <w:tcW w:w="0" w:type="auto"/>
            <w:tcBorders>
              <w:top w:val="single" w:sz="4" w:space="0" w:color="auto"/>
            </w:tcBorders>
            <w:vAlign w:val="center"/>
          </w:tcPr>
          <w:p w:rsidR="00EA36FE" w:rsidRPr="00507E07" w:rsidRDefault="00EA36FE" w:rsidP="00EA36FE">
            <w:pPr>
              <w:pStyle w:val="ArticleTable"/>
            </w:pPr>
            <w:r w:rsidRPr="00507E07">
              <w:t>405</w:t>
            </w:r>
          </w:p>
        </w:tc>
        <w:tc>
          <w:tcPr>
            <w:tcW w:w="0" w:type="auto"/>
            <w:tcBorders>
              <w:top w:val="single" w:sz="4" w:space="0" w:color="auto"/>
            </w:tcBorders>
            <w:vAlign w:val="center"/>
          </w:tcPr>
          <w:p w:rsidR="00EA36FE" w:rsidRPr="00507E07" w:rsidRDefault="00EA36FE" w:rsidP="00EA36FE">
            <w:pPr>
              <w:pStyle w:val="ArticleTable"/>
            </w:pPr>
            <w:r w:rsidRPr="00507E07">
              <w:t>5.4</w:t>
            </w:r>
          </w:p>
        </w:tc>
        <w:tc>
          <w:tcPr>
            <w:tcW w:w="0" w:type="auto"/>
            <w:tcBorders>
              <w:top w:val="single" w:sz="4" w:space="0" w:color="auto"/>
            </w:tcBorders>
            <w:vAlign w:val="center"/>
          </w:tcPr>
          <w:p w:rsidR="00EA36FE" w:rsidRPr="00507E07" w:rsidRDefault="00EA36FE" w:rsidP="00EA36FE">
            <w:pPr>
              <w:pStyle w:val="ArticleTable"/>
            </w:pPr>
            <w:r w:rsidRPr="00507E07">
              <w:t>1.179</w:t>
            </w:r>
          </w:p>
        </w:tc>
        <w:tc>
          <w:tcPr>
            <w:tcW w:w="0" w:type="auto"/>
            <w:tcBorders>
              <w:top w:val="single" w:sz="4" w:space="0" w:color="auto"/>
            </w:tcBorders>
            <w:vAlign w:val="center"/>
          </w:tcPr>
          <w:p w:rsidR="00EA36FE" w:rsidRPr="00507E07" w:rsidRDefault="00EA36FE" w:rsidP="00EA36FE">
            <w:pPr>
              <w:pStyle w:val="ArticleTable"/>
            </w:pPr>
            <w:r w:rsidRPr="00507E07">
              <w:t>13</w:t>
            </w:r>
          </w:p>
        </w:tc>
      </w:tr>
      <w:tr w:rsidR="00EA36FE" w:rsidRPr="00507E07" w:rsidTr="00EA36FE">
        <w:trPr>
          <w:trHeight w:val="227"/>
          <w:jc w:val="center"/>
        </w:trPr>
        <w:tc>
          <w:tcPr>
            <w:tcW w:w="0" w:type="auto"/>
            <w:vAlign w:val="center"/>
          </w:tcPr>
          <w:p w:rsidR="00EA36FE" w:rsidRPr="00507E07" w:rsidRDefault="00EA36FE" w:rsidP="00EA36FE">
            <w:pPr>
              <w:pStyle w:val="ArticleTable"/>
            </w:pPr>
            <w:r w:rsidRPr="00507E07">
              <w:rPr>
                <w:b/>
              </w:rPr>
              <w:t>PNB</w:t>
            </w:r>
            <w:r w:rsidRPr="00507E07">
              <w:t xml:space="preserve"> [6]</w:t>
            </w:r>
          </w:p>
        </w:tc>
        <w:tc>
          <w:tcPr>
            <w:tcW w:w="0" w:type="auto"/>
            <w:vAlign w:val="center"/>
          </w:tcPr>
          <w:p w:rsidR="00EA36FE" w:rsidRPr="00507E07" w:rsidRDefault="00EA36FE" w:rsidP="00EA36FE">
            <w:pPr>
              <w:pStyle w:val="ArticleTable"/>
            </w:pPr>
            <w:r w:rsidRPr="00507E07">
              <w:t>41</w:t>
            </w:r>
          </w:p>
        </w:tc>
        <w:tc>
          <w:tcPr>
            <w:tcW w:w="0" w:type="auto"/>
            <w:vAlign w:val="center"/>
          </w:tcPr>
          <w:p w:rsidR="00EA36FE" w:rsidRPr="00507E07" w:rsidRDefault="00EA36FE" w:rsidP="00EA36FE">
            <w:pPr>
              <w:pStyle w:val="ArticleTable"/>
            </w:pPr>
            <w:r w:rsidRPr="00507E07">
              <w:t>415</w:t>
            </w:r>
          </w:p>
        </w:tc>
        <w:tc>
          <w:tcPr>
            <w:tcW w:w="0" w:type="auto"/>
            <w:vAlign w:val="center"/>
          </w:tcPr>
          <w:p w:rsidR="00EA36FE" w:rsidRPr="00507E07" w:rsidRDefault="00EA36FE" w:rsidP="00EA36FE">
            <w:pPr>
              <w:pStyle w:val="ArticleTable"/>
            </w:pPr>
            <w:r w:rsidRPr="00507E07">
              <w:t>4.9</w:t>
            </w:r>
          </w:p>
        </w:tc>
        <w:tc>
          <w:tcPr>
            <w:tcW w:w="0" w:type="auto"/>
            <w:vAlign w:val="center"/>
          </w:tcPr>
          <w:p w:rsidR="00EA36FE" w:rsidRPr="00507E07" w:rsidRDefault="00EA36FE" w:rsidP="00EA36FE">
            <w:pPr>
              <w:pStyle w:val="ArticleTable"/>
            </w:pPr>
            <w:r w:rsidRPr="00507E07">
              <w:t>0.999</w:t>
            </w:r>
          </w:p>
        </w:tc>
        <w:tc>
          <w:tcPr>
            <w:tcW w:w="0" w:type="auto"/>
            <w:vAlign w:val="center"/>
          </w:tcPr>
          <w:p w:rsidR="00EA36FE" w:rsidRPr="00507E07" w:rsidRDefault="00EA36FE" w:rsidP="00EA36FE">
            <w:pPr>
              <w:pStyle w:val="ArticleTable"/>
            </w:pPr>
            <w:r w:rsidRPr="00507E07">
              <w:t>15</w:t>
            </w:r>
          </w:p>
        </w:tc>
      </w:tr>
      <w:tr w:rsidR="00EA36FE" w:rsidRPr="00507E07" w:rsidTr="00EA36FE">
        <w:trPr>
          <w:trHeight w:val="227"/>
          <w:jc w:val="center"/>
        </w:trPr>
        <w:tc>
          <w:tcPr>
            <w:tcW w:w="0" w:type="auto"/>
            <w:tcBorders>
              <w:bottom w:val="single" w:sz="4" w:space="0" w:color="auto"/>
            </w:tcBorders>
            <w:vAlign w:val="center"/>
          </w:tcPr>
          <w:p w:rsidR="00EA36FE" w:rsidRPr="00507E07" w:rsidRDefault="00EA36FE" w:rsidP="00EA36FE">
            <w:pPr>
              <w:pStyle w:val="ArticleTable"/>
              <w:rPr>
                <w:b/>
              </w:rPr>
            </w:pPr>
            <w:r w:rsidRPr="00507E07">
              <w:rPr>
                <w:b/>
              </w:rPr>
              <w:t>CA</w:t>
            </w:r>
            <w:r w:rsidRPr="00507E07">
              <w:rPr>
                <w:bCs/>
              </w:rPr>
              <w:t xml:space="preserve"> [7]</w:t>
            </w:r>
          </w:p>
        </w:tc>
        <w:tc>
          <w:tcPr>
            <w:tcW w:w="0" w:type="auto"/>
            <w:tcBorders>
              <w:bottom w:val="single" w:sz="4" w:space="0" w:color="auto"/>
            </w:tcBorders>
            <w:vAlign w:val="center"/>
          </w:tcPr>
          <w:p w:rsidR="00EA36FE" w:rsidRPr="00507E07" w:rsidRDefault="00EA36FE" w:rsidP="00EA36FE">
            <w:pPr>
              <w:pStyle w:val="ArticleTable"/>
            </w:pPr>
            <w:r w:rsidRPr="00507E07">
              <w:t>186</w:t>
            </w:r>
          </w:p>
        </w:tc>
        <w:tc>
          <w:tcPr>
            <w:tcW w:w="0" w:type="auto"/>
            <w:tcBorders>
              <w:bottom w:val="single" w:sz="4" w:space="0" w:color="auto"/>
            </w:tcBorders>
            <w:vAlign w:val="center"/>
          </w:tcPr>
          <w:p w:rsidR="00EA36FE" w:rsidRPr="00507E07" w:rsidRDefault="00EA36FE" w:rsidP="00EA36FE">
            <w:pPr>
              <w:pStyle w:val="ArticleTable"/>
            </w:pPr>
            <w:r w:rsidRPr="00507E07">
              <w:t>–</w:t>
            </w:r>
          </w:p>
        </w:tc>
        <w:tc>
          <w:tcPr>
            <w:tcW w:w="0" w:type="auto"/>
            <w:tcBorders>
              <w:bottom w:val="single" w:sz="4" w:space="0" w:color="auto"/>
            </w:tcBorders>
            <w:vAlign w:val="center"/>
          </w:tcPr>
          <w:p w:rsidR="00EA36FE" w:rsidRPr="00507E07" w:rsidRDefault="00EA36FE" w:rsidP="00EA36FE">
            <w:pPr>
              <w:pStyle w:val="ArticleTable"/>
            </w:pPr>
            <w:r w:rsidRPr="00507E07">
              <w:t>5.2</w:t>
            </w:r>
          </w:p>
        </w:tc>
        <w:tc>
          <w:tcPr>
            <w:tcW w:w="0" w:type="auto"/>
            <w:tcBorders>
              <w:bottom w:val="single" w:sz="4" w:space="0" w:color="auto"/>
            </w:tcBorders>
            <w:vAlign w:val="center"/>
          </w:tcPr>
          <w:p w:rsidR="00EA36FE" w:rsidRPr="00507E07" w:rsidRDefault="00EA36FE" w:rsidP="00EA36FE">
            <w:pPr>
              <w:pStyle w:val="ArticleTable"/>
            </w:pPr>
            <w:r w:rsidRPr="00507E07">
              <w:rPr>
                <w:lang w:eastAsia="ru-RU"/>
              </w:rPr>
              <w:t>1.300</w:t>
            </w:r>
          </w:p>
        </w:tc>
        <w:tc>
          <w:tcPr>
            <w:tcW w:w="0" w:type="auto"/>
            <w:tcBorders>
              <w:bottom w:val="single" w:sz="4" w:space="0" w:color="auto"/>
            </w:tcBorders>
            <w:vAlign w:val="center"/>
          </w:tcPr>
          <w:p w:rsidR="00EA36FE" w:rsidRPr="00507E07" w:rsidRDefault="00EA36FE" w:rsidP="00EA36FE">
            <w:pPr>
              <w:pStyle w:val="ArticleTable"/>
            </w:pPr>
            <w:r w:rsidRPr="00507E07">
              <w:t>14.7–16.1 [8–10]</w:t>
            </w:r>
          </w:p>
        </w:tc>
      </w:tr>
    </w:tbl>
    <w:p w:rsidR="00EA36FE" w:rsidRDefault="00EA36FE" w:rsidP="00C8338A">
      <w:pPr>
        <w:pStyle w:val="Text"/>
        <w:spacing w:before="200"/>
        <w:rPr>
          <w:lang w:val="en-US"/>
        </w:rPr>
      </w:pPr>
      <w:r w:rsidRPr="00F4668A">
        <w:rPr>
          <w:lang w:val="en-US"/>
        </w:rPr>
        <w:t xml:space="preserve">The glass transition temperature of </w:t>
      </w:r>
      <w:proofErr w:type="spellStart"/>
      <w:r w:rsidRPr="00F858C6">
        <w:rPr>
          <w:b/>
          <w:bCs/>
          <w:lang w:val="en-US"/>
        </w:rPr>
        <w:t>PNBpin</w:t>
      </w:r>
      <w:proofErr w:type="spellEnd"/>
      <w:r w:rsidRPr="00F4668A">
        <w:rPr>
          <w:lang w:val="en-US"/>
        </w:rPr>
        <w:t xml:space="preserve"> </w:t>
      </w:r>
      <w:r>
        <w:rPr>
          <w:lang w:val="en-US"/>
        </w:rPr>
        <w:t>wa</w:t>
      </w:r>
      <w:r w:rsidRPr="00F4668A">
        <w:rPr>
          <w:lang w:val="en-US"/>
        </w:rPr>
        <w:t xml:space="preserve">s significantly higher </w:t>
      </w:r>
      <w:r>
        <w:rPr>
          <w:lang w:val="en-US"/>
        </w:rPr>
        <w:t xml:space="preserve">than that of </w:t>
      </w:r>
      <w:r w:rsidRPr="00F4668A">
        <w:rPr>
          <w:lang w:val="en-US"/>
        </w:rPr>
        <w:t xml:space="preserve">the related </w:t>
      </w:r>
      <w:proofErr w:type="spellStart"/>
      <w:r w:rsidRPr="00F4668A">
        <w:rPr>
          <w:lang w:val="en-US"/>
        </w:rPr>
        <w:t>unsubstituted</w:t>
      </w:r>
      <w:proofErr w:type="spellEnd"/>
      <w:r>
        <w:rPr>
          <w:lang w:val="en-US"/>
        </w:rPr>
        <w:t xml:space="preserve"> </w:t>
      </w:r>
      <w:r w:rsidRPr="00F4668A">
        <w:rPr>
          <w:lang w:val="en-US"/>
        </w:rPr>
        <w:t xml:space="preserve">metathesis </w:t>
      </w:r>
      <w:proofErr w:type="spellStart"/>
      <w:r w:rsidRPr="00F4668A">
        <w:rPr>
          <w:lang w:val="en-US"/>
        </w:rPr>
        <w:t>polynorbornene</w:t>
      </w:r>
      <w:proofErr w:type="spellEnd"/>
      <w:r w:rsidRPr="00F4668A">
        <w:rPr>
          <w:lang w:val="en-US"/>
        </w:rPr>
        <w:t xml:space="preserve"> (</w:t>
      </w:r>
      <w:r w:rsidRPr="00F858C6">
        <w:rPr>
          <w:b/>
          <w:bCs/>
          <w:lang w:val="en-US"/>
        </w:rPr>
        <w:t>PNB</w:t>
      </w:r>
      <w:r w:rsidRPr="00F4668A">
        <w:rPr>
          <w:lang w:val="en-US"/>
        </w:rPr>
        <w:t xml:space="preserve">, Fig. 1, </w:t>
      </w:r>
      <w:proofErr w:type="gramStart"/>
      <w:r w:rsidRPr="00F4668A">
        <w:rPr>
          <w:lang w:val="en-US"/>
        </w:rPr>
        <w:t>Table</w:t>
      </w:r>
      <w:proofErr w:type="gramEnd"/>
      <w:r w:rsidRPr="00F4668A">
        <w:rPr>
          <w:lang w:val="en-US"/>
        </w:rPr>
        <w:t xml:space="preserve"> 1) and </w:t>
      </w:r>
      <w:r>
        <w:rPr>
          <w:lang w:val="en-US"/>
        </w:rPr>
        <w:t>wa</w:t>
      </w:r>
      <w:r w:rsidRPr="00F4668A">
        <w:rPr>
          <w:lang w:val="en-US"/>
        </w:rPr>
        <w:t>s close to the glass transition temperature of cellulose acetate</w:t>
      </w:r>
      <w:r w:rsidRPr="00F858C6">
        <w:rPr>
          <w:lang w:val="en-US"/>
        </w:rPr>
        <w:t xml:space="preserve"> </w:t>
      </w:r>
      <w:r w:rsidRPr="00F4668A">
        <w:rPr>
          <w:lang w:val="en-US"/>
        </w:rPr>
        <w:t>(</w:t>
      </w:r>
      <w:r w:rsidRPr="00F858C6">
        <w:rPr>
          <w:b/>
          <w:bCs/>
          <w:lang w:val="en-US"/>
        </w:rPr>
        <w:t>CA</w:t>
      </w:r>
      <w:r w:rsidRPr="00F4668A">
        <w:rPr>
          <w:lang w:val="en-US"/>
        </w:rPr>
        <w:t>)</w:t>
      </w:r>
      <w:r>
        <w:rPr>
          <w:lang w:val="en-US"/>
        </w:rPr>
        <w:t>,</w:t>
      </w:r>
      <w:r w:rsidRPr="00F4668A">
        <w:rPr>
          <w:lang w:val="en-US"/>
        </w:rPr>
        <w:t xml:space="preserve"> an industrial polymer</w:t>
      </w:r>
      <w:r>
        <w:rPr>
          <w:lang w:val="en-US"/>
        </w:rPr>
        <w:t>ic</w:t>
      </w:r>
      <w:r w:rsidRPr="00F4668A">
        <w:rPr>
          <w:lang w:val="en-US"/>
        </w:rPr>
        <w:t xml:space="preserve"> membrane material. At the same time, for all three polymers, the </w:t>
      </w:r>
      <w:r w:rsidRPr="00F858C6">
        <w:rPr>
          <w:i/>
          <w:iCs/>
          <w:lang w:val="en-US"/>
        </w:rPr>
        <w:t>d</w:t>
      </w:r>
      <w:r w:rsidRPr="00F4668A">
        <w:rPr>
          <w:lang w:val="en-US"/>
        </w:rPr>
        <w:t>-distances (</w:t>
      </w:r>
      <w:r w:rsidRPr="00F858C6">
        <w:rPr>
          <w:i/>
          <w:iCs/>
          <w:lang w:val="en-US"/>
        </w:rPr>
        <w:t>d</w:t>
      </w:r>
      <w:r w:rsidRPr="00F858C6">
        <w:rPr>
          <w:vertAlign w:val="subscript"/>
          <w:lang w:val="en-US"/>
        </w:rPr>
        <w:t>1</w:t>
      </w:r>
      <w:r w:rsidRPr="00F4668A">
        <w:rPr>
          <w:lang w:val="en-US"/>
        </w:rPr>
        <w:t xml:space="preserve">, Table 1), estimated from the X-ray </w:t>
      </w:r>
      <w:r>
        <w:rPr>
          <w:lang w:val="en-US"/>
        </w:rPr>
        <w:t>diffraction</w:t>
      </w:r>
      <w:r w:rsidRPr="00F4668A">
        <w:rPr>
          <w:lang w:val="en-US"/>
        </w:rPr>
        <w:t xml:space="preserve"> data, and the fractions of free volume (FFV), calculated </w:t>
      </w:r>
      <w:r>
        <w:rPr>
          <w:lang w:val="en-US"/>
        </w:rPr>
        <w:t>based on</w:t>
      </w:r>
      <w:r w:rsidRPr="00F4668A">
        <w:rPr>
          <w:lang w:val="en-US"/>
        </w:rPr>
        <w:t xml:space="preserve"> the polymer density and the volume occupied by the polymer molecules, </w:t>
      </w:r>
      <w:r>
        <w:rPr>
          <w:lang w:val="en-US"/>
        </w:rPr>
        <w:t>we</w:t>
      </w:r>
      <w:r w:rsidRPr="00F4668A">
        <w:rPr>
          <w:lang w:val="en-US"/>
        </w:rPr>
        <w:t>re very close.</w:t>
      </w:r>
    </w:p>
    <w:p w:rsidR="00EA36FE" w:rsidRDefault="00EA36FE" w:rsidP="00EA36FE">
      <w:pPr>
        <w:pStyle w:val="Text"/>
        <w:rPr>
          <w:lang w:val="en-US"/>
        </w:rPr>
      </w:pPr>
      <w:r>
        <w:rPr>
          <w:lang w:val="en-US"/>
        </w:rPr>
        <w:t>The p</w:t>
      </w:r>
      <w:r w:rsidRPr="00A65ABE">
        <w:rPr>
          <w:lang w:val="en-US"/>
        </w:rPr>
        <w:t xml:space="preserve">ermeability through </w:t>
      </w:r>
      <w:proofErr w:type="spellStart"/>
      <w:r w:rsidRPr="00F858C6">
        <w:rPr>
          <w:b/>
          <w:bCs/>
          <w:lang w:val="en-US"/>
        </w:rPr>
        <w:t>PNBpin</w:t>
      </w:r>
      <w:proofErr w:type="spellEnd"/>
      <w:r w:rsidRPr="00A65ABE">
        <w:rPr>
          <w:lang w:val="en-US"/>
        </w:rPr>
        <w:t xml:space="preserve"> was investigated for a </w:t>
      </w:r>
      <w:r>
        <w:rPr>
          <w:lang w:val="en-US"/>
        </w:rPr>
        <w:t>range</w:t>
      </w:r>
      <w:r w:rsidRPr="00A65ABE">
        <w:rPr>
          <w:lang w:val="en-US"/>
        </w:rPr>
        <w:t xml:space="preserve"> of gases (He, H</w:t>
      </w:r>
      <w:r w:rsidRPr="004B7555">
        <w:rPr>
          <w:vertAlign w:val="subscript"/>
          <w:lang w:val="en-US"/>
        </w:rPr>
        <w:t>2</w:t>
      </w:r>
      <w:r w:rsidRPr="00A65ABE">
        <w:rPr>
          <w:lang w:val="en-US"/>
        </w:rPr>
        <w:t>, N</w:t>
      </w:r>
      <w:r w:rsidRPr="004B7555">
        <w:rPr>
          <w:vertAlign w:val="subscript"/>
          <w:lang w:val="en-US"/>
        </w:rPr>
        <w:t>2</w:t>
      </w:r>
      <w:r w:rsidRPr="00A65ABE">
        <w:rPr>
          <w:lang w:val="en-US"/>
        </w:rPr>
        <w:t>, O</w:t>
      </w:r>
      <w:r w:rsidRPr="004B7555">
        <w:rPr>
          <w:vertAlign w:val="subscript"/>
          <w:lang w:val="en-US"/>
        </w:rPr>
        <w:t>2</w:t>
      </w:r>
      <w:r w:rsidRPr="00A65ABE">
        <w:rPr>
          <w:lang w:val="en-US"/>
        </w:rPr>
        <w:t>, CO</w:t>
      </w:r>
      <w:r w:rsidRPr="004B7555">
        <w:rPr>
          <w:vertAlign w:val="subscript"/>
          <w:lang w:val="en-US"/>
        </w:rPr>
        <w:t>2</w:t>
      </w:r>
      <w:r w:rsidRPr="00A65ABE">
        <w:rPr>
          <w:lang w:val="en-US"/>
        </w:rPr>
        <w:t xml:space="preserve">, </w:t>
      </w:r>
      <w:proofErr w:type="gramStart"/>
      <w:r w:rsidRPr="00A65ABE">
        <w:rPr>
          <w:lang w:val="en-US"/>
        </w:rPr>
        <w:t>CH</w:t>
      </w:r>
      <w:r w:rsidRPr="004B7555">
        <w:rPr>
          <w:vertAlign w:val="subscript"/>
          <w:lang w:val="en-US"/>
        </w:rPr>
        <w:t>4</w:t>
      </w:r>
      <w:proofErr w:type="gramEnd"/>
      <w:r w:rsidRPr="00A65ABE">
        <w:rPr>
          <w:lang w:val="en-US"/>
        </w:rPr>
        <w:t xml:space="preserve">). The </w:t>
      </w:r>
      <w:r>
        <w:rPr>
          <w:lang w:val="en-US"/>
        </w:rPr>
        <w:t xml:space="preserve">resulting </w:t>
      </w:r>
      <w:r w:rsidRPr="00A65ABE">
        <w:rPr>
          <w:lang w:val="en-US"/>
        </w:rPr>
        <w:t xml:space="preserve">values of gas permeability coefficients, </w:t>
      </w:r>
      <w:proofErr w:type="spellStart"/>
      <w:r w:rsidRPr="00A65ABE">
        <w:rPr>
          <w:lang w:val="en-US"/>
        </w:rPr>
        <w:t>selectivities</w:t>
      </w:r>
      <w:proofErr w:type="spellEnd"/>
      <w:r w:rsidRPr="00A65ABE">
        <w:rPr>
          <w:lang w:val="en-US"/>
        </w:rPr>
        <w:t xml:space="preserve">, as well as diffusion and solubility coefficients are given in Tables 2 and 3. For </w:t>
      </w:r>
      <w:proofErr w:type="spellStart"/>
      <w:r w:rsidRPr="004B7555">
        <w:rPr>
          <w:b/>
          <w:bCs/>
          <w:lang w:val="en-US"/>
        </w:rPr>
        <w:t>PNBpin</w:t>
      </w:r>
      <w:proofErr w:type="spellEnd"/>
      <w:r w:rsidRPr="00A65ABE">
        <w:rPr>
          <w:lang w:val="en-US"/>
        </w:rPr>
        <w:t xml:space="preserve">, the following series of gas permeability coefficients </w:t>
      </w:r>
      <w:r>
        <w:rPr>
          <w:lang w:val="en-US"/>
        </w:rPr>
        <w:t>was</w:t>
      </w:r>
      <w:r w:rsidRPr="00A65ABE">
        <w:rPr>
          <w:lang w:val="en-US"/>
        </w:rPr>
        <w:t xml:space="preserve"> observed: </w:t>
      </w:r>
      <w:proofErr w:type="gramStart"/>
      <w:r w:rsidRPr="004B7555">
        <w:rPr>
          <w:i/>
          <w:iCs/>
          <w:lang w:val="en-US"/>
        </w:rPr>
        <w:t>P</w:t>
      </w:r>
      <w:r w:rsidRPr="00A65ABE">
        <w:rPr>
          <w:lang w:val="en-US"/>
        </w:rPr>
        <w:t>(</w:t>
      </w:r>
      <w:proofErr w:type="gramEnd"/>
      <w:r w:rsidRPr="00A65ABE">
        <w:rPr>
          <w:lang w:val="en-US"/>
        </w:rPr>
        <w:t>H</w:t>
      </w:r>
      <w:r w:rsidRPr="004B7555">
        <w:rPr>
          <w:vertAlign w:val="subscript"/>
          <w:lang w:val="en-US"/>
        </w:rPr>
        <w:t>2</w:t>
      </w:r>
      <w:r w:rsidRPr="00A65ABE">
        <w:rPr>
          <w:lang w:val="en-US"/>
        </w:rPr>
        <w:t>)</w:t>
      </w:r>
      <w:r>
        <w:rPr>
          <w:lang w:val="en-US"/>
        </w:rPr>
        <w:t xml:space="preserve"> </w:t>
      </w:r>
      <w:r w:rsidRPr="00A65ABE">
        <w:rPr>
          <w:lang w:val="en-US"/>
        </w:rPr>
        <w:t>~</w:t>
      </w:r>
      <w:r>
        <w:rPr>
          <w:lang w:val="en-US"/>
        </w:rPr>
        <w:t xml:space="preserve"> </w:t>
      </w:r>
      <w:r w:rsidRPr="004B7555">
        <w:rPr>
          <w:i/>
          <w:iCs/>
          <w:lang w:val="en-US"/>
        </w:rPr>
        <w:t>P</w:t>
      </w:r>
      <w:r w:rsidRPr="00A65ABE">
        <w:rPr>
          <w:lang w:val="en-US"/>
        </w:rPr>
        <w:t>(He)</w:t>
      </w:r>
      <w:r>
        <w:rPr>
          <w:lang w:val="en-US"/>
        </w:rPr>
        <w:t xml:space="preserve"> </w:t>
      </w:r>
      <w:r w:rsidRPr="00A65ABE">
        <w:rPr>
          <w:lang w:val="en-US"/>
        </w:rPr>
        <w:t>&gt;</w:t>
      </w:r>
      <w:r>
        <w:rPr>
          <w:lang w:val="en-US"/>
        </w:rPr>
        <w:t xml:space="preserve"> </w:t>
      </w:r>
      <w:r w:rsidRPr="004B7555">
        <w:rPr>
          <w:i/>
          <w:iCs/>
          <w:lang w:val="en-US"/>
        </w:rPr>
        <w:t>P</w:t>
      </w:r>
      <w:r w:rsidRPr="00A65ABE">
        <w:rPr>
          <w:lang w:val="en-US"/>
        </w:rPr>
        <w:t>(CO</w:t>
      </w:r>
      <w:r w:rsidRPr="004B7555">
        <w:rPr>
          <w:vertAlign w:val="subscript"/>
          <w:lang w:val="en-US"/>
        </w:rPr>
        <w:t>2</w:t>
      </w:r>
      <w:r w:rsidRPr="00A65ABE">
        <w:rPr>
          <w:lang w:val="en-US"/>
        </w:rPr>
        <w:t>)</w:t>
      </w:r>
      <w:r>
        <w:rPr>
          <w:lang w:val="en-US"/>
        </w:rPr>
        <w:t xml:space="preserve"> </w:t>
      </w:r>
      <w:r w:rsidRPr="00A65ABE">
        <w:rPr>
          <w:lang w:val="en-US"/>
        </w:rPr>
        <w:t>&gt;</w:t>
      </w:r>
      <w:r>
        <w:rPr>
          <w:lang w:val="en-US"/>
        </w:rPr>
        <w:t xml:space="preserve"> </w:t>
      </w:r>
      <w:r w:rsidRPr="004B7555">
        <w:rPr>
          <w:i/>
          <w:iCs/>
          <w:lang w:val="en-US"/>
        </w:rPr>
        <w:t>P</w:t>
      </w:r>
      <w:r w:rsidRPr="00A65ABE">
        <w:rPr>
          <w:lang w:val="en-US"/>
        </w:rPr>
        <w:t>(O</w:t>
      </w:r>
      <w:r w:rsidRPr="004B7555">
        <w:rPr>
          <w:vertAlign w:val="subscript"/>
          <w:lang w:val="en-US"/>
        </w:rPr>
        <w:t>2</w:t>
      </w:r>
      <w:r w:rsidRPr="00A65ABE">
        <w:rPr>
          <w:lang w:val="en-US"/>
        </w:rPr>
        <w:t>)</w:t>
      </w:r>
      <w:r>
        <w:rPr>
          <w:lang w:val="en-US"/>
        </w:rPr>
        <w:t xml:space="preserve"> </w:t>
      </w:r>
      <w:r w:rsidRPr="00A65ABE">
        <w:rPr>
          <w:lang w:val="en-US"/>
        </w:rPr>
        <w:t>&gt;</w:t>
      </w:r>
      <w:r>
        <w:rPr>
          <w:lang w:val="en-US"/>
        </w:rPr>
        <w:t xml:space="preserve"> </w:t>
      </w:r>
      <w:r w:rsidRPr="004B7555">
        <w:rPr>
          <w:i/>
          <w:iCs/>
          <w:lang w:val="en-US"/>
        </w:rPr>
        <w:t>P</w:t>
      </w:r>
      <w:r w:rsidRPr="00A65ABE">
        <w:rPr>
          <w:lang w:val="en-US"/>
        </w:rPr>
        <w:t>(CH</w:t>
      </w:r>
      <w:r w:rsidRPr="004B7555">
        <w:rPr>
          <w:vertAlign w:val="subscript"/>
          <w:lang w:val="en-US"/>
        </w:rPr>
        <w:t>4</w:t>
      </w:r>
      <w:r w:rsidRPr="00A65ABE">
        <w:rPr>
          <w:lang w:val="en-US"/>
        </w:rPr>
        <w:t>)</w:t>
      </w:r>
      <w:r>
        <w:rPr>
          <w:lang w:val="en-US"/>
        </w:rPr>
        <w:t xml:space="preserve"> </w:t>
      </w:r>
      <w:r w:rsidRPr="00A65ABE">
        <w:rPr>
          <w:lang w:val="en-US"/>
        </w:rPr>
        <w:t>&gt;</w:t>
      </w:r>
      <w:r>
        <w:rPr>
          <w:lang w:val="en-US"/>
        </w:rPr>
        <w:t xml:space="preserve"> </w:t>
      </w:r>
      <w:r w:rsidRPr="004B7555">
        <w:rPr>
          <w:i/>
          <w:iCs/>
          <w:lang w:val="en-US"/>
        </w:rPr>
        <w:t>P</w:t>
      </w:r>
      <w:r w:rsidRPr="00A65ABE">
        <w:rPr>
          <w:lang w:val="en-US"/>
        </w:rPr>
        <w:t>(N</w:t>
      </w:r>
      <w:r w:rsidRPr="004B7555">
        <w:rPr>
          <w:vertAlign w:val="subscript"/>
          <w:lang w:val="en-US"/>
        </w:rPr>
        <w:t>2</w:t>
      </w:r>
      <w:r w:rsidRPr="00A65ABE">
        <w:rPr>
          <w:lang w:val="en-US"/>
        </w:rPr>
        <w:t xml:space="preserve">), </w:t>
      </w:r>
      <w:r w:rsidRPr="004B7555">
        <w:rPr>
          <w:i/>
          <w:iCs/>
          <w:lang w:val="en-US"/>
        </w:rPr>
        <w:t>i.e</w:t>
      </w:r>
      <w:r w:rsidRPr="00A65ABE">
        <w:rPr>
          <w:lang w:val="en-US"/>
        </w:rPr>
        <w:t>.</w:t>
      </w:r>
      <w:r>
        <w:rPr>
          <w:lang w:val="en-US"/>
        </w:rPr>
        <w:t>,</w:t>
      </w:r>
      <w:r w:rsidRPr="00A65ABE">
        <w:rPr>
          <w:lang w:val="en-US"/>
        </w:rPr>
        <w:t xml:space="preserve"> the change in </w:t>
      </w:r>
      <w:r>
        <w:rPr>
          <w:lang w:val="en-US"/>
        </w:rPr>
        <w:t xml:space="preserve">the </w:t>
      </w:r>
      <w:r w:rsidRPr="00A65ABE">
        <w:rPr>
          <w:lang w:val="en-US"/>
        </w:rPr>
        <w:t>gas permeability coefficients d</w:t>
      </w:r>
      <w:r>
        <w:rPr>
          <w:lang w:val="en-US"/>
        </w:rPr>
        <w:t>id</w:t>
      </w:r>
      <w:r w:rsidRPr="00A65ABE">
        <w:rPr>
          <w:lang w:val="en-US"/>
        </w:rPr>
        <w:t xml:space="preserve"> not fully correlate with the corresponding kinetic diameters of the </w:t>
      </w:r>
      <w:r>
        <w:rPr>
          <w:lang w:val="en-US"/>
        </w:rPr>
        <w:t xml:space="preserve">gas </w:t>
      </w:r>
      <w:r w:rsidRPr="00A65ABE">
        <w:rPr>
          <w:lang w:val="en-US"/>
        </w:rPr>
        <w:t xml:space="preserve">molecules under consideration. </w:t>
      </w:r>
      <w:proofErr w:type="spellStart"/>
      <w:r w:rsidRPr="00A36CE6">
        <w:rPr>
          <w:b/>
          <w:bCs/>
          <w:lang w:val="en-US"/>
        </w:rPr>
        <w:t>PNBpin</w:t>
      </w:r>
      <w:proofErr w:type="spellEnd"/>
      <w:r w:rsidRPr="00A36CE6">
        <w:rPr>
          <w:lang w:val="en-US"/>
        </w:rPr>
        <w:t xml:space="preserve"> </w:t>
      </w:r>
      <w:r>
        <w:rPr>
          <w:lang w:val="en-US"/>
        </w:rPr>
        <w:t xml:space="preserve">appeared to be </w:t>
      </w:r>
      <w:r w:rsidRPr="00A65ABE">
        <w:rPr>
          <w:lang w:val="en-US"/>
        </w:rPr>
        <w:t xml:space="preserve">less permeable than </w:t>
      </w:r>
      <w:r>
        <w:rPr>
          <w:lang w:val="en-US"/>
        </w:rPr>
        <w:t xml:space="preserve">the </w:t>
      </w:r>
      <w:proofErr w:type="spellStart"/>
      <w:r w:rsidRPr="00A65ABE">
        <w:rPr>
          <w:lang w:val="en-US"/>
        </w:rPr>
        <w:t>unsubstituted</w:t>
      </w:r>
      <w:proofErr w:type="spellEnd"/>
      <w:r w:rsidRPr="00A65ABE">
        <w:rPr>
          <w:lang w:val="en-US"/>
        </w:rPr>
        <w:t xml:space="preserve"> metathesis </w:t>
      </w:r>
      <w:proofErr w:type="spellStart"/>
      <w:r w:rsidRPr="00A65ABE">
        <w:rPr>
          <w:lang w:val="en-US"/>
        </w:rPr>
        <w:t>polynorbornene</w:t>
      </w:r>
      <w:proofErr w:type="spellEnd"/>
      <w:r w:rsidRPr="00A65ABE">
        <w:rPr>
          <w:lang w:val="en-US"/>
        </w:rPr>
        <w:t xml:space="preserve"> and </w:t>
      </w:r>
      <w:r>
        <w:rPr>
          <w:lang w:val="en-US"/>
        </w:rPr>
        <w:t>wa</w:t>
      </w:r>
      <w:r w:rsidRPr="00A65ABE">
        <w:rPr>
          <w:lang w:val="en-US"/>
        </w:rPr>
        <w:t xml:space="preserve">s comparable in </w:t>
      </w:r>
      <w:r>
        <w:rPr>
          <w:lang w:val="en-US"/>
        </w:rPr>
        <w:t xml:space="preserve">the </w:t>
      </w:r>
      <w:r w:rsidRPr="00A65ABE">
        <w:rPr>
          <w:lang w:val="en-US"/>
        </w:rPr>
        <w:t xml:space="preserve">gas permeability to </w:t>
      </w:r>
      <w:r w:rsidRPr="00A36CE6">
        <w:rPr>
          <w:b/>
          <w:bCs/>
          <w:lang w:val="en-US"/>
        </w:rPr>
        <w:t>CA</w:t>
      </w:r>
      <w:r w:rsidRPr="00A65ABE">
        <w:rPr>
          <w:lang w:val="en-US"/>
        </w:rPr>
        <w:t xml:space="preserve">. </w:t>
      </w:r>
      <w:r>
        <w:rPr>
          <w:lang w:val="en-US"/>
        </w:rPr>
        <w:t>A</w:t>
      </w:r>
      <w:r w:rsidRPr="00A65ABE">
        <w:rPr>
          <w:lang w:val="en-US"/>
        </w:rPr>
        <w:t xml:space="preserve"> difference in </w:t>
      </w:r>
      <w:r>
        <w:rPr>
          <w:lang w:val="en-US"/>
        </w:rPr>
        <w:t xml:space="preserve">the </w:t>
      </w:r>
      <w:r w:rsidRPr="00A65ABE">
        <w:rPr>
          <w:lang w:val="en-US"/>
        </w:rPr>
        <w:t xml:space="preserve">gas permeability of </w:t>
      </w:r>
      <w:proofErr w:type="spellStart"/>
      <w:r w:rsidRPr="00DE58A6">
        <w:rPr>
          <w:b/>
          <w:bCs/>
          <w:lang w:val="en-US"/>
        </w:rPr>
        <w:t>PNBpin</w:t>
      </w:r>
      <w:proofErr w:type="spellEnd"/>
      <w:r w:rsidRPr="00A65ABE">
        <w:rPr>
          <w:lang w:val="en-US"/>
        </w:rPr>
        <w:t xml:space="preserve"> and </w:t>
      </w:r>
      <w:r w:rsidRPr="00DE58A6">
        <w:rPr>
          <w:b/>
          <w:bCs/>
          <w:lang w:val="en-US"/>
        </w:rPr>
        <w:t>PNB</w:t>
      </w:r>
      <w:r w:rsidRPr="00A65ABE">
        <w:rPr>
          <w:lang w:val="en-US"/>
        </w:rPr>
        <w:t xml:space="preserve"> is mainly due to the difference in </w:t>
      </w:r>
      <w:r>
        <w:rPr>
          <w:lang w:val="en-US"/>
        </w:rPr>
        <w:t xml:space="preserve">the </w:t>
      </w:r>
      <w:r w:rsidRPr="00A65ABE">
        <w:rPr>
          <w:lang w:val="en-US"/>
        </w:rPr>
        <w:t xml:space="preserve">diffusion coefficients (Table 2). Thus, although it is generally accepted that the introduction of bulky and rigid groups into the side chains of polymers leads to an increase in </w:t>
      </w:r>
      <w:r>
        <w:rPr>
          <w:lang w:val="en-US"/>
        </w:rPr>
        <w:t xml:space="preserve">the </w:t>
      </w:r>
      <w:r w:rsidRPr="00A65ABE">
        <w:rPr>
          <w:lang w:val="en-US"/>
        </w:rPr>
        <w:t xml:space="preserve">gas permeability </w:t>
      </w:r>
      <w:r>
        <w:rPr>
          <w:lang w:val="en-US"/>
        </w:rPr>
        <w:t>[4, 11]</w:t>
      </w:r>
      <w:r w:rsidRPr="00A65ABE">
        <w:rPr>
          <w:lang w:val="en-US"/>
        </w:rPr>
        <w:t xml:space="preserve">, in the case of the simultaneous presence of polar groups in the side chains, the effect of introducing a bulky substituent can be leveled out, for example, as </w:t>
      </w:r>
      <w:r>
        <w:rPr>
          <w:lang w:val="en-US"/>
        </w:rPr>
        <w:t>for</w:t>
      </w:r>
      <w:r w:rsidRPr="00A65ABE">
        <w:rPr>
          <w:lang w:val="en-US"/>
        </w:rPr>
        <w:t xml:space="preserve"> </w:t>
      </w:r>
      <w:proofErr w:type="spellStart"/>
      <w:r w:rsidRPr="00DE58A6">
        <w:rPr>
          <w:b/>
          <w:bCs/>
          <w:lang w:val="en-US"/>
        </w:rPr>
        <w:t>PNBpin</w:t>
      </w:r>
      <w:proofErr w:type="spellEnd"/>
      <w:r w:rsidRPr="00A65ABE">
        <w:rPr>
          <w:lang w:val="en-US"/>
        </w:rPr>
        <w:t>.</w:t>
      </w:r>
    </w:p>
    <w:p w:rsidR="00EA36FE" w:rsidRPr="00C23035" w:rsidRDefault="00EA36FE" w:rsidP="00EA36FE">
      <w:pPr>
        <w:pStyle w:val="TableDescription"/>
        <w:rPr>
          <w:lang w:val="en-US"/>
        </w:rPr>
      </w:pPr>
      <w:proofErr w:type="gramStart"/>
      <w:r w:rsidRPr="00C23035">
        <w:rPr>
          <w:b/>
          <w:lang w:val="en-US"/>
        </w:rPr>
        <w:t>Table 2.</w:t>
      </w:r>
      <w:proofErr w:type="gramEnd"/>
      <w:r w:rsidRPr="00C23035">
        <w:rPr>
          <w:b/>
          <w:lang w:val="en-US"/>
        </w:rPr>
        <w:t xml:space="preserve"> </w:t>
      </w:r>
      <w:r w:rsidRPr="00C23035">
        <w:rPr>
          <w:lang w:val="en-US"/>
        </w:rPr>
        <w:t>Permeability, diffusivity</w:t>
      </w:r>
      <w:r>
        <w:rPr>
          <w:lang w:val="en-US"/>
        </w:rPr>
        <w:t>,</w:t>
      </w:r>
      <w:r w:rsidRPr="00C23035">
        <w:rPr>
          <w:lang w:val="en-US"/>
        </w:rPr>
        <w:t xml:space="preserve"> and solubility coefficients of various gases for </w:t>
      </w:r>
      <w:proofErr w:type="spellStart"/>
      <w:r w:rsidRPr="00C23035">
        <w:rPr>
          <w:b/>
          <w:lang w:val="en-US"/>
        </w:rPr>
        <w:t>PNBpin</w:t>
      </w:r>
      <w:proofErr w:type="spellEnd"/>
      <w:r w:rsidRPr="00C23035">
        <w:rPr>
          <w:rStyle w:val="Captions0"/>
          <w:sz w:val="16"/>
          <w:szCs w:val="16"/>
        </w:rPr>
        <w:t xml:space="preserve"> </w:t>
      </w:r>
      <w:r w:rsidRPr="00C23035">
        <w:rPr>
          <w:lang w:val="en-US"/>
        </w:rPr>
        <w:t xml:space="preserve">in comparison with </w:t>
      </w:r>
      <w:r w:rsidRPr="00617B95">
        <w:rPr>
          <w:b/>
          <w:lang w:val="en-US"/>
        </w:rPr>
        <w:t>PNB</w:t>
      </w:r>
      <w:r>
        <w:rPr>
          <w:lang w:val="en-US"/>
        </w:rPr>
        <w:t xml:space="preserve"> and </w:t>
      </w:r>
      <w:r w:rsidRPr="00D472E8">
        <w:rPr>
          <w:b/>
          <w:lang w:val="en-US"/>
        </w:rPr>
        <w:t>CA</w:t>
      </w:r>
      <w:r w:rsidRPr="00C23035">
        <w:rPr>
          <w:lang w:val="en-US"/>
        </w:rPr>
        <w:t xml:space="preserve"> (30</w:t>
      </w:r>
      <w:r>
        <w:rPr>
          <w:lang w:val="en-US"/>
        </w:rPr>
        <w:t xml:space="preserve"> °</w:t>
      </w:r>
      <w:r w:rsidRPr="00C23035">
        <w:rPr>
          <w:lang w:val="en-US"/>
        </w:rPr>
        <w:t>C and 0.6 bar upstream pressure)</w:t>
      </w:r>
    </w:p>
    <w:tbl>
      <w:tblPr>
        <w:tblW w:w="0" w:type="auto"/>
        <w:jc w:val="center"/>
        <w:tblCellMar>
          <w:left w:w="0" w:type="dxa"/>
          <w:right w:w="0" w:type="dxa"/>
        </w:tblCellMar>
        <w:tblLook w:val="04A0"/>
      </w:tblPr>
      <w:tblGrid>
        <w:gridCol w:w="1030"/>
        <w:gridCol w:w="656"/>
        <w:gridCol w:w="656"/>
        <w:gridCol w:w="656"/>
        <w:gridCol w:w="716"/>
        <w:gridCol w:w="656"/>
        <w:gridCol w:w="777"/>
      </w:tblGrid>
      <w:tr w:rsidR="00EA36FE" w:rsidRPr="00C35463" w:rsidTr="00EA36FE">
        <w:trPr>
          <w:cantSplit/>
          <w:trHeight w:val="227"/>
          <w:jc w:val="center"/>
        </w:trPr>
        <w:tc>
          <w:tcPr>
            <w:tcW w:w="0" w:type="auto"/>
            <w:vMerge w:val="restart"/>
            <w:tcBorders>
              <w:top w:val="single" w:sz="4" w:space="0" w:color="auto"/>
              <w:bottom w:val="single" w:sz="4" w:space="0" w:color="auto"/>
            </w:tcBorders>
            <w:tcMar>
              <w:top w:w="15" w:type="dxa"/>
              <w:left w:w="108" w:type="dxa"/>
              <w:bottom w:w="0" w:type="dxa"/>
              <w:right w:w="108" w:type="dxa"/>
            </w:tcMar>
            <w:vAlign w:val="center"/>
            <w:hideMark/>
          </w:tcPr>
          <w:p w:rsidR="00EA36FE" w:rsidRPr="00C35463" w:rsidRDefault="00EA36FE" w:rsidP="00EA36FE">
            <w:pPr>
              <w:pStyle w:val="ArticleTable"/>
              <w:rPr>
                <w:lang w:eastAsia="ru-RU"/>
              </w:rPr>
            </w:pPr>
            <w:r w:rsidRPr="00C35463">
              <w:rPr>
                <w:kern w:val="24"/>
                <w:lang w:eastAsia="ru-RU"/>
              </w:rPr>
              <w:t>Polymer</w:t>
            </w:r>
          </w:p>
        </w:tc>
        <w:tc>
          <w:tcPr>
            <w:tcW w:w="0" w:type="auto"/>
            <w:gridSpan w:val="6"/>
            <w:tcBorders>
              <w:top w:val="single" w:sz="4" w:space="0" w:color="auto"/>
              <w:bottom w:val="single" w:sz="4" w:space="0" w:color="auto"/>
            </w:tcBorders>
            <w:tcMar>
              <w:top w:w="15" w:type="dxa"/>
              <w:left w:w="108" w:type="dxa"/>
              <w:bottom w:w="0" w:type="dxa"/>
              <w:right w:w="108" w:type="dxa"/>
            </w:tcMar>
            <w:vAlign w:val="center"/>
            <w:hideMark/>
          </w:tcPr>
          <w:p w:rsidR="00EA36FE" w:rsidRPr="00C35463" w:rsidRDefault="00EA36FE" w:rsidP="00EA36FE">
            <w:pPr>
              <w:pStyle w:val="ArticleTable"/>
              <w:rPr>
                <w:kern w:val="24"/>
                <w:lang w:eastAsia="ru-RU"/>
              </w:rPr>
            </w:pPr>
            <w:r w:rsidRPr="00C35463">
              <w:rPr>
                <w:kern w:val="24"/>
                <w:lang w:eastAsia="ru-RU"/>
              </w:rPr>
              <w:t>Permeability coefficient, Barrer</w:t>
            </w:r>
            <w:r w:rsidRPr="00C35463">
              <w:rPr>
                <w:b/>
                <w:bCs/>
                <w:i/>
                <w:iCs/>
                <w:kern w:val="24"/>
                <w:vertAlign w:val="superscript"/>
                <w:lang w:eastAsia="ru-RU"/>
              </w:rPr>
              <w:t>a</w:t>
            </w:r>
          </w:p>
        </w:tc>
      </w:tr>
      <w:tr w:rsidR="00EA36FE" w:rsidRPr="00C35463" w:rsidTr="00EA36FE">
        <w:trPr>
          <w:cantSplit/>
          <w:trHeight w:val="227"/>
          <w:jc w:val="center"/>
        </w:trPr>
        <w:tc>
          <w:tcPr>
            <w:tcW w:w="0" w:type="auto"/>
            <w:vMerge/>
            <w:tcBorders>
              <w:bottom w:val="single" w:sz="4" w:space="0" w:color="auto"/>
            </w:tcBorders>
            <w:vAlign w:val="center"/>
            <w:hideMark/>
          </w:tcPr>
          <w:p w:rsidR="00EA36FE" w:rsidRPr="00C35463" w:rsidRDefault="00EA36FE" w:rsidP="00EA36FE">
            <w:pPr>
              <w:pStyle w:val="ArticleTable"/>
              <w:rPr>
                <w:lang w:eastAsia="ru-RU"/>
              </w:rPr>
            </w:pPr>
          </w:p>
        </w:tc>
        <w:tc>
          <w:tcPr>
            <w:tcW w:w="0" w:type="auto"/>
            <w:tcBorders>
              <w:bottom w:val="single" w:sz="4" w:space="0" w:color="auto"/>
            </w:tcBorders>
            <w:tcMar>
              <w:top w:w="15" w:type="dxa"/>
              <w:left w:w="108" w:type="dxa"/>
              <w:bottom w:w="0" w:type="dxa"/>
              <w:right w:w="108" w:type="dxa"/>
            </w:tcMar>
            <w:vAlign w:val="center"/>
            <w:hideMark/>
          </w:tcPr>
          <w:p w:rsidR="00EA36FE" w:rsidRPr="00C35463" w:rsidRDefault="00EA36FE" w:rsidP="00EA36FE">
            <w:pPr>
              <w:pStyle w:val="ArticleTable"/>
              <w:rPr>
                <w:lang w:eastAsia="ru-RU"/>
              </w:rPr>
            </w:pPr>
            <w:r w:rsidRPr="00C35463">
              <w:rPr>
                <w:kern w:val="24"/>
                <w:lang w:eastAsia="ru-RU"/>
              </w:rPr>
              <w:t>Не</w:t>
            </w:r>
          </w:p>
        </w:tc>
        <w:tc>
          <w:tcPr>
            <w:tcW w:w="0" w:type="auto"/>
            <w:tcBorders>
              <w:bottom w:val="single" w:sz="4" w:space="0" w:color="auto"/>
            </w:tcBorders>
            <w:tcMar>
              <w:top w:w="15" w:type="dxa"/>
              <w:left w:w="108" w:type="dxa"/>
              <w:bottom w:w="0" w:type="dxa"/>
              <w:right w:w="108" w:type="dxa"/>
            </w:tcMar>
            <w:vAlign w:val="center"/>
            <w:hideMark/>
          </w:tcPr>
          <w:p w:rsidR="00EA36FE" w:rsidRPr="00C35463" w:rsidRDefault="00EA36FE" w:rsidP="00EA36FE">
            <w:pPr>
              <w:pStyle w:val="ArticleTable"/>
              <w:rPr>
                <w:lang w:eastAsia="ru-RU"/>
              </w:rPr>
            </w:pPr>
            <w:r w:rsidRPr="00C35463">
              <w:rPr>
                <w:kern w:val="24"/>
                <w:lang w:eastAsia="ru-RU"/>
              </w:rPr>
              <w:t>H</w:t>
            </w:r>
            <w:r w:rsidRPr="00C35463">
              <w:rPr>
                <w:kern w:val="24"/>
                <w:vertAlign w:val="subscript"/>
                <w:lang w:eastAsia="ru-RU"/>
              </w:rPr>
              <w:t>2</w:t>
            </w:r>
          </w:p>
        </w:tc>
        <w:tc>
          <w:tcPr>
            <w:tcW w:w="0" w:type="auto"/>
            <w:tcBorders>
              <w:bottom w:val="single" w:sz="4" w:space="0" w:color="auto"/>
            </w:tcBorders>
            <w:tcMar>
              <w:top w:w="15" w:type="dxa"/>
              <w:left w:w="108" w:type="dxa"/>
              <w:bottom w:w="0" w:type="dxa"/>
              <w:right w:w="108" w:type="dxa"/>
            </w:tcMar>
            <w:vAlign w:val="center"/>
            <w:hideMark/>
          </w:tcPr>
          <w:p w:rsidR="00EA36FE" w:rsidRPr="00C35463" w:rsidRDefault="00EA36FE" w:rsidP="00EA36FE">
            <w:pPr>
              <w:pStyle w:val="ArticleTable"/>
              <w:rPr>
                <w:lang w:eastAsia="ru-RU"/>
              </w:rPr>
            </w:pPr>
            <w:r w:rsidRPr="00C35463">
              <w:rPr>
                <w:kern w:val="24"/>
                <w:lang w:eastAsia="ru-RU"/>
              </w:rPr>
              <w:t>N</w:t>
            </w:r>
            <w:r w:rsidRPr="00C35463">
              <w:rPr>
                <w:kern w:val="24"/>
                <w:vertAlign w:val="subscript"/>
                <w:lang w:eastAsia="ru-RU"/>
              </w:rPr>
              <w:t>2</w:t>
            </w:r>
          </w:p>
        </w:tc>
        <w:tc>
          <w:tcPr>
            <w:tcW w:w="0" w:type="auto"/>
            <w:tcBorders>
              <w:bottom w:val="single" w:sz="4" w:space="0" w:color="auto"/>
            </w:tcBorders>
            <w:tcMar>
              <w:top w:w="15" w:type="dxa"/>
              <w:left w:w="108" w:type="dxa"/>
              <w:bottom w:w="0" w:type="dxa"/>
              <w:right w:w="108" w:type="dxa"/>
            </w:tcMar>
            <w:vAlign w:val="center"/>
            <w:hideMark/>
          </w:tcPr>
          <w:p w:rsidR="00EA36FE" w:rsidRPr="00C35463" w:rsidRDefault="00EA36FE" w:rsidP="00EA36FE">
            <w:pPr>
              <w:pStyle w:val="ArticleTable"/>
              <w:rPr>
                <w:lang w:eastAsia="ru-RU"/>
              </w:rPr>
            </w:pPr>
            <w:r w:rsidRPr="00C35463">
              <w:rPr>
                <w:kern w:val="24"/>
                <w:lang w:eastAsia="ru-RU"/>
              </w:rPr>
              <w:t>O</w:t>
            </w:r>
            <w:r w:rsidRPr="00C35463">
              <w:rPr>
                <w:kern w:val="24"/>
                <w:vertAlign w:val="subscript"/>
                <w:lang w:eastAsia="ru-RU"/>
              </w:rPr>
              <w:t>2</w:t>
            </w:r>
          </w:p>
        </w:tc>
        <w:tc>
          <w:tcPr>
            <w:tcW w:w="0" w:type="auto"/>
            <w:tcBorders>
              <w:bottom w:val="single" w:sz="4" w:space="0" w:color="auto"/>
            </w:tcBorders>
            <w:tcMar>
              <w:top w:w="15" w:type="dxa"/>
              <w:left w:w="108" w:type="dxa"/>
              <w:bottom w:w="0" w:type="dxa"/>
              <w:right w:w="108" w:type="dxa"/>
            </w:tcMar>
            <w:vAlign w:val="center"/>
            <w:hideMark/>
          </w:tcPr>
          <w:p w:rsidR="00EA36FE" w:rsidRPr="00C35463" w:rsidRDefault="00EA36FE" w:rsidP="00EA36FE">
            <w:pPr>
              <w:pStyle w:val="ArticleTable"/>
              <w:rPr>
                <w:lang w:eastAsia="ru-RU"/>
              </w:rPr>
            </w:pPr>
            <w:r w:rsidRPr="00C35463">
              <w:rPr>
                <w:kern w:val="24"/>
                <w:lang w:eastAsia="ru-RU"/>
              </w:rPr>
              <w:t>CO</w:t>
            </w:r>
            <w:r w:rsidRPr="00C35463">
              <w:rPr>
                <w:kern w:val="24"/>
                <w:vertAlign w:val="subscript"/>
                <w:lang w:eastAsia="ru-RU"/>
              </w:rPr>
              <w:t>2</w:t>
            </w:r>
          </w:p>
        </w:tc>
        <w:tc>
          <w:tcPr>
            <w:tcW w:w="0" w:type="auto"/>
            <w:tcBorders>
              <w:bottom w:val="single" w:sz="4" w:space="0" w:color="auto"/>
            </w:tcBorders>
            <w:tcMar>
              <w:top w:w="15" w:type="dxa"/>
              <w:left w:w="108" w:type="dxa"/>
              <w:bottom w:w="0" w:type="dxa"/>
              <w:right w:w="108" w:type="dxa"/>
            </w:tcMar>
            <w:vAlign w:val="center"/>
            <w:hideMark/>
          </w:tcPr>
          <w:p w:rsidR="00EA36FE" w:rsidRPr="00C35463" w:rsidRDefault="00EA36FE" w:rsidP="00EA36FE">
            <w:pPr>
              <w:pStyle w:val="ArticleTable"/>
              <w:rPr>
                <w:lang w:eastAsia="ru-RU"/>
              </w:rPr>
            </w:pPr>
            <w:r w:rsidRPr="00C35463">
              <w:rPr>
                <w:kern w:val="24"/>
                <w:lang w:eastAsia="ru-RU"/>
              </w:rPr>
              <w:t>CH</w:t>
            </w:r>
            <w:r w:rsidRPr="00C35463">
              <w:rPr>
                <w:kern w:val="24"/>
                <w:vertAlign w:val="subscript"/>
                <w:lang w:eastAsia="ru-RU"/>
              </w:rPr>
              <w:t>4</w:t>
            </w:r>
          </w:p>
        </w:tc>
      </w:tr>
      <w:tr w:rsidR="00EA36FE" w:rsidRPr="00C35463" w:rsidTr="00EA36FE">
        <w:trPr>
          <w:cantSplit/>
          <w:trHeight w:val="227"/>
          <w:jc w:val="center"/>
        </w:trPr>
        <w:tc>
          <w:tcPr>
            <w:tcW w:w="0" w:type="auto"/>
            <w:tcBorders>
              <w:top w:val="single" w:sz="4" w:space="0" w:color="auto"/>
            </w:tcBorders>
            <w:tcMar>
              <w:top w:w="15" w:type="dxa"/>
              <w:left w:w="108" w:type="dxa"/>
              <w:bottom w:w="0" w:type="dxa"/>
              <w:right w:w="108" w:type="dxa"/>
            </w:tcMar>
            <w:vAlign w:val="center"/>
          </w:tcPr>
          <w:p w:rsidR="00EA36FE" w:rsidRPr="00C35463" w:rsidRDefault="00EA36FE" w:rsidP="00EA36FE">
            <w:pPr>
              <w:pStyle w:val="ArticleTable"/>
              <w:rPr>
                <w:b/>
              </w:rPr>
            </w:pPr>
            <w:proofErr w:type="spellStart"/>
            <w:r w:rsidRPr="00C35463">
              <w:rPr>
                <w:b/>
                <w:color w:val="auto"/>
              </w:rPr>
              <w:t>PNBpin</w:t>
            </w:r>
            <w:proofErr w:type="spellEnd"/>
          </w:p>
        </w:tc>
        <w:tc>
          <w:tcPr>
            <w:tcW w:w="0" w:type="auto"/>
            <w:tcBorders>
              <w:top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12.7</w:t>
            </w:r>
          </w:p>
        </w:tc>
        <w:tc>
          <w:tcPr>
            <w:tcW w:w="0" w:type="auto"/>
            <w:tcBorders>
              <w:top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13.0</w:t>
            </w:r>
          </w:p>
        </w:tc>
        <w:tc>
          <w:tcPr>
            <w:tcW w:w="0" w:type="auto"/>
            <w:tcBorders>
              <w:top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0.24</w:t>
            </w:r>
          </w:p>
        </w:tc>
        <w:tc>
          <w:tcPr>
            <w:tcW w:w="0" w:type="auto"/>
            <w:tcBorders>
              <w:top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1.50</w:t>
            </w:r>
          </w:p>
        </w:tc>
        <w:tc>
          <w:tcPr>
            <w:tcW w:w="0" w:type="auto"/>
            <w:tcBorders>
              <w:top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6.7</w:t>
            </w:r>
          </w:p>
        </w:tc>
        <w:tc>
          <w:tcPr>
            <w:tcW w:w="0" w:type="auto"/>
            <w:tcBorders>
              <w:top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0.40</w:t>
            </w:r>
          </w:p>
        </w:tc>
      </w:tr>
      <w:tr w:rsidR="00EA36FE" w:rsidRPr="00C35463" w:rsidTr="00EA36FE">
        <w:trPr>
          <w:cantSplit/>
          <w:trHeight w:val="227"/>
          <w:jc w:val="center"/>
        </w:trPr>
        <w:tc>
          <w:tcPr>
            <w:tcW w:w="0" w:type="auto"/>
            <w:tcMar>
              <w:top w:w="15" w:type="dxa"/>
              <w:left w:w="108" w:type="dxa"/>
              <w:bottom w:w="0" w:type="dxa"/>
              <w:right w:w="108" w:type="dxa"/>
            </w:tcMar>
            <w:vAlign w:val="center"/>
          </w:tcPr>
          <w:p w:rsidR="00EA36FE" w:rsidRPr="00C35463" w:rsidRDefault="00EA36FE" w:rsidP="00EA36FE">
            <w:pPr>
              <w:pStyle w:val="ArticleTable"/>
              <w:rPr>
                <w:color w:val="auto"/>
              </w:rPr>
            </w:pPr>
            <w:r w:rsidRPr="00C35463">
              <w:rPr>
                <w:b/>
                <w:color w:val="auto"/>
              </w:rPr>
              <w:t>PNB</w:t>
            </w:r>
            <w:r w:rsidRPr="00C35463">
              <w:rPr>
                <w:color w:val="auto"/>
              </w:rPr>
              <w:t xml:space="preserve"> [6] </w:t>
            </w:r>
          </w:p>
        </w:tc>
        <w:tc>
          <w:tcPr>
            <w:tcW w:w="0" w:type="auto"/>
            <w:tcMar>
              <w:top w:w="15" w:type="dxa"/>
              <w:left w:w="108" w:type="dxa"/>
              <w:bottom w:w="0" w:type="dxa"/>
              <w:right w:w="108" w:type="dxa"/>
            </w:tcMar>
            <w:vAlign w:val="center"/>
          </w:tcPr>
          <w:p w:rsidR="00EA36FE" w:rsidRPr="00C35463" w:rsidRDefault="00EA36FE" w:rsidP="00EA36FE">
            <w:pPr>
              <w:pStyle w:val="ArticleTable"/>
            </w:pPr>
            <w:r w:rsidRPr="00C35463">
              <w:t>14.9</w:t>
            </w:r>
          </w:p>
        </w:tc>
        <w:tc>
          <w:tcPr>
            <w:tcW w:w="0" w:type="auto"/>
            <w:tcMar>
              <w:top w:w="15" w:type="dxa"/>
              <w:left w:w="108" w:type="dxa"/>
              <w:bottom w:w="0" w:type="dxa"/>
              <w:right w:w="108" w:type="dxa"/>
            </w:tcMar>
            <w:vAlign w:val="center"/>
          </w:tcPr>
          <w:p w:rsidR="00EA36FE" w:rsidRPr="00C35463" w:rsidRDefault="00EA36FE" w:rsidP="00EA36FE">
            <w:pPr>
              <w:pStyle w:val="ArticleTable"/>
            </w:pPr>
            <w:r w:rsidRPr="00C35463">
              <w:t>18.0</w:t>
            </w:r>
          </w:p>
        </w:tc>
        <w:tc>
          <w:tcPr>
            <w:tcW w:w="0" w:type="auto"/>
            <w:tcMar>
              <w:top w:w="15" w:type="dxa"/>
              <w:left w:w="108" w:type="dxa"/>
              <w:bottom w:w="0" w:type="dxa"/>
              <w:right w:w="108" w:type="dxa"/>
            </w:tcMar>
            <w:vAlign w:val="center"/>
          </w:tcPr>
          <w:p w:rsidR="00EA36FE" w:rsidRPr="00C35463" w:rsidRDefault="00EA36FE" w:rsidP="00EA36FE">
            <w:pPr>
              <w:pStyle w:val="ArticleTable"/>
            </w:pPr>
            <w:r w:rsidRPr="00C35463">
              <w:t>0.43</w:t>
            </w:r>
          </w:p>
        </w:tc>
        <w:tc>
          <w:tcPr>
            <w:tcW w:w="0" w:type="auto"/>
            <w:tcMar>
              <w:top w:w="15" w:type="dxa"/>
              <w:left w:w="108" w:type="dxa"/>
              <w:bottom w:w="0" w:type="dxa"/>
              <w:right w:w="108" w:type="dxa"/>
            </w:tcMar>
            <w:vAlign w:val="center"/>
          </w:tcPr>
          <w:p w:rsidR="00EA36FE" w:rsidRPr="00C35463" w:rsidRDefault="00EA36FE" w:rsidP="00EA36FE">
            <w:pPr>
              <w:pStyle w:val="ArticleTable"/>
            </w:pPr>
            <w:r w:rsidRPr="00C35463">
              <w:t>2.3</w:t>
            </w:r>
          </w:p>
        </w:tc>
        <w:tc>
          <w:tcPr>
            <w:tcW w:w="0" w:type="auto"/>
            <w:tcMar>
              <w:top w:w="15" w:type="dxa"/>
              <w:left w:w="108" w:type="dxa"/>
              <w:bottom w:w="0" w:type="dxa"/>
              <w:right w:w="108" w:type="dxa"/>
            </w:tcMar>
            <w:vAlign w:val="center"/>
          </w:tcPr>
          <w:p w:rsidR="00EA36FE" w:rsidRPr="00C35463" w:rsidRDefault="00EA36FE" w:rsidP="00EA36FE">
            <w:pPr>
              <w:pStyle w:val="ArticleTable"/>
            </w:pPr>
            <w:r w:rsidRPr="00C35463">
              <w:t>9.3</w:t>
            </w:r>
          </w:p>
        </w:tc>
        <w:tc>
          <w:tcPr>
            <w:tcW w:w="0" w:type="auto"/>
            <w:tcMar>
              <w:top w:w="15" w:type="dxa"/>
              <w:left w:w="108" w:type="dxa"/>
              <w:bottom w:w="0" w:type="dxa"/>
              <w:right w:w="108" w:type="dxa"/>
            </w:tcMar>
            <w:vAlign w:val="center"/>
          </w:tcPr>
          <w:p w:rsidR="00EA36FE" w:rsidRPr="00C35463" w:rsidRDefault="00EA36FE" w:rsidP="00EA36FE">
            <w:pPr>
              <w:pStyle w:val="ArticleTable"/>
            </w:pPr>
            <w:r w:rsidRPr="00C35463">
              <w:t>0.78</w:t>
            </w:r>
          </w:p>
        </w:tc>
      </w:tr>
      <w:tr w:rsidR="00EA36FE" w:rsidRPr="00C35463" w:rsidTr="00EA36FE">
        <w:trPr>
          <w:cantSplit/>
          <w:trHeight w:val="227"/>
          <w:jc w:val="center"/>
        </w:trPr>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rPr>
                <w:b/>
              </w:rPr>
              <w:t>CA</w:t>
            </w:r>
            <w:r w:rsidRPr="00C35463">
              <w:t xml:space="preserve"> [7]</w:t>
            </w:r>
          </w:p>
        </w:tc>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rPr>
                <w:lang w:val="ru-RU"/>
              </w:rPr>
            </w:pPr>
            <w:r w:rsidRPr="00C35463">
              <w:rPr>
                <w:lang w:val="ru-RU"/>
              </w:rPr>
              <w:t>–</w:t>
            </w:r>
          </w:p>
        </w:tc>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rPr>
                <w:lang w:val="ru-RU"/>
              </w:rPr>
            </w:pPr>
            <w:r w:rsidRPr="00C35463">
              <w:rPr>
                <w:lang w:val="ru-RU"/>
              </w:rPr>
              <w:t>14.9</w:t>
            </w:r>
          </w:p>
        </w:tc>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rPr>
                <w:lang w:val="ru-RU"/>
              </w:rPr>
              <w:t>0.2</w:t>
            </w:r>
            <w:r w:rsidRPr="00C35463">
              <w:t>3</w:t>
            </w:r>
          </w:p>
        </w:tc>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rPr>
                <w:lang w:val="ru-RU"/>
              </w:rPr>
              <w:t>1</w:t>
            </w:r>
            <w:r w:rsidRPr="00C35463">
              <w:t>.05</w:t>
            </w:r>
          </w:p>
        </w:tc>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5.96</w:t>
            </w:r>
          </w:p>
        </w:tc>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0.205</w:t>
            </w:r>
          </w:p>
        </w:tc>
      </w:tr>
      <w:tr w:rsidR="00EA36FE" w:rsidRPr="006C6033" w:rsidTr="00EA36FE">
        <w:trPr>
          <w:cantSplit/>
          <w:trHeight w:val="227"/>
          <w:jc w:val="center"/>
        </w:trPr>
        <w:tc>
          <w:tcPr>
            <w:tcW w:w="0" w:type="auto"/>
            <w:gridSpan w:val="7"/>
            <w:tcBorders>
              <w:top w:val="single" w:sz="4" w:space="0" w:color="auto"/>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rPr>
                <w:kern w:val="24"/>
                <w:lang w:eastAsia="ru-RU"/>
              </w:rPr>
              <w:t>Diffusivity coefficient (</w:t>
            </w:r>
            <w:r w:rsidRPr="00C35463">
              <w:rPr>
                <w:i/>
                <w:iCs/>
                <w:kern w:val="24"/>
                <w:lang w:eastAsia="ru-RU"/>
              </w:rPr>
              <w:t>D</w:t>
            </w:r>
            <w:r w:rsidRPr="00C35463">
              <w:rPr>
                <w:kern w:val="24"/>
                <w:lang w:eastAsia="ru-RU"/>
              </w:rPr>
              <w:t>),·D·10</w:t>
            </w:r>
            <w:r w:rsidRPr="00C35463">
              <w:rPr>
                <w:kern w:val="24"/>
                <w:vertAlign w:val="superscript"/>
                <w:lang w:eastAsia="ru-RU"/>
              </w:rPr>
              <w:t>10</w:t>
            </w:r>
            <w:r w:rsidRPr="00C35463">
              <w:rPr>
                <w:kern w:val="24"/>
                <w:lang w:eastAsia="ru-RU"/>
              </w:rPr>
              <w:t>, cm</w:t>
            </w:r>
            <w:r w:rsidRPr="00C35463">
              <w:rPr>
                <w:kern w:val="24"/>
                <w:vertAlign w:val="superscript"/>
                <w:lang w:eastAsia="ru-RU"/>
              </w:rPr>
              <w:t>2</w:t>
            </w:r>
            <w:r w:rsidRPr="00C35463">
              <w:rPr>
                <w:kern w:val="24"/>
                <w:lang w:eastAsia="ru-RU"/>
              </w:rPr>
              <w:t>·s</w:t>
            </w:r>
            <w:r w:rsidRPr="00C35463">
              <w:rPr>
                <w:kern w:val="24"/>
                <w:vertAlign w:val="superscript"/>
                <w:lang w:eastAsia="ru-RU"/>
              </w:rPr>
              <w:t>−1</w:t>
            </w:r>
          </w:p>
        </w:tc>
      </w:tr>
      <w:tr w:rsidR="00EA36FE" w:rsidRPr="00C35463" w:rsidTr="00EA36FE">
        <w:trPr>
          <w:cantSplit/>
          <w:trHeight w:val="227"/>
          <w:jc w:val="center"/>
        </w:trPr>
        <w:tc>
          <w:tcPr>
            <w:tcW w:w="0" w:type="auto"/>
            <w:tcBorders>
              <w:top w:val="single" w:sz="4" w:space="0" w:color="auto"/>
            </w:tcBorders>
            <w:tcMar>
              <w:top w:w="15" w:type="dxa"/>
              <w:left w:w="108" w:type="dxa"/>
              <w:bottom w:w="0" w:type="dxa"/>
              <w:right w:w="108" w:type="dxa"/>
            </w:tcMar>
            <w:vAlign w:val="center"/>
          </w:tcPr>
          <w:p w:rsidR="00EA36FE" w:rsidRPr="00C35463" w:rsidRDefault="00EA36FE" w:rsidP="00EA36FE">
            <w:pPr>
              <w:pStyle w:val="ArticleTable"/>
              <w:rPr>
                <w:b/>
              </w:rPr>
            </w:pPr>
            <w:proofErr w:type="spellStart"/>
            <w:r w:rsidRPr="00C35463">
              <w:rPr>
                <w:b/>
                <w:color w:val="auto"/>
              </w:rPr>
              <w:lastRenderedPageBreak/>
              <w:t>PNBpin</w:t>
            </w:r>
            <w:proofErr w:type="spellEnd"/>
          </w:p>
        </w:tc>
        <w:tc>
          <w:tcPr>
            <w:tcW w:w="0" w:type="auto"/>
            <w:tcBorders>
              <w:top w:val="single" w:sz="4" w:space="0" w:color="auto"/>
            </w:tcBorders>
            <w:tcMar>
              <w:top w:w="15" w:type="dxa"/>
              <w:left w:w="108" w:type="dxa"/>
              <w:bottom w:w="0" w:type="dxa"/>
              <w:right w:w="108" w:type="dxa"/>
            </w:tcMar>
          </w:tcPr>
          <w:p w:rsidR="00EA36FE" w:rsidRPr="00C35463" w:rsidRDefault="00EA36FE" w:rsidP="00EA36FE">
            <w:pPr>
              <w:pStyle w:val="ArticleTable"/>
            </w:pPr>
            <w:r w:rsidRPr="00B84F22">
              <w:rPr>
                <w:lang w:val="ru-RU"/>
              </w:rPr>
              <w:t>–</w:t>
            </w:r>
          </w:p>
        </w:tc>
        <w:tc>
          <w:tcPr>
            <w:tcW w:w="0" w:type="auto"/>
            <w:tcBorders>
              <w:top w:val="single" w:sz="4" w:space="0" w:color="auto"/>
            </w:tcBorders>
            <w:tcMar>
              <w:top w:w="15" w:type="dxa"/>
              <w:left w:w="108" w:type="dxa"/>
              <w:bottom w:w="0" w:type="dxa"/>
              <w:right w:w="108" w:type="dxa"/>
            </w:tcMar>
          </w:tcPr>
          <w:p w:rsidR="00EA36FE" w:rsidRPr="00C35463" w:rsidRDefault="00EA36FE" w:rsidP="00EA36FE">
            <w:pPr>
              <w:pStyle w:val="ArticleTable"/>
            </w:pPr>
            <w:r w:rsidRPr="00B84F22">
              <w:rPr>
                <w:lang w:val="ru-RU"/>
              </w:rPr>
              <w:t>–</w:t>
            </w:r>
          </w:p>
        </w:tc>
        <w:tc>
          <w:tcPr>
            <w:tcW w:w="0" w:type="auto"/>
            <w:tcBorders>
              <w:top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170</w:t>
            </w:r>
          </w:p>
        </w:tc>
        <w:tc>
          <w:tcPr>
            <w:tcW w:w="0" w:type="auto"/>
            <w:tcBorders>
              <w:top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550</w:t>
            </w:r>
          </w:p>
        </w:tc>
        <w:tc>
          <w:tcPr>
            <w:tcW w:w="0" w:type="auto"/>
            <w:tcBorders>
              <w:top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140</w:t>
            </w:r>
          </w:p>
        </w:tc>
        <w:tc>
          <w:tcPr>
            <w:tcW w:w="0" w:type="auto"/>
            <w:tcBorders>
              <w:top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56</w:t>
            </w:r>
          </w:p>
        </w:tc>
      </w:tr>
      <w:tr w:rsidR="00EA36FE" w:rsidRPr="00C35463" w:rsidTr="00EA36FE">
        <w:trPr>
          <w:cantSplit/>
          <w:trHeight w:val="227"/>
          <w:jc w:val="center"/>
        </w:trPr>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rPr>
                <w:b/>
                <w:color w:val="auto"/>
              </w:rPr>
            </w:pPr>
            <w:r w:rsidRPr="00C35463">
              <w:rPr>
                <w:b/>
                <w:color w:val="auto"/>
              </w:rPr>
              <w:t>PNB</w:t>
            </w:r>
            <w:r w:rsidRPr="00C35463">
              <w:rPr>
                <w:color w:val="auto"/>
              </w:rPr>
              <w:t xml:space="preserve"> [6]</w:t>
            </w:r>
          </w:p>
        </w:tc>
        <w:tc>
          <w:tcPr>
            <w:tcW w:w="0" w:type="auto"/>
            <w:tcBorders>
              <w:bottom w:val="single" w:sz="4" w:space="0" w:color="auto"/>
            </w:tcBorders>
            <w:tcMar>
              <w:top w:w="15" w:type="dxa"/>
              <w:left w:w="108" w:type="dxa"/>
              <w:bottom w:w="0" w:type="dxa"/>
              <w:right w:w="108" w:type="dxa"/>
            </w:tcMar>
          </w:tcPr>
          <w:p w:rsidR="00EA36FE" w:rsidRPr="00C35463" w:rsidRDefault="00EA36FE" w:rsidP="00EA36FE">
            <w:pPr>
              <w:pStyle w:val="ArticleTable"/>
            </w:pPr>
            <w:r w:rsidRPr="00B84F22">
              <w:rPr>
                <w:lang w:val="ru-RU"/>
              </w:rPr>
              <w:t>–</w:t>
            </w:r>
          </w:p>
        </w:tc>
        <w:tc>
          <w:tcPr>
            <w:tcW w:w="0" w:type="auto"/>
            <w:tcBorders>
              <w:bottom w:val="single" w:sz="4" w:space="0" w:color="auto"/>
            </w:tcBorders>
            <w:tcMar>
              <w:top w:w="15" w:type="dxa"/>
              <w:left w:w="108" w:type="dxa"/>
              <w:bottom w:w="0" w:type="dxa"/>
              <w:right w:w="108" w:type="dxa"/>
            </w:tcMar>
          </w:tcPr>
          <w:p w:rsidR="00EA36FE" w:rsidRPr="00C35463" w:rsidRDefault="00EA36FE" w:rsidP="00EA36FE">
            <w:pPr>
              <w:pStyle w:val="ArticleTable"/>
            </w:pPr>
            <w:r w:rsidRPr="00B84F22">
              <w:rPr>
                <w:lang w:val="ru-RU"/>
              </w:rPr>
              <w:t>–</w:t>
            </w:r>
          </w:p>
        </w:tc>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360</w:t>
            </w:r>
          </w:p>
        </w:tc>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1280</w:t>
            </w:r>
          </w:p>
        </w:tc>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550</w:t>
            </w:r>
          </w:p>
        </w:tc>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150</w:t>
            </w:r>
          </w:p>
        </w:tc>
      </w:tr>
      <w:tr w:rsidR="00EA36FE" w:rsidRPr="006C6033" w:rsidTr="00EA36FE">
        <w:trPr>
          <w:cantSplit/>
          <w:trHeight w:val="227"/>
          <w:jc w:val="center"/>
        </w:trPr>
        <w:tc>
          <w:tcPr>
            <w:tcW w:w="0" w:type="auto"/>
            <w:gridSpan w:val="7"/>
            <w:tcBorders>
              <w:top w:val="single" w:sz="4" w:space="0" w:color="auto"/>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rPr>
                <w:kern w:val="24"/>
                <w:lang w:eastAsia="ru-RU"/>
              </w:rPr>
              <w:t>Solubility coefficient (</w:t>
            </w:r>
            <w:r w:rsidRPr="00C35463">
              <w:rPr>
                <w:i/>
                <w:iCs/>
                <w:kern w:val="24"/>
                <w:lang w:eastAsia="ru-RU"/>
              </w:rPr>
              <w:t>S</w:t>
            </w:r>
            <w:r w:rsidRPr="00C35463">
              <w:rPr>
                <w:kern w:val="24"/>
                <w:lang w:eastAsia="ru-RU"/>
              </w:rPr>
              <w:t>), S·10</w:t>
            </w:r>
            <w:r w:rsidRPr="00C35463">
              <w:rPr>
                <w:kern w:val="24"/>
                <w:vertAlign w:val="superscript"/>
                <w:lang w:eastAsia="ru-RU"/>
              </w:rPr>
              <w:t>3</w:t>
            </w:r>
            <w:r w:rsidRPr="00C35463">
              <w:rPr>
                <w:kern w:val="24"/>
                <w:lang w:eastAsia="ru-RU"/>
              </w:rPr>
              <w:t>, cm</w:t>
            </w:r>
            <w:r w:rsidRPr="00C35463">
              <w:rPr>
                <w:kern w:val="24"/>
                <w:vertAlign w:val="superscript"/>
                <w:lang w:eastAsia="ru-RU"/>
              </w:rPr>
              <w:t>3</w:t>
            </w:r>
            <w:r w:rsidRPr="00C35463">
              <w:rPr>
                <w:kern w:val="24"/>
                <w:lang w:eastAsia="ru-RU"/>
              </w:rPr>
              <w:t>(STP)·cm</w:t>
            </w:r>
            <w:r w:rsidRPr="00C35463">
              <w:rPr>
                <w:kern w:val="24"/>
                <w:vertAlign w:val="superscript"/>
                <w:lang w:eastAsia="ru-RU"/>
              </w:rPr>
              <w:t>−3</w:t>
            </w:r>
            <w:r w:rsidRPr="00C35463">
              <w:rPr>
                <w:kern w:val="24"/>
                <w:lang w:eastAsia="ru-RU"/>
              </w:rPr>
              <w:t>·cm Hg</w:t>
            </w:r>
            <w:r w:rsidRPr="00C35463">
              <w:rPr>
                <w:kern w:val="24"/>
                <w:vertAlign w:val="superscript"/>
                <w:lang w:eastAsia="ru-RU"/>
              </w:rPr>
              <w:t>−1</w:t>
            </w:r>
          </w:p>
        </w:tc>
      </w:tr>
      <w:tr w:rsidR="00EA36FE" w:rsidRPr="00C35463" w:rsidTr="00EA36FE">
        <w:trPr>
          <w:cantSplit/>
          <w:trHeight w:val="227"/>
          <w:jc w:val="center"/>
        </w:trPr>
        <w:tc>
          <w:tcPr>
            <w:tcW w:w="0" w:type="auto"/>
            <w:tcMar>
              <w:top w:w="15" w:type="dxa"/>
              <w:left w:w="108" w:type="dxa"/>
              <w:bottom w:w="0" w:type="dxa"/>
              <w:right w:w="108" w:type="dxa"/>
            </w:tcMar>
            <w:vAlign w:val="center"/>
          </w:tcPr>
          <w:p w:rsidR="00EA36FE" w:rsidRPr="00C35463" w:rsidRDefault="00EA36FE" w:rsidP="00EA36FE">
            <w:pPr>
              <w:pStyle w:val="ArticleTable"/>
              <w:rPr>
                <w:b/>
              </w:rPr>
            </w:pPr>
            <w:proofErr w:type="spellStart"/>
            <w:r w:rsidRPr="00C35463">
              <w:rPr>
                <w:b/>
                <w:color w:val="auto"/>
              </w:rPr>
              <w:t>PNBpin</w:t>
            </w:r>
            <w:proofErr w:type="spellEnd"/>
          </w:p>
        </w:tc>
        <w:tc>
          <w:tcPr>
            <w:tcW w:w="0" w:type="auto"/>
            <w:tcMar>
              <w:top w:w="15" w:type="dxa"/>
              <w:left w:w="108" w:type="dxa"/>
              <w:bottom w:w="0" w:type="dxa"/>
              <w:right w:w="108" w:type="dxa"/>
            </w:tcMar>
          </w:tcPr>
          <w:p w:rsidR="00EA36FE" w:rsidRPr="00C35463" w:rsidRDefault="00EA36FE" w:rsidP="00EA36FE">
            <w:pPr>
              <w:pStyle w:val="ArticleTable"/>
            </w:pPr>
            <w:r w:rsidRPr="00565DC4">
              <w:rPr>
                <w:lang w:val="ru-RU"/>
              </w:rPr>
              <w:t>–</w:t>
            </w:r>
          </w:p>
        </w:tc>
        <w:tc>
          <w:tcPr>
            <w:tcW w:w="0" w:type="auto"/>
            <w:tcMar>
              <w:top w:w="15" w:type="dxa"/>
              <w:left w:w="108" w:type="dxa"/>
              <w:bottom w:w="0" w:type="dxa"/>
              <w:right w:w="108" w:type="dxa"/>
            </w:tcMar>
          </w:tcPr>
          <w:p w:rsidR="00EA36FE" w:rsidRPr="00C35463" w:rsidRDefault="00EA36FE" w:rsidP="00EA36FE">
            <w:pPr>
              <w:pStyle w:val="ArticleTable"/>
            </w:pPr>
            <w:r w:rsidRPr="00565DC4">
              <w:rPr>
                <w:lang w:val="ru-RU"/>
              </w:rPr>
              <w:t>–</w:t>
            </w:r>
          </w:p>
        </w:tc>
        <w:tc>
          <w:tcPr>
            <w:tcW w:w="0" w:type="auto"/>
            <w:tcMar>
              <w:top w:w="15" w:type="dxa"/>
              <w:left w:w="108" w:type="dxa"/>
              <w:bottom w:w="0" w:type="dxa"/>
              <w:right w:w="108" w:type="dxa"/>
            </w:tcMar>
            <w:vAlign w:val="center"/>
          </w:tcPr>
          <w:p w:rsidR="00EA36FE" w:rsidRPr="00C35463" w:rsidRDefault="00EA36FE" w:rsidP="00EA36FE">
            <w:pPr>
              <w:pStyle w:val="ArticleTable"/>
            </w:pPr>
            <w:r w:rsidRPr="00C35463">
              <w:t>1.3</w:t>
            </w:r>
          </w:p>
        </w:tc>
        <w:tc>
          <w:tcPr>
            <w:tcW w:w="0" w:type="auto"/>
            <w:tcMar>
              <w:top w:w="15" w:type="dxa"/>
              <w:left w:w="108" w:type="dxa"/>
              <w:bottom w:w="0" w:type="dxa"/>
              <w:right w:w="108" w:type="dxa"/>
            </w:tcMar>
            <w:vAlign w:val="center"/>
          </w:tcPr>
          <w:p w:rsidR="00EA36FE" w:rsidRPr="00C35463" w:rsidRDefault="00EA36FE" w:rsidP="00EA36FE">
            <w:pPr>
              <w:pStyle w:val="ArticleTable"/>
            </w:pPr>
            <w:r w:rsidRPr="00C35463">
              <w:t>2.7</w:t>
            </w:r>
          </w:p>
        </w:tc>
        <w:tc>
          <w:tcPr>
            <w:tcW w:w="0" w:type="auto"/>
            <w:tcMar>
              <w:top w:w="15" w:type="dxa"/>
              <w:left w:w="108" w:type="dxa"/>
              <w:bottom w:w="0" w:type="dxa"/>
              <w:right w:w="108" w:type="dxa"/>
            </w:tcMar>
            <w:vAlign w:val="center"/>
          </w:tcPr>
          <w:p w:rsidR="00EA36FE" w:rsidRPr="00C35463" w:rsidRDefault="00EA36FE" w:rsidP="00EA36FE">
            <w:pPr>
              <w:pStyle w:val="ArticleTable"/>
            </w:pPr>
            <w:r w:rsidRPr="00C35463">
              <w:t>50</w:t>
            </w:r>
          </w:p>
        </w:tc>
        <w:tc>
          <w:tcPr>
            <w:tcW w:w="0" w:type="auto"/>
            <w:tcMar>
              <w:top w:w="15" w:type="dxa"/>
              <w:left w:w="108" w:type="dxa"/>
              <w:bottom w:w="0" w:type="dxa"/>
              <w:right w:w="108" w:type="dxa"/>
            </w:tcMar>
            <w:vAlign w:val="center"/>
          </w:tcPr>
          <w:p w:rsidR="00EA36FE" w:rsidRPr="00C35463" w:rsidRDefault="00EA36FE" w:rsidP="00EA36FE">
            <w:pPr>
              <w:pStyle w:val="ArticleTable"/>
            </w:pPr>
            <w:r w:rsidRPr="00C35463">
              <w:t>7.1</w:t>
            </w:r>
          </w:p>
        </w:tc>
      </w:tr>
      <w:tr w:rsidR="00EA36FE" w:rsidRPr="00C35463" w:rsidTr="00EA36FE">
        <w:trPr>
          <w:cantSplit/>
          <w:trHeight w:val="227"/>
          <w:jc w:val="center"/>
        </w:trPr>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rPr>
                <w:b/>
                <w:color w:val="auto"/>
                <w:lang w:val="ru-RU"/>
              </w:rPr>
            </w:pPr>
            <w:r w:rsidRPr="00C35463">
              <w:rPr>
                <w:b/>
                <w:color w:val="auto"/>
              </w:rPr>
              <w:t>PNB</w:t>
            </w:r>
            <w:r w:rsidRPr="00C35463">
              <w:rPr>
                <w:color w:val="auto"/>
                <w:lang w:val="ru-RU"/>
              </w:rPr>
              <w:t xml:space="preserve"> </w:t>
            </w:r>
            <w:r w:rsidRPr="00C35463">
              <w:rPr>
                <w:color w:val="auto"/>
              </w:rPr>
              <w:t>[6]</w:t>
            </w:r>
          </w:p>
        </w:tc>
        <w:tc>
          <w:tcPr>
            <w:tcW w:w="0" w:type="auto"/>
            <w:tcBorders>
              <w:bottom w:val="single" w:sz="4" w:space="0" w:color="auto"/>
            </w:tcBorders>
            <w:tcMar>
              <w:top w:w="15" w:type="dxa"/>
              <w:left w:w="108" w:type="dxa"/>
              <w:bottom w:w="0" w:type="dxa"/>
              <w:right w:w="108" w:type="dxa"/>
            </w:tcMar>
          </w:tcPr>
          <w:p w:rsidR="00EA36FE" w:rsidRPr="00C35463" w:rsidRDefault="00EA36FE" w:rsidP="00EA36FE">
            <w:pPr>
              <w:pStyle w:val="ArticleTable"/>
            </w:pPr>
            <w:r w:rsidRPr="00565DC4">
              <w:rPr>
                <w:lang w:val="ru-RU"/>
              </w:rPr>
              <w:t>–</w:t>
            </w:r>
          </w:p>
        </w:tc>
        <w:tc>
          <w:tcPr>
            <w:tcW w:w="0" w:type="auto"/>
            <w:tcBorders>
              <w:bottom w:val="single" w:sz="4" w:space="0" w:color="auto"/>
            </w:tcBorders>
            <w:tcMar>
              <w:top w:w="15" w:type="dxa"/>
              <w:left w:w="108" w:type="dxa"/>
              <w:bottom w:w="0" w:type="dxa"/>
              <w:right w:w="108" w:type="dxa"/>
            </w:tcMar>
          </w:tcPr>
          <w:p w:rsidR="00EA36FE" w:rsidRPr="00C35463" w:rsidRDefault="00EA36FE" w:rsidP="00EA36FE">
            <w:pPr>
              <w:pStyle w:val="ArticleTable"/>
            </w:pPr>
            <w:r w:rsidRPr="00565DC4">
              <w:rPr>
                <w:lang w:val="ru-RU"/>
              </w:rPr>
              <w:t>–</w:t>
            </w:r>
          </w:p>
        </w:tc>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1</w:t>
            </w:r>
            <w:r w:rsidRPr="00C35463">
              <w:rPr>
                <w:lang w:val="ru-RU"/>
              </w:rPr>
              <w:t>.</w:t>
            </w:r>
            <w:r w:rsidRPr="00C35463">
              <w:t>2</w:t>
            </w:r>
          </w:p>
        </w:tc>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1</w:t>
            </w:r>
            <w:r w:rsidRPr="00C35463">
              <w:rPr>
                <w:lang w:val="ru-RU"/>
              </w:rPr>
              <w:t>.</w:t>
            </w:r>
            <w:r w:rsidRPr="00C35463">
              <w:t>8</w:t>
            </w:r>
          </w:p>
        </w:tc>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16</w:t>
            </w:r>
            <w:r w:rsidRPr="00C35463">
              <w:rPr>
                <w:lang w:val="ru-RU"/>
              </w:rPr>
              <w:t>.</w:t>
            </w:r>
            <w:r w:rsidRPr="00C35463">
              <w:t>8</w:t>
            </w:r>
          </w:p>
        </w:tc>
        <w:tc>
          <w:tcPr>
            <w:tcW w:w="0" w:type="auto"/>
            <w:tcBorders>
              <w:bottom w:val="single" w:sz="4" w:space="0" w:color="auto"/>
            </w:tcBorders>
            <w:tcMar>
              <w:top w:w="15" w:type="dxa"/>
              <w:left w:w="108" w:type="dxa"/>
              <w:bottom w:w="0" w:type="dxa"/>
              <w:right w:w="108" w:type="dxa"/>
            </w:tcMar>
            <w:vAlign w:val="center"/>
          </w:tcPr>
          <w:p w:rsidR="00EA36FE" w:rsidRPr="00C35463" w:rsidRDefault="00EA36FE" w:rsidP="00EA36FE">
            <w:pPr>
              <w:pStyle w:val="ArticleTable"/>
            </w:pPr>
            <w:r w:rsidRPr="00C35463">
              <w:t>5</w:t>
            </w:r>
            <w:r w:rsidRPr="00C35463">
              <w:rPr>
                <w:lang w:val="ru-RU"/>
              </w:rPr>
              <w:t>.</w:t>
            </w:r>
            <w:r w:rsidRPr="00C35463">
              <w:t>3</w:t>
            </w:r>
          </w:p>
        </w:tc>
      </w:tr>
      <w:tr w:rsidR="00EA36FE" w:rsidRPr="006C6033" w:rsidTr="00EA36FE">
        <w:trPr>
          <w:cantSplit/>
          <w:trHeight w:val="227"/>
          <w:jc w:val="center"/>
        </w:trPr>
        <w:tc>
          <w:tcPr>
            <w:tcW w:w="0" w:type="auto"/>
            <w:gridSpan w:val="7"/>
            <w:tcBorders>
              <w:top w:val="single" w:sz="4" w:space="0" w:color="auto"/>
            </w:tcBorders>
            <w:tcMar>
              <w:top w:w="15" w:type="dxa"/>
              <w:left w:w="108" w:type="dxa"/>
              <w:bottom w:w="0" w:type="dxa"/>
              <w:right w:w="108" w:type="dxa"/>
            </w:tcMar>
            <w:vAlign w:val="center"/>
          </w:tcPr>
          <w:p w:rsidR="00EA36FE" w:rsidRPr="00EA36FE" w:rsidRDefault="00EA36FE" w:rsidP="00EA36FE">
            <w:pPr>
              <w:pStyle w:val="ArticleTableLegend"/>
            </w:pPr>
            <w:proofErr w:type="gramStart"/>
            <w:r w:rsidRPr="00EA36FE">
              <w:rPr>
                <w:rStyle w:val="Captions0"/>
                <w:rFonts w:ascii="Arial" w:hAnsi="Arial" w:cs="Arial"/>
                <w:i/>
                <w:sz w:val="20"/>
                <w:vertAlign w:val="superscript"/>
              </w:rPr>
              <w:t>a</w:t>
            </w:r>
            <w:proofErr w:type="gramEnd"/>
            <w:r w:rsidRPr="00EA36FE">
              <w:rPr>
                <w:rStyle w:val="Captions0"/>
                <w:rFonts w:ascii="Arial" w:hAnsi="Arial" w:cs="Arial"/>
                <w:sz w:val="20"/>
              </w:rPr>
              <w:t xml:space="preserve"> </w:t>
            </w:r>
            <w:r w:rsidRPr="006125A6">
              <w:t xml:space="preserve">1 </w:t>
            </w:r>
            <w:proofErr w:type="spellStart"/>
            <w:r>
              <w:t>Barrer</w:t>
            </w:r>
            <w:proofErr w:type="spellEnd"/>
            <w:r w:rsidRPr="006125A6">
              <w:t xml:space="preserve"> = 10</w:t>
            </w:r>
            <w:r w:rsidRPr="006125A6">
              <w:rPr>
                <w:vertAlign w:val="superscript"/>
              </w:rPr>
              <w:t>–10</w:t>
            </w:r>
            <w:r w:rsidRPr="006125A6">
              <w:t xml:space="preserve"> cm</w:t>
            </w:r>
            <w:r w:rsidRPr="006125A6">
              <w:rPr>
                <w:vertAlign w:val="superscript"/>
              </w:rPr>
              <w:t>3</w:t>
            </w:r>
            <w:r w:rsidRPr="006125A6">
              <w:t xml:space="preserve"> (</w:t>
            </w:r>
            <w:r w:rsidRPr="00926C1B">
              <w:t>STP</w:t>
            </w:r>
            <w:r w:rsidRPr="006125A6">
              <w:t>)</w:t>
            </w:r>
            <w:r>
              <w:t>cm (cm</w:t>
            </w:r>
            <w:r>
              <w:rPr>
                <w:vertAlign w:val="superscript"/>
              </w:rPr>
              <w:t>2</w:t>
            </w:r>
            <w:r>
              <w:t>·s·cm·Hg)</w:t>
            </w:r>
            <w:r w:rsidRPr="00C35463">
              <w:rPr>
                <w:vertAlign w:val="superscript"/>
              </w:rPr>
              <w:t>–1</w:t>
            </w:r>
            <w:r w:rsidRPr="006125A6">
              <w:t>.</w:t>
            </w:r>
          </w:p>
        </w:tc>
      </w:tr>
    </w:tbl>
    <w:p w:rsidR="00EA36FE" w:rsidRDefault="00EA36FE" w:rsidP="00C8338A">
      <w:pPr>
        <w:pStyle w:val="Text"/>
        <w:spacing w:before="200"/>
        <w:rPr>
          <w:lang w:val="en-US"/>
        </w:rPr>
      </w:pPr>
      <w:r w:rsidRPr="00247633">
        <w:rPr>
          <w:lang w:val="en-US"/>
        </w:rPr>
        <w:t xml:space="preserve">The ideal gas separation </w:t>
      </w:r>
      <w:proofErr w:type="spellStart"/>
      <w:r w:rsidRPr="00247633">
        <w:rPr>
          <w:lang w:val="en-US"/>
        </w:rPr>
        <w:t>selectivities</w:t>
      </w:r>
      <w:proofErr w:type="spellEnd"/>
      <w:r w:rsidRPr="00247633">
        <w:rPr>
          <w:lang w:val="en-US"/>
        </w:rPr>
        <w:t xml:space="preserve"> for </w:t>
      </w:r>
      <w:proofErr w:type="spellStart"/>
      <w:r w:rsidRPr="003A73DA">
        <w:rPr>
          <w:b/>
          <w:bCs/>
          <w:lang w:val="en-US"/>
        </w:rPr>
        <w:t>PNBpin</w:t>
      </w:r>
      <w:proofErr w:type="spellEnd"/>
      <w:r w:rsidRPr="00247633">
        <w:rPr>
          <w:lang w:val="en-US"/>
        </w:rPr>
        <w:t xml:space="preserve"> significantly exceed the corresponding values for more permeable </w:t>
      </w:r>
      <w:r w:rsidRPr="003A73DA">
        <w:rPr>
          <w:b/>
          <w:bCs/>
          <w:lang w:val="en-US"/>
        </w:rPr>
        <w:t>PNB</w:t>
      </w:r>
      <w:r w:rsidRPr="00587174">
        <w:rPr>
          <w:lang w:val="en-US"/>
        </w:rPr>
        <w:t xml:space="preserve"> </w:t>
      </w:r>
      <w:r w:rsidRPr="00247633">
        <w:rPr>
          <w:lang w:val="en-US"/>
        </w:rPr>
        <w:t xml:space="preserve">and, in some cases, for </w:t>
      </w:r>
      <w:r w:rsidRPr="003A73DA">
        <w:rPr>
          <w:b/>
          <w:bCs/>
          <w:lang w:val="en-US"/>
        </w:rPr>
        <w:t>CA</w:t>
      </w:r>
      <w:r w:rsidRPr="00247633">
        <w:rPr>
          <w:lang w:val="en-US"/>
        </w:rPr>
        <w:t xml:space="preserve"> (Table 3). In particular, a high value of selectivity for the CO</w:t>
      </w:r>
      <w:r w:rsidRPr="003A73DA">
        <w:rPr>
          <w:vertAlign w:val="subscript"/>
          <w:lang w:val="en-US"/>
        </w:rPr>
        <w:t>2</w:t>
      </w:r>
      <w:r w:rsidRPr="00247633">
        <w:rPr>
          <w:lang w:val="en-US"/>
        </w:rPr>
        <w:t>/N</w:t>
      </w:r>
      <w:r w:rsidRPr="003A73DA">
        <w:rPr>
          <w:vertAlign w:val="subscript"/>
          <w:lang w:val="en-US"/>
        </w:rPr>
        <w:t>2</w:t>
      </w:r>
      <w:r w:rsidRPr="00247633">
        <w:rPr>
          <w:lang w:val="en-US"/>
        </w:rPr>
        <w:t xml:space="preserve"> pair (more than 25) was obtained for </w:t>
      </w:r>
      <w:proofErr w:type="spellStart"/>
      <w:r w:rsidRPr="003A73DA">
        <w:rPr>
          <w:b/>
          <w:bCs/>
          <w:lang w:val="en-US"/>
        </w:rPr>
        <w:t>PNBpin</w:t>
      </w:r>
      <w:proofErr w:type="spellEnd"/>
      <w:r w:rsidRPr="00247633">
        <w:rPr>
          <w:lang w:val="en-US"/>
        </w:rPr>
        <w:t xml:space="preserve">, which </w:t>
      </w:r>
      <w:r>
        <w:rPr>
          <w:lang w:val="en-US"/>
        </w:rPr>
        <w:t xml:space="preserve">indicates its high potential as </w:t>
      </w:r>
      <w:r w:rsidRPr="00247633">
        <w:rPr>
          <w:lang w:val="en-US"/>
        </w:rPr>
        <w:t>a promising membrane material for further detailed studies.</w:t>
      </w:r>
    </w:p>
    <w:p w:rsidR="00EA36FE" w:rsidRPr="009667F3" w:rsidRDefault="00EA36FE" w:rsidP="00EA36FE">
      <w:pPr>
        <w:pStyle w:val="MainHeader"/>
      </w:pPr>
      <w:r w:rsidRPr="009667F3">
        <w:t>Experiment</w:t>
      </w:r>
      <w:r>
        <w:t>al section</w:t>
      </w:r>
    </w:p>
    <w:p w:rsidR="00EA36FE" w:rsidRPr="00DA07B9" w:rsidRDefault="00EA36FE" w:rsidP="00EA36FE">
      <w:pPr>
        <w:pStyle w:val="Text"/>
        <w:rPr>
          <w:lang w:val="en-US"/>
        </w:rPr>
      </w:pPr>
      <w:r w:rsidRPr="00DA07B9">
        <w:rPr>
          <w:lang w:val="en-US"/>
        </w:rPr>
        <w:t xml:space="preserve">To study gas permeability, </w:t>
      </w:r>
      <w:r w:rsidRPr="00AF4E8B">
        <w:rPr>
          <w:bCs/>
          <w:lang w:val="en-US"/>
        </w:rPr>
        <w:t xml:space="preserve">the </w:t>
      </w:r>
      <w:r w:rsidRPr="00DA07B9">
        <w:rPr>
          <w:lang w:val="en-US"/>
        </w:rPr>
        <w:t>films 80</w:t>
      </w:r>
      <w:r w:rsidRPr="00AF4E8B">
        <w:rPr>
          <w:bCs/>
          <w:lang w:val="en-US"/>
        </w:rPr>
        <w:t>–</w:t>
      </w:r>
      <w:r w:rsidRPr="00DA07B9">
        <w:rPr>
          <w:lang w:val="en-US"/>
        </w:rPr>
        <w:t xml:space="preserve">90 </w:t>
      </w:r>
      <w:r w:rsidRPr="00051929">
        <w:t>μ</w:t>
      </w:r>
      <w:r w:rsidRPr="00DA07B9">
        <w:rPr>
          <w:lang w:val="en-US"/>
        </w:rPr>
        <w:t xml:space="preserve">m </w:t>
      </w:r>
      <w:r w:rsidRPr="00AF4E8B">
        <w:rPr>
          <w:bCs/>
          <w:lang w:val="en-US"/>
        </w:rPr>
        <w:t xml:space="preserve">in </w:t>
      </w:r>
      <w:r w:rsidRPr="00DA07B9">
        <w:rPr>
          <w:lang w:val="en-US"/>
        </w:rPr>
        <w:t>thick</w:t>
      </w:r>
      <w:r w:rsidRPr="00AF4E8B">
        <w:rPr>
          <w:bCs/>
          <w:lang w:val="en-US"/>
        </w:rPr>
        <w:t>ness</w:t>
      </w:r>
      <w:r w:rsidRPr="00DA07B9">
        <w:rPr>
          <w:lang w:val="en-US"/>
        </w:rPr>
        <w:t xml:space="preserve"> were cast from a 5% polymer solution in chloroform. After evaporation of the solvent, the films were evacuated at room</w:t>
      </w:r>
    </w:p>
    <w:p w:rsidR="00EA36FE" w:rsidRPr="006C6033" w:rsidRDefault="00EA36FE" w:rsidP="00EA36FE">
      <w:pPr>
        <w:pStyle w:val="TableDescription"/>
        <w:rPr>
          <w:rStyle w:val="Captions0"/>
          <w:rFonts w:ascii="Arial" w:hAnsi="Arial" w:cstheme="minorBidi"/>
          <w:b w:val="0"/>
          <w:sz w:val="20"/>
          <w:szCs w:val="16"/>
        </w:rPr>
      </w:pPr>
      <w:proofErr w:type="gramStart"/>
      <w:r w:rsidRPr="006C6033">
        <w:rPr>
          <w:rStyle w:val="Captions0"/>
          <w:rFonts w:ascii="Arial" w:hAnsi="Arial" w:cstheme="minorBidi"/>
          <w:sz w:val="20"/>
          <w:szCs w:val="16"/>
        </w:rPr>
        <w:t>Table 3.</w:t>
      </w:r>
      <w:proofErr w:type="gramEnd"/>
      <w:r w:rsidRPr="006C6033">
        <w:rPr>
          <w:rStyle w:val="Captions0"/>
          <w:rFonts w:ascii="Arial" w:hAnsi="Arial" w:cstheme="minorBidi"/>
          <w:b w:val="0"/>
          <w:sz w:val="20"/>
          <w:szCs w:val="16"/>
        </w:rPr>
        <w:t xml:space="preserve"> Ideal permeability </w:t>
      </w:r>
      <w:proofErr w:type="spellStart"/>
      <w:r w:rsidRPr="006C6033">
        <w:rPr>
          <w:rStyle w:val="Captions0"/>
          <w:rFonts w:ascii="Arial" w:hAnsi="Arial" w:cstheme="minorBidi"/>
          <w:b w:val="0"/>
          <w:sz w:val="20"/>
          <w:szCs w:val="16"/>
        </w:rPr>
        <w:t>selectivities</w:t>
      </w:r>
      <w:proofErr w:type="spellEnd"/>
      <w:r w:rsidRPr="006C6033">
        <w:rPr>
          <w:rStyle w:val="Captions0"/>
          <w:rFonts w:ascii="Arial" w:hAnsi="Arial" w:cstheme="minorBidi"/>
          <w:b w:val="0"/>
          <w:sz w:val="20"/>
          <w:szCs w:val="16"/>
        </w:rPr>
        <w:t xml:space="preserve"> for different pairs of gases for </w:t>
      </w:r>
      <w:proofErr w:type="spellStart"/>
      <w:r w:rsidRPr="006C6033">
        <w:rPr>
          <w:b/>
          <w:lang w:val="en-US"/>
        </w:rPr>
        <w:t>PNBpin</w:t>
      </w:r>
      <w:proofErr w:type="spellEnd"/>
      <w:r w:rsidRPr="006C6033">
        <w:rPr>
          <w:rStyle w:val="Captions0"/>
          <w:rFonts w:ascii="Arial" w:hAnsi="Arial" w:cstheme="minorBidi"/>
          <w:b w:val="0"/>
          <w:sz w:val="20"/>
          <w:szCs w:val="16"/>
        </w:rPr>
        <w:t xml:space="preserve"> in comparison with </w:t>
      </w:r>
      <w:r w:rsidRPr="006C6033">
        <w:rPr>
          <w:b/>
          <w:lang w:val="en-US"/>
        </w:rPr>
        <w:t>PNB</w:t>
      </w:r>
      <w:r w:rsidRPr="006C6033">
        <w:rPr>
          <w:lang w:val="en-US"/>
        </w:rPr>
        <w:t xml:space="preserve"> and </w:t>
      </w:r>
      <w:r w:rsidRPr="006C6033">
        <w:rPr>
          <w:rStyle w:val="Captions0"/>
          <w:rFonts w:ascii="Arial" w:hAnsi="Arial" w:cstheme="minorBidi"/>
          <w:sz w:val="20"/>
          <w:szCs w:val="16"/>
        </w:rPr>
        <w:t>CA</w:t>
      </w:r>
    </w:p>
    <w:tbl>
      <w:tblPr>
        <w:tblW w:w="0" w:type="auto"/>
        <w:jc w:val="center"/>
        <w:tblBorders>
          <w:top w:val="single" w:sz="4" w:space="0" w:color="auto"/>
          <w:bottom w:val="single" w:sz="4" w:space="0" w:color="auto"/>
        </w:tblBorders>
        <w:tblCellMar>
          <w:left w:w="0" w:type="dxa"/>
          <w:right w:w="0" w:type="dxa"/>
        </w:tblCellMar>
        <w:tblLook w:val="04A0"/>
      </w:tblPr>
      <w:tblGrid>
        <w:gridCol w:w="950"/>
        <w:gridCol w:w="501"/>
        <w:gridCol w:w="645"/>
        <w:gridCol w:w="790"/>
        <w:gridCol w:w="490"/>
      </w:tblGrid>
      <w:tr w:rsidR="00EA36FE" w:rsidRPr="006C6033" w:rsidTr="00EA36FE">
        <w:trPr>
          <w:trHeight w:val="227"/>
          <w:jc w:val="center"/>
        </w:trPr>
        <w:tc>
          <w:tcPr>
            <w:tcW w:w="0" w:type="auto"/>
            <w:vMerge w:val="restart"/>
            <w:tcMar>
              <w:top w:w="15" w:type="dxa"/>
              <w:left w:w="108" w:type="dxa"/>
              <w:bottom w:w="0" w:type="dxa"/>
              <w:right w:w="108" w:type="dxa"/>
            </w:tcMar>
            <w:vAlign w:val="center"/>
            <w:hideMark/>
          </w:tcPr>
          <w:p w:rsidR="00EA36FE" w:rsidRPr="00617B95" w:rsidRDefault="00EA36FE" w:rsidP="00EA36FE">
            <w:pPr>
              <w:pStyle w:val="ArticleTable"/>
              <w:rPr>
                <w:lang w:eastAsia="ru-RU"/>
              </w:rPr>
            </w:pPr>
            <w:r w:rsidRPr="00617B95">
              <w:rPr>
                <w:kern w:val="24"/>
                <w:lang w:eastAsia="ru-RU"/>
              </w:rPr>
              <w:t>Polymer</w:t>
            </w:r>
          </w:p>
        </w:tc>
        <w:tc>
          <w:tcPr>
            <w:tcW w:w="0" w:type="auto"/>
            <w:gridSpan w:val="4"/>
            <w:tcBorders>
              <w:bottom w:val="single" w:sz="4" w:space="0" w:color="auto"/>
            </w:tcBorders>
            <w:vAlign w:val="center"/>
          </w:tcPr>
          <w:p w:rsidR="00EA36FE" w:rsidRPr="00617B95" w:rsidRDefault="00EA36FE" w:rsidP="00EA36FE">
            <w:pPr>
              <w:pStyle w:val="ArticleTable"/>
              <w:rPr>
                <w:kern w:val="24"/>
                <w:lang w:eastAsia="ru-RU"/>
              </w:rPr>
            </w:pPr>
            <w:r w:rsidRPr="00617B95">
              <w:rPr>
                <w:kern w:val="24"/>
                <w:lang w:eastAsia="ru-RU"/>
              </w:rPr>
              <w:t>Ideal selectivity (α</w:t>
            </w:r>
            <w:r>
              <w:rPr>
                <w:kern w:val="24"/>
                <w:lang w:eastAsia="ru-RU"/>
              </w:rPr>
              <w:t xml:space="preserve"> </w:t>
            </w:r>
            <w:r w:rsidRPr="00617B95">
              <w:rPr>
                <w:kern w:val="24"/>
                <w:lang w:eastAsia="ru-RU"/>
              </w:rPr>
              <w:t>=</w:t>
            </w:r>
            <w:r>
              <w:rPr>
                <w:kern w:val="24"/>
                <w:lang w:eastAsia="ru-RU"/>
              </w:rPr>
              <w:t xml:space="preserve"> </w:t>
            </w:r>
            <w:r w:rsidRPr="003A73DA">
              <w:rPr>
                <w:i/>
                <w:iCs/>
                <w:kern w:val="24"/>
                <w:lang w:eastAsia="ru-RU"/>
              </w:rPr>
              <w:t>P</w:t>
            </w:r>
            <w:r w:rsidRPr="003A73DA">
              <w:rPr>
                <w:i/>
                <w:kern w:val="24"/>
                <w:vertAlign w:val="subscript"/>
                <w:lang w:eastAsia="ru-RU"/>
              </w:rPr>
              <w:t>i</w:t>
            </w:r>
            <w:r w:rsidRPr="00617B95">
              <w:rPr>
                <w:kern w:val="24"/>
                <w:lang w:eastAsia="ru-RU"/>
              </w:rPr>
              <w:t>/</w:t>
            </w:r>
            <w:proofErr w:type="spellStart"/>
            <w:r w:rsidRPr="003A73DA">
              <w:rPr>
                <w:i/>
                <w:iCs/>
                <w:kern w:val="24"/>
                <w:lang w:eastAsia="ru-RU"/>
              </w:rPr>
              <w:t>P</w:t>
            </w:r>
            <w:r w:rsidRPr="00617B95">
              <w:rPr>
                <w:i/>
                <w:kern w:val="24"/>
                <w:vertAlign w:val="subscript"/>
                <w:lang w:eastAsia="ru-RU"/>
              </w:rPr>
              <w:t>j</w:t>
            </w:r>
            <w:proofErr w:type="spellEnd"/>
            <w:r w:rsidRPr="00617B95">
              <w:rPr>
                <w:kern w:val="24"/>
                <w:lang w:eastAsia="ru-RU"/>
              </w:rPr>
              <w:t>)</w:t>
            </w:r>
          </w:p>
        </w:tc>
      </w:tr>
      <w:tr w:rsidR="00EA36FE" w:rsidRPr="00617B95" w:rsidTr="00EA36FE">
        <w:trPr>
          <w:trHeight w:val="227"/>
          <w:jc w:val="center"/>
        </w:trPr>
        <w:tc>
          <w:tcPr>
            <w:tcW w:w="0" w:type="auto"/>
            <w:vMerge/>
            <w:tcBorders>
              <w:bottom w:val="single" w:sz="4" w:space="0" w:color="auto"/>
            </w:tcBorders>
            <w:vAlign w:val="center"/>
            <w:hideMark/>
          </w:tcPr>
          <w:p w:rsidR="00EA36FE" w:rsidRPr="00617B95" w:rsidRDefault="00EA36FE" w:rsidP="00EA36FE">
            <w:pPr>
              <w:pStyle w:val="ArticleTable"/>
              <w:rPr>
                <w:lang w:eastAsia="ru-RU"/>
              </w:rPr>
            </w:pPr>
          </w:p>
        </w:tc>
        <w:tc>
          <w:tcPr>
            <w:tcW w:w="0" w:type="auto"/>
            <w:tcBorders>
              <w:top w:val="single" w:sz="4" w:space="0" w:color="auto"/>
              <w:bottom w:val="single" w:sz="4" w:space="0" w:color="auto"/>
            </w:tcBorders>
            <w:vAlign w:val="center"/>
          </w:tcPr>
          <w:p w:rsidR="00EA36FE" w:rsidRPr="00617B95" w:rsidRDefault="00EA36FE" w:rsidP="00EA36FE">
            <w:pPr>
              <w:pStyle w:val="ArticleTable"/>
              <w:rPr>
                <w:kern w:val="24"/>
                <w:lang w:eastAsia="ru-RU"/>
              </w:rPr>
            </w:pPr>
            <w:r w:rsidRPr="00617B95">
              <w:t>O</w:t>
            </w:r>
            <w:r w:rsidRPr="00617B95">
              <w:rPr>
                <w:vertAlign w:val="subscript"/>
              </w:rPr>
              <w:t>2</w:t>
            </w:r>
            <w:r w:rsidRPr="00617B95">
              <w:t>/N</w:t>
            </w:r>
            <w:r w:rsidRPr="00617B95">
              <w:rPr>
                <w:vertAlign w:val="subscript"/>
              </w:rPr>
              <w:t>2</w:t>
            </w:r>
          </w:p>
        </w:tc>
        <w:tc>
          <w:tcPr>
            <w:tcW w:w="0" w:type="auto"/>
            <w:tcBorders>
              <w:top w:val="single" w:sz="4" w:space="0" w:color="auto"/>
              <w:bottom w:val="single" w:sz="4" w:space="0" w:color="auto"/>
            </w:tcBorders>
            <w:vAlign w:val="center"/>
          </w:tcPr>
          <w:p w:rsidR="00EA36FE" w:rsidRPr="00617B95" w:rsidRDefault="00EA36FE" w:rsidP="00EA36FE">
            <w:pPr>
              <w:pStyle w:val="ArticleTable"/>
            </w:pPr>
            <w:r w:rsidRPr="00617B95">
              <w:t>CO</w:t>
            </w:r>
            <w:r w:rsidRPr="00617B95">
              <w:rPr>
                <w:vertAlign w:val="subscript"/>
              </w:rPr>
              <w:t>2</w:t>
            </w:r>
            <w:r w:rsidRPr="00617B95">
              <w:t>/N</w:t>
            </w:r>
            <w:r w:rsidRPr="00617B95">
              <w:rPr>
                <w:vertAlign w:val="subscript"/>
              </w:rPr>
              <w:t>2</w:t>
            </w:r>
          </w:p>
        </w:tc>
        <w:tc>
          <w:tcPr>
            <w:tcW w:w="0" w:type="auto"/>
            <w:tcBorders>
              <w:top w:val="single" w:sz="4" w:space="0" w:color="auto"/>
              <w:bottom w:val="single" w:sz="4" w:space="0" w:color="auto"/>
            </w:tcBorders>
            <w:vAlign w:val="center"/>
          </w:tcPr>
          <w:p w:rsidR="00EA36FE" w:rsidRPr="00617B95" w:rsidRDefault="00EA36FE" w:rsidP="00EA36FE">
            <w:pPr>
              <w:pStyle w:val="ArticleTable"/>
            </w:pPr>
            <w:r w:rsidRPr="00617B95">
              <w:t>CO</w:t>
            </w:r>
            <w:r w:rsidRPr="00617B95">
              <w:rPr>
                <w:vertAlign w:val="subscript"/>
              </w:rPr>
              <w:t>2</w:t>
            </w:r>
            <w:r w:rsidRPr="00617B95">
              <w:t>/CH</w:t>
            </w:r>
            <w:r w:rsidRPr="00617B95">
              <w:rPr>
                <w:vertAlign w:val="subscript"/>
              </w:rPr>
              <w:t>4</w:t>
            </w:r>
          </w:p>
        </w:tc>
        <w:tc>
          <w:tcPr>
            <w:tcW w:w="0" w:type="auto"/>
            <w:tcBorders>
              <w:top w:val="single" w:sz="4" w:space="0" w:color="auto"/>
              <w:bottom w:val="single" w:sz="4" w:space="0" w:color="auto"/>
            </w:tcBorders>
            <w:vAlign w:val="center"/>
          </w:tcPr>
          <w:p w:rsidR="00EA36FE" w:rsidRPr="00617B95" w:rsidRDefault="00EA36FE" w:rsidP="00EA36FE">
            <w:pPr>
              <w:pStyle w:val="ArticleTable"/>
              <w:rPr>
                <w:lang w:eastAsia="ru-RU"/>
              </w:rPr>
            </w:pPr>
            <w:r w:rsidRPr="00617B95">
              <w:rPr>
                <w:kern w:val="24"/>
                <w:lang w:eastAsia="ru-RU"/>
              </w:rPr>
              <w:t>H</w:t>
            </w:r>
            <w:r w:rsidRPr="00617B95">
              <w:rPr>
                <w:kern w:val="24"/>
                <w:vertAlign w:val="subscript"/>
                <w:lang w:eastAsia="ru-RU"/>
              </w:rPr>
              <w:t>2</w:t>
            </w:r>
            <w:r w:rsidRPr="00617B95">
              <w:rPr>
                <w:kern w:val="24"/>
                <w:lang w:eastAsia="ru-RU"/>
              </w:rPr>
              <w:t>/N</w:t>
            </w:r>
            <w:r w:rsidRPr="00617B95">
              <w:rPr>
                <w:kern w:val="24"/>
                <w:vertAlign w:val="subscript"/>
                <w:lang w:eastAsia="ru-RU"/>
              </w:rPr>
              <w:t>2</w:t>
            </w:r>
          </w:p>
        </w:tc>
      </w:tr>
      <w:tr w:rsidR="00EA36FE" w:rsidRPr="00617B95" w:rsidTr="00EA36FE">
        <w:trPr>
          <w:trHeight w:val="227"/>
          <w:jc w:val="center"/>
        </w:trPr>
        <w:tc>
          <w:tcPr>
            <w:tcW w:w="0" w:type="auto"/>
            <w:tcMar>
              <w:top w:w="15" w:type="dxa"/>
              <w:left w:w="108" w:type="dxa"/>
              <w:bottom w:w="0" w:type="dxa"/>
              <w:right w:w="108" w:type="dxa"/>
            </w:tcMar>
            <w:vAlign w:val="center"/>
          </w:tcPr>
          <w:p w:rsidR="00EA36FE" w:rsidRPr="005A4CD6" w:rsidRDefault="00EA36FE" w:rsidP="00EA36FE">
            <w:pPr>
              <w:pStyle w:val="ArticleTable"/>
              <w:rPr>
                <w:b/>
              </w:rPr>
            </w:pPr>
            <w:proofErr w:type="spellStart"/>
            <w:r w:rsidRPr="005A4CD6">
              <w:rPr>
                <w:b/>
                <w:color w:val="auto"/>
              </w:rPr>
              <w:t>PNBpin</w:t>
            </w:r>
            <w:proofErr w:type="spellEnd"/>
          </w:p>
        </w:tc>
        <w:tc>
          <w:tcPr>
            <w:tcW w:w="0" w:type="auto"/>
            <w:vAlign w:val="center"/>
          </w:tcPr>
          <w:p w:rsidR="00EA36FE" w:rsidRPr="005A4CD6" w:rsidRDefault="00EA36FE" w:rsidP="00EA36FE">
            <w:pPr>
              <w:pStyle w:val="ArticleTable"/>
              <w:rPr>
                <w:kern w:val="24"/>
                <w:lang w:eastAsia="ru-RU"/>
              </w:rPr>
            </w:pPr>
            <w:r w:rsidRPr="005A4CD6">
              <w:rPr>
                <w:kern w:val="24"/>
                <w:lang w:eastAsia="ru-RU"/>
              </w:rPr>
              <w:t>6.3</w:t>
            </w:r>
          </w:p>
        </w:tc>
        <w:tc>
          <w:tcPr>
            <w:tcW w:w="0" w:type="auto"/>
            <w:vAlign w:val="center"/>
          </w:tcPr>
          <w:p w:rsidR="00EA36FE" w:rsidRPr="005A4CD6" w:rsidRDefault="00EA36FE" w:rsidP="00EA36FE">
            <w:pPr>
              <w:pStyle w:val="ArticleTable"/>
              <w:rPr>
                <w:kern w:val="24"/>
              </w:rPr>
            </w:pPr>
            <w:r w:rsidRPr="005A4CD6">
              <w:rPr>
                <w:kern w:val="24"/>
              </w:rPr>
              <w:t>27.9</w:t>
            </w:r>
          </w:p>
        </w:tc>
        <w:tc>
          <w:tcPr>
            <w:tcW w:w="0" w:type="auto"/>
            <w:vAlign w:val="center"/>
          </w:tcPr>
          <w:p w:rsidR="00EA36FE" w:rsidRPr="00617B95" w:rsidRDefault="00EA36FE" w:rsidP="00EA36FE">
            <w:pPr>
              <w:pStyle w:val="ArticleTable"/>
              <w:rPr>
                <w:kern w:val="24"/>
              </w:rPr>
            </w:pPr>
            <w:r w:rsidRPr="00617B95">
              <w:rPr>
                <w:kern w:val="24"/>
              </w:rPr>
              <w:t>16.8</w:t>
            </w:r>
          </w:p>
        </w:tc>
        <w:tc>
          <w:tcPr>
            <w:tcW w:w="0" w:type="auto"/>
            <w:vAlign w:val="center"/>
          </w:tcPr>
          <w:p w:rsidR="00EA36FE" w:rsidRPr="00617B95" w:rsidRDefault="00EA36FE" w:rsidP="00EA36FE">
            <w:pPr>
              <w:pStyle w:val="ArticleTable"/>
            </w:pPr>
            <w:r w:rsidRPr="00617B95">
              <w:t>54.2</w:t>
            </w:r>
          </w:p>
        </w:tc>
      </w:tr>
      <w:tr w:rsidR="00EA36FE" w:rsidRPr="00617B95" w:rsidTr="00EA36FE">
        <w:trPr>
          <w:trHeight w:val="227"/>
          <w:jc w:val="center"/>
        </w:trPr>
        <w:tc>
          <w:tcPr>
            <w:tcW w:w="0" w:type="auto"/>
            <w:tcMar>
              <w:top w:w="15" w:type="dxa"/>
              <w:left w:w="108" w:type="dxa"/>
              <w:bottom w:w="0" w:type="dxa"/>
              <w:right w:w="108" w:type="dxa"/>
            </w:tcMar>
            <w:vAlign w:val="center"/>
          </w:tcPr>
          <w:p w:rsidR="00EA36FE" w:rsidRPr="005A4CD6" w:rsidRDefault="00EA36FE" w:rsidP="00EA36FE">
            <w:pPr>
              <w:pStyle w:val="ArticleTable"/>
              <w:rPr>
                <w:b/>
                <w:color w:val="auto"/>
              </w:rPr>
            </w:pPr>
            <w:r w:rsidRPr="005A4CD6">
              <w:rPr>
                <w:b/>
                <w:color w:val="auto"/>
              </w:rPr>
              <w:t>PNB</w:t>
            </w:r>
            <w:r w:rsidRPr="003A73DA">
              <w:rPr>
                <w:bCs/>
                <w:color w:val="auto"/>
              </w:rPr>
              <w:t xml:space="preserve"> [6]</w:t>
            </w:r>
          </w:p>
        </w:tc>
        <w:tc>
          <w:tcPr>
            <w:tcW w:w="0" w:type="auto"/>
            <w:vAlign w:val="center"/>
          </w:tcPr>
          <w:p w:rsidR="00EA36FE" w:rsidRPr="005A4CD6" w:rsidRDefault="00EA36FE" w:rsidP="00EA36FE">
            <w:pPr>
              <w:pStyle w:val="ArticleTable"/>
              <w:rPr>
                <w:kern w:val="24"/>
                <w:lang w:eastAsia="ru-RU"/>
              </w:rPr>
            </w:pPr>
            <w:r w:rsidRPr="005A4CD6">
              <w:rPr>
                <w:kern w:val="24"/>
                <w:lang w:eastAsia="ru-RU"/>
              </w:rPr>
              <w:t>5.2</w:t>
            </w:r>
          </w:p>
        </w:tc>
        <w:tc>
          <w:tcPr>
            <w:tcW w:w="0" w:type="auto"/>
            <w:vAlign w:val="center"/>
          </w:tcPr>
          <w:p w:rsidR="00EA36FE" w:rsidRPr="005A4CD6" w:rsidRDefault="00EA36FE" w:rsidP="00EA36FE">
            <w:pPr>
              <w:pStyle w:val="ArticleTable"/>
              <w:rPr>
                <w:kern w:val="24"/>
              </w:rPr>
            </w:pPr>
            <w:r w:rsidRPr="005A4CD6">
              <w:rPr>
                <w:kern w:val="24"/>
              </w:rPr>
              <w:t>21.0</w:t>
            </w:r>
          </w:p>
        </w:tc>
        <w:tc>
          <w:tcPr>
            <w:tcW w:w="0" w:type="auto"/>
            <w:vAlign w:val="center"/>
          </w:tcPr>
          <w:p w:rsidR="00EA36FE" w:rsidRPr="00617B95" w:rsidRDefault="00EA36FE" w:rsidP="00EA36FE">
            <w:pPr>
              <w:pStyle w:val="ArticleTable"/>
              <w:rPr>
                <w:kern w:val="24"/>
              </w:rPr>
            </w:pPr>
            <w:r w:rsidRPr="00617B95">
              <w:rPr>
                <w:kern w:val="24"/>
              </w:rPr>
              <w:t>11.9</w:t>
            </w:r>
          </w:p>
        </w:tc>
        <w:tc>
          <w:tcPr>
            <w:tcW w:w="0" w:type="auto"/>
            <w:vAlign w:val="center"/>
          </w:tcPr>
          <w:p w:rsidR="00EA36FE" w:rsidRPr="00617B95" w:rsidRDefault="00EA36FE" w:rsidP="00EA36FE">
            <w:pPr>
              <w:pStyle w:val="ArticleTable"/>
            </w:pPr>
            <w:r w:rsidRPr="00617B95">
              <w:t>41.9</w:t>
            </w:r>
          </w:p>
        </w:tc>
      </w:tr>
      <w:tr w:rsidR="00EA36FE" w:rsidRPr="00617B95" w:rsidTr="00EA36FE">
        <w:trPr>
          <w:trHeight w:val="227"/>
          <w:jc w:val="center"/>
        </w:trPr>
        <w:tc>
          <w:tcPr>
            <w:tcW w:w="0" w:type="auto"/>
            <w:tcMar>
              <w:top w:w="15" w:type="dxa"/>
              <w:left w:w="108" w:type="dxa"/>
              <w:bottom w:w="0" w:type="dxa"/>
              <w:right w:w="108" w:type="dxa"/>
            </w:tcMar>
            <w:vAlign w:val="center"/>
          </w:tcPr>
          <w:p w:rsidR="00EA36FE" w:rsidRPr="005A4CD6" w:rsidRDefault="00EA36FE" w:rsidP="00EA36FE">
            <w:pPr>
              <w:pStyle w:val="ArticleTable"/>
              <w:rPr>
                <w:b/>
              </w:rPr>
            </w:pPr>
            <w:r w:rsidRPr="005A4CD6">
              <w:rPr>
                <w:b/>
              </w:rPr>
              <w:t>CA</w:t>
            </w:r>
            <w:r w:rsidRPr="005A4CD6">
              <w:t xml:space="preserve"> </w:t>
            </w:r>
            <w:r>
              <w:t>[7]</w:t>
            </w:r>
          </w:p>
        </w:tc>
        <w:tc>
          <w:tcPr>
            <w:tcW w:w="0" w:type="auto"/>
            <w:vAlign w:val="center"/>
          </w:tcPr>
          <w:p w:rsidR="00EA36FE" w:rsidRPr="005A4CD6" w:rsidRDefault="00EA36FE" w:rsidP="00EA36FE">
            <w:pPr>
              <w:pStyle w:val="ArticleTable"/>
              <w:rPr>
                <w:kern w:val="24"/>
              </w:rPr>
            </w:pPr>
            <w:r w:rsidRPr="005A4CD6">
              <w:rPr>
                <w:kern w:val="24"/>
              </w:rPr>
              <w:t>4.5</w:t>
            </w:r>
          </w:p>
        </w:tc>
        <w:tc>
          <w:tcPr>
            <w:tcW w:w="0" w:type="auto"/>
            <w:vAlign w:val="center"/>
          </w:tcPr>
          <w:p w:rsidR="00EA36FE" w:rsidRPr="005A4CD6" w:rsidRDefault="00EA36FE" w:rsidP="00EA36FE">
            <w:pPr>
              <w:pStyle w:val="ArticleTable"/>
              <w:rPr>
                <w:kern w:val="24"/>
              </w:rPr>
            </w:pPr>
            <w:r w:rsidRPr="005A4CD6">
              <w:rPr>
                <w:kern w:val="24"/>
              </w:rPr>
              <w:t>25.8</w:t>
            </w:r>
          </w:p>
        </w:tc>
        <w:tc>
          <w:tcPr>
            <w:tcW w:w="0" w:type="auto"/>
            <w:vAlign w:val="center"/>
          </w:tcPr>
          <w:p w:rsidR="00EA36FE" w:rsidRPr="00617B95" w:rsidRDefault="00EA36FE" w:rsidP="00EA36FE">
            <w:pPr>
              <w:pStyle w:val="ArticleTable"/>
            </w:pPr>
            <w:r w:rsidRPr="00617B95">
              <w:t>29.2</w:t>
            </w:r>
          </w:p>
        </w:tc>
        <w:tc>
          <w:tcPr>
            <w:tcW w:w="0" w:type="auto"/>
            <w:vAlign w:val="center"/>
          </w:tcPr>
          <w:p w:rsidR="00EA36FE" w:rsidRPr="00617B95" w:rsidRDefault="00EA36FE" w:rsidP="00EA36FE">
            <w:pPr>
              <w:pStyle w:val="ArticleTable"/>
              <w:rPr>
                <w:lang w:eastAsia="ru-RU"/>
              </w:rPr>
            </w:pPr>
            <w:r w:rsidRPr="00617B95">
              <w:rPr>
                <w:lang w:eastAsia="ru-RU"/>
              </w:rPr>
              <w:t>64.5</w:t>
            </w:r>
          </w:p>
        </w:tc>
      </w:tr>
    </w:tbl>
    <w:p w:rsidR="00EA36FE" w:rsidRPr="006C6033" w:rsidRDefault="00EA36FE" w:rsidP="009F5056">
      <w:pPr>
        <w:pStyle w:val="Text"/>
        <w:spacing w:before="200"/>
        <w:rPr>
          <w:b/>
          <w:lang w:val="en-US"/>
        </w:rPr>
      </w:pPr>
      <w:proofErr w:type="gramStart"/>
      <w:r w:rsidRPr="006C6033">
        <w:rPr>
          <w:lang w:val="en-US"/>
        </w:rPr>
        <w:t>temperature</w:t>
      </w:r>
      <w:proofErr w:type="gramEnd"/>
      <w:r w:rsidRPr="006C6033">
        <w:rPr>
          <w:lang w:val="en-US"/>
        </w:rPr>
        <w:t xml:space="preserve"> for 24 h until constant weight. The coefficients of permeability and diffusion of gases through the membranes were determined by the </w:t>
      </w:r>
      <w:proofErr w:type="spellStart"/>
      <w:r w:rsidRPr="006C6033">
        <w:rPr>
          <w:lang w:val="en-US"/>
        </w:rPr>
        <w:t>Daines–Barrer</w:t>
      </w:r>
      <w:proofErr w:type="spellEnd"/>
      <w:r w:rsidRPr="006C6033">
        <w:rPr>
          <w:lang w:val="en-US"/>
        </w:rPr>
        <w:t xml:space="preserve"> method on a precision Helmholtz-</w:t>
      </w:r>
      <w:proofErr w:type="spellStart"/>
      <w:r w:rsidRPr="006C6033">
        <w:rPr>
          <w:lang w:val="en-US"/>
        </w:rPr>
        <w:t>Zentrum</w:t>
      </w:r>
      <w:proofErr w:type="spellEnd"/>
      <w:r w:rsidRPr="006C6033">
        <w:rPr>
          <w:lang w:val="en-US"/>
        </w:rPr>
        <w:t xml:space="preserve"> </w:t>
      </w:r>
      <w:proofErr w:type="spellStart"/>
      <w:r w:rsidRPr="006C6033">
        <w:rPr>
          <w:lang w:val="en-US"/>
        </w:rPr>
        <w:t>Geesthacht</w:t>
      </w:r>
      <w:proofErr w:type="spellEnd"/>
      <w:r w:rsidRPr="006C6033">
        <w:rPr>
          <w:lang w:val="en-US"/>
        </w:rPr>
        <w:t xml:space="preserve"> unit equipped with a </w:t>
      </w:r>
      <w:proofErr w:type="spellStart"/>
      <w:r w:rsidRPr="006C6033">
        <w:rPr>
          <w:lang w:val="en-US"/>
        </w:rPr>
        <w:t>Baratron</w:t>
      </w:r>
      <w:proofErr w:type="spellEnd"/>
      <w:r w:rsidRPr="006C6033">
        <w:rPr>
          <w:lang w:val="en-US"/>
        </w:rPr>
        <w:t xml:space="preserve"> pressure sensor with an accuracy of 10</w:t>
      </w:r>
      <w:r w:rsidRPr="006C6033">
        <w:rPr>
          <w:vertAlign w:val="superscript"/>
          <w:lang w:val="en-US"/>
        </w:rPr>
        <w:t>–7</w:t>
      </w:r>
      <w:r w:rsidRPr="006C6033">
        <w:rPr>
          <w:lang w:val="en-US"/>
        </w:rPr>
        <w:t xml:space="preserve"> </w:t>
      </w:r>
      <w:proofErr w:type="spellStart"/>
      <w:r w:rsidRPr="006C6033">
        <w:rPr>
          <w:lang w:val="en-US"/>
        </w:rPr>
        <w:t>atm</w:t>
      </w:r>
      <w:proofErr w:type="spellEnd"/>
      <w:r w:rsidRPr="006C6033">
        <w:rPr>
          <w:lang w:val="en-US"/>
        </w:rPr>
        <w:t xml:space="preserve"> and described in detail elsewhere [12]. The sorption coefficient was found as the ratio of the permeability coefficient to the diffusion coefficient.</w:t>
      </w:r>
    </w:p>
    <w:p w:rsidR="00EA36FE" w:rsidRDefault="00EA36FE" w:rsidP="00EA36FE">
      <w:pPr>
        <w:pStyle w:val="MainHeader"/>
      </w:pPr>
      <w:r w:rsidRPr="00875175">
        <w:t>Conclusions</w:t>
      </w:r>
    </w:p>
    <w:p w:rsidR="00EA36FE" w:rsidRPr="009E5B38" w:rsidRDefault="00EA36FE" w:rsidP="00EA36FE">
      <w:pPr>
        <w:pStyle w:val="Text"/>
        <w:rPr>
          <w:bCs/>
          <w:lang w:val="en-US"/>
        </w:rPr>
      </w:pPr>
      <w:r w:rsidRPr="00051929">
        <w:rPr>
          <w:lang w:val="en-US"/>
        </w:rPr>
        <w:t xml:space="preserve">The gas transport properties of </w:t>
      </w:r>
      <w:r>
        <w:rPr>
          <w:lang w:val="en-US"/>
        </w:rPr>
        <w:t xml:space="preserve">the </w:t>
      </w:r>
      <w:r w:rsidRPr="00051929">
        <w:rPr>
          <w:lang w:val="en-US"/>
        </w:rPr>
        <w:t xml:space="preserve">metathesis </w:t>
      </w:r>
      <w:proofErr w:type="spellStart"/>
      <w:r w:rsidRPr="00051929">
        <w:rPr>
          <w:lang w:val="en-US"/>
        </w:rPr>
        <w:t>polynorbornene</w:t>
      </w:r>
      <w:proofErr w:type="spellEnd"/>
      <w:r w:rsidRPr="00051929">
        <w:rPr>
          <w:lang w:val="en-US"/>
        </w:rPr>
        <w:t xml:space="preserve"> containing β-(</w:t>
      </w:r>
      <w:r>
        <w:rPr>
          <w:lang w:val="en-US"/>
        </w:rPr>
        <w:t>–</w:t>
      </w:r>
      <w:r w:rsidRPr="00051929">
        <w:rPr>
          <w:lang w:val="en-US"/>
        </w:rPr>
        <w:t>)-</w:t>
      </w:r>
      <w:proofErr w:type="spellStart"/>
      <w:r w:rsidRPr="00051929">
        <w:rPr>
          <w:lang w:val="en-US"/>
        </w:rPr>
        <w:t>pinene</w:t>
      </w:r>
      <w:proofErr w:type="spellEnd"/>
      <w:r w:rsidRPr="00051929">
        <w:rPr>
          <w:lang w:val="en-US"/>
        </w:rPr>
        <w:t xml:space="preserve"> fragments </w:t>
      </w:r>
      <w:r>
        <w:rPr>
          <w:lang w:val="en-US"/>
        </w:rPr>
        <w:t>were</w:t>
      </w:r>
      <w:r w:rsidRPr="00051929">
        <w:rPr>
          <w:lang w:val="en-US"/>
        </w:rPr>
        <w:t xml:space="preserve"> studied for the first time: the permeability and diffusion coefficients </w:t>
      </w:r>
      <w:r>
        <w:rPr>
          <w:lang w:val="en-US"/>
        </w:rPr>
        <w:t>were</w:t>
      </w:r>
      <w:r w:rsidRPr="00051929">
        <w:rPr>
          <w:lang w:val="en-US"/>
        </w:rPr>
        <w:t xml:space="preserve"> determined, and the solubility coefficients for </w:t>
      </w:r>
      <w:proofErr w:type="gramStart"/>
      <w:r w:rsidRPr="00051929">
        <w:rPr>
          <w:lang w:val="en-US"/>
        </w:rPr>
        <w:t>He</w:t>
      </w:r>
      <w:proofErr w:type="gramEnd"/>
      <w:r w:rsidRPr="00051929">
        <w:rPr>
          <w:lang w:val="en-US"/>
        </w:rPr>
        <w:t>, H</w:t>
      </w:r>
      <w:r w:rsidRPr="009E5B38">
        <w:rPr>
          <w:vertAlign w:val="subscript"/>
          <w:lang w:val="en-US"/>
        </w:rPr>
        <w:t>2</w:t>
      </w:r>
      <w:r w:rsidRPr="00051929">
        <w:rPr>
          <w:lang w:val="en-US"/>
        </w:rPr>
        <w:t>, O</w:t>
      </w:r>
      <w:r w:rsidRPr="009E5B38">
        <w:rPr>
          <w:vertAlign w:val="subscript"/>
          <w:lang w:val="en-US"/>
        </w:rPr>
        <w:t>2</w:t>
      </w:r>
      <w:r w:rsidRPr="00051929">
        <w:rPr>
          <w:lang w:val="en-US"/>
        </w:rPr>
        <w:t>, N</w:t>
      </w:r>
      <w:r w:rsidRPr="009E5B38">
        <w:rPr>
          <w:vertAlign w:val="subscript"/>
          <w:lang w:val="en-US"/>
        </w:rPr>
        <w:t>2</w:t>
      </w:r>
      <w:r w:rsidRPr="00051929">
        <w:rPr>
          <w:lang w:val="en-US"/>
        </w:rPr>
        <w:t>, CO</w:t>
      </w:r>
      <w:r w:rsidRPr="009E5B38">
        <w:rPr>
          <w:vertAlign w:val="subscript"/>
          <w:lang w:val="en-US"/>
        </w:rPr>
        <w:t>2</w:t>
      </w:r>
      <w:r w:rsidRPr="00051929">
        <w:rPr>
          <w:lang w:val="en-US"/>
        </w:rPr>
        <w:t>, and CH</w:t>
      </w:r>
      <w:r w:rsidRPr="009E5B38">
        <w:rPr>
          <w:vertAlign w:val="subscript"/>
          <w:lang w:val="en-US"/>
        </w:rPr>
        <w:t>4</w:t>
      </w:r>
      <w:r>
        <w:rPr>
          <w:lang w:val="en-US"/>
        </w:rPr>
        <w:t xml:space="preserve"> were</w:t>
      </w:r>
      <w:r w:rsidRPr="00051929">
        <w:rPr>
          <w:lang w:val="en-US"/>
        </w:rPr>
        <w:t xml:space="preserve"> calculated. It </w:t>
      </w:r>
      <w:r>
        <w:rPr>
          <w:lang w:val="en-US"/>
        </w:rPr>
        <w:t xml:space="preserve">was </w:t>
      </w:r>
      <w:r w:rsidRPr="00051929">
        <w:rPr>
          <w:lang w:val="en-US"/>
        </w:rPr>
        <w:t xml:space="preserve">shown that </w:t>
      </w:r>
      <w:proofErr w:type="spellStart"/>
      <w:r w:rsidRPr="009E5B38">
        <w:rPr>
          <w:b/>
          <w:bCs/>
          <w:lang w:val="en-US"/>
        </w:rPr>
        <w:t>PNBpin</w:t>
      </w:r>
      <w:proofErr w:type="spellEnd"/>
      <w:r w:rsidRPr="00051929">
        <w:rPr>
          <w:lang w:val="en-US"/>
        </w:rPr>
        <w:t xml:space="preserve"> is</w:t>
      </w:r>
      <w:r>
        <w:rPr>
          <w:lang w:val="en-US"/>
        </w:rPr>
        <w:t xml:space="preserve"> </w:t>
      </w:r>
      <w:r w:rsidRPr="00051929">
        <w:rPr>
          <w:lang w:val="en-US"/>
        </w:rPr>
        <w:t xml:space="preserve">less permeable and significantly more selective than </w:t>
      </w:r>
      <w:r>
        <w:rPr>
          <w:lang w:val="en-US"/>
        </w:rPr>
        <w:t xml:space="preserve">the </w:t>
      </w:r>
      <w:proofErr w:type="spellStart"/>
      <w:r w:rsidRPr="00051929">
        <w:rPr>
          <w:lang w:val="en-US"/>
        </w:rPr>
        <w:t>unsubstituted</w:t>
      </w:r>
      <w:proofErr w:type="spellEnd"/>
      <w:r w:rsidRPr="00051929">
        <w:rPr>
          <w:lang w:val="en-US"/>
        </w:rPr>
        <w:t xml:space="preserve"> metathesis </w:t>
      </w:r>
      <w:proofErr w:type="spellStart"/>
      <w:r w:rsidRPr="00051929">
        <w:rPr>
          <w:lang w:val="en-US"/>
        </w:rPr>
        <w:t>polynorbornene</w:t>
      </w:r>
      <w:proofErr w:type="spellEnd"/>
      <w:r w:rsidRPr="00051929">
        <w:rPr>
          <w:lang w:val="en-US"/>
        </w:rPr>
        <w:t xml:space="preserve">. The gas separation </w:t>
      </w:r>
      <w:proofErr w:type="spellStart"/>
      <w:r w:rsidRPr="00051929">
        <w:rPr>
          <w:lang w:val="en-US"/>
        </w:rPr>
        <w:t>selectivities</w:t>
      </w:r>
      <w:proofErr w:type="spellEnd"/>
      <w:r w:rsidRPr="00051929">
        <w:rPr>
          <w:lang w:val="en-US"/>
        </w:rPr>
        <w:t xml:space="preserve"> </w:t>
      </w:r>
      <w:r>
        <w:rPr>
          <w:lang w:val="en-US"/>
        </w:rPr>
        <w:t xml:space="preserve">of </w:t>
      </w:r>
      <w:proofErr w:type="spellStart"/>
      <w:r w:rsidRPr="009E5B38">
        <w:rPr>
          <w:b/>
          <w:bCs/>
          <w:lang w:val="en-US"/>
        </w:rPr>
        <w:t>PNBpin</w:t>
      </w:r>
      <w:proofErr w:type="spellEnd"/>
      <w:r w:rsidRPr="00051929">
        <w:rPr>
          <w:lang w:val="en-US"/>
        </w:rPr>
        <w:t xml:space="preserve"> for some gas pairs (O</w:t>
      </w:r>
      <w:r w:rsidRPr="009E5B38">
        <w:rPr>
          <w:vertAlign w:val="subscript"/>
          <w:lang w:val="en-US"/>
        </w:rPr>
        <w:t>2</w:t>
      </w:r>
      <w:r w:rsidRPr="00051929">
        <w:rPr>
          <w:lang w:val="en-US"/>
        </w:rPr>
        <w:t>/N</w:t>
      </w:r>
      <w:r w:rsidRPr="009E5B38">
        <w:rPr>
          <w:vertAlign w:val="subscript"/>
          <w:lang w:val="en-US"/>
        </w:rPr>
        <w:t>2</w:t>
      </w:r>
      <w:r w:rsidRPr="00051929">
        <w:rPr>
          <w:lang w:val="en-US"/>
        </w:rPr>
        <w:t>, CO</w:t>
      </w:r>
      <w:r w:rsidRPr="009E5B38">
        <w:rPr>
          <w:vertAlign w:val="subscript"/>
          <w:lang w:val="en-US"/>
        </w:rPr>
        <w:t>2</w:t>
      </w:r>
      <w:r w:rsidRPr="00051929">
        <w:rPr>
          <w:lang w:val="en-US"/>
        </w:rPr>
        <w:t>/N</w:t>
      </w:r>
      <w:r w:rsidRPr="009E5B38">
        <w:rPr>
          <w:vertAlign w:val="subscript"/>
          <w:lang w:val="en-US"/>
        </w:rPr>
        <w:t>2</w:t>
      </w:r>
      <w:r w:rsidRPr="00051929">
        <w:rPr>
          <w:lang w:val="en-US"/>
        </w:rPr>
        <w:t>) exceed</w:t>
      </w:r>
      <w:r>
        <w:rPr>
          <w:lang w:val="en-US"/>
        </w:rPr>
        <w:t>ed</w:t>
      </w:r>
      <w:r w:rsidRPr="00051929">
        <w:rPr>
          <w:lang w:val="en-US"/>
        </w:rPr>
        <w:t xml:space="preserve"> the corresponding values for cellulose acetate, an industrial polymer</w:t>
      </w:r>
      <w:r>
        <w:rPr>
          <w:lang w:val="en-US"/>
        </w:rPr>
        <w:t>ic</w:t>
      </w:r>
      <w:r w:rsidRPr="00051929">
        <w:rPr>
          <w:lang w:val="en-US"/>
        </w:rPr>
        <w:t xml:space="preserve"> membrane material.</w:t>
      </w:r>
    </w:p>
    <w:p w:rsidR="00EA36FE" w:rsidRPr="00201B13" w:rsidRDefault="00EA36FE" w:rsidP="00EA36FE">
      <w:pPr>
        <w:pStyle w:val="MainHeader"/>
      </w:pPr>
      <w:r w:rsidRPr="00F94740">
        <w:t>Acknowledgements</w:t>
      </w:r>
    </w:p>
    <w:p w:rsidR="00EA36FE" w:rsidRPr="006C6033" w:rsidRDefault="00EA36FE" w:rsidP="00EA36FE">
      <w:pPr>
        <w:pStyle w:val="Text"/>
        <w:rPr>
          <w:lang w:val="en-US"/>
        </w:rPr>
      </w:pPr>
      <w:r w:rsidRPr="006C6033">
        <w:rPr>
          <w:lang w:val="en-US"/>
        </w:rPr>
        <w:t>This work was supported by the Russian Science Foundation (project no. 20-13-00428-P).</w:t>
      </w:r>
    </w:p>
    <w:p w:rsidR="00EA36FE" w:rsidRPr="00F94740" w:rsidRDefault="00EA36FE" w:rsidP="00EA36FE">
      <w:pPr>
        <w:pStyle w:val="MainHeader"/>
      </w:pPr>
      <w:r w:rsidRPr="00F94740">
        <w:t>References</w:t>
      </w:r>
    </w:p>
    <w:p w:rsidR="00EA36FE" w:rsidRPr="00EA36FE" w:rsidRDefault="00EA36FE" w:rsidP="00EA36FE">
      <w:pPr>
        <w:pStyle w:val="EndNoteBibliography"/>
        <w:spacing w:after="0"/>
        <w:rPr>
          <w:rFonts w:ascii="Arial" w:hAnsi="Arial" w:cs="Arial"/>
          <w:color w:val="263238"/>
          <w:sz w:val="22"/>
          <w:szCs w:val="16"/>
        </w:rPr>
      </w:pPr>
      <w:r w:rsidRPr="00EA36FE">
        <w:rPr>
          <w:rFonts w:ascii="Arial" w:hAnsi="Arial" w:cs="Arial"/>
          <w:color w:val="263238"/>
          <w:sz w:val="22"/>
          <w:szCs w:val="16"/>
        </w:rPr>
        <w:t xml:space="preserve">A. Y. Alentiev, V. E. Ryzhikh, D. A. Syrtsova, N. A. Belov, </w:t>
      </w:r>
      <w:r w:rsidRPr="00EA36FE">
        <w:rPr>
          <w:rFonts w:ascii="Arial" w:hAnsi="Arial" w:cs="Arial"/>
          <w:i/>
          <w:color w:val="263238"/>
          <w:sz w:val="22"/>
          <w:szCs w:val="16"/>
        </w:rPr>
        <w:t>Russ. Chem. Rev.</w:t>
      </w:r>
      <w:r w:rsidRPr="00EA36FE">
        <w:rPr>
          <w:rFonts w:ascii="Arial" w:hAnsi="Arial" w:cs="Arial"/>
          <w:color w:val="263238"/>
          <w:sz w:val="22"/>
          <w:szCs w:val="16"/>
        </w:rPr>
        <w:t xml:space="preserve">, </w:t>
      </w:r>
      <w:r w:rsidRPr="00EA36FE">
        <w:rPr>
          <w:rFonts w:ascii="Arial" w:hAnsi="Arial" w:cs="Arial"/>
          <w:b/>
          <w:color w:val="263238"/>
          <w:sz w:val="22"/>
          <w:szCs w:val="16"/>
        </w:rPr>
        <w:t>2023</w:t>
      </w:r>
      <w:r w:rsidRPr="00EA36FE">
        <w:rPr>
          <w:rFonts w:ascii="Arial" w:hAnsi="Arial" w:cs="Arial"/>
          <w:color w:val="263238"/>
          <w:sz w:val="22"/>
          <w:szCs w:val="16"/>
        </w:rPr>
        <w:t xml:space="preserve">, </w:t>
      </w:r>
      <w:r w:rsidRPr="00EA36FE">
        <w:rPr>
          <w:rFonts w:ascii="Arial" w:hAnsi="Arial" w:cs="Arial"/>
          <w:i/>
          <w:color w:val="263238"/>
          <w:sz w:val="22"/>
          <w:szCs w:val="16"/>
        </w:rPr>
        <w:t>92</w:t>
      </w:r>
      <w:r w:rsidRPr="00EA36FE">
        <w:rPr>
          <w:rFonts w:ascii="Arial" w:hAnsi="Arial" w:cs="Arial"/>
          <w:color w:val="263238"/>
          <w:sz w:val="22"/>
          <w:szCs w:val="16"/>
        </w:rPr>
        <w:t>, RCR5083. DOI: 10.59761/RCR5083</w:t>
      </w:r>
    </w:p>
    <w:p w:rsidR="00EA36FE" w:rsidRPr="00EA36FE" w:rsidRDefault="00EA36FE" w:rsidP="00EA36FE">
      <w:pPr>
        <w:pStyle w:val="EndNoteBibliography"/>
        <w:spacing w:after="0"/>
        <w:rPr>
          <w:rFonts w:ascii="Arial" w:hAnsi="Arial" w:cs="Arial"/>
          <w:color w:val="263238"/>
          <w:sz w:val="22"/>
          <w:szCs w:val="16"/>
        </w:rPr>
      </w:pPr>
      <w:r w:rsidRPr="00EA36FE">
        <w:rPr>
          <w:rFonts w:ascii="Arial" w:hAnsi="Arial" w:cs="Arial"/>
          <w:color w:val="263238"/>
          <w:sz w:val="22"/>
          <w:szCs w:val="16"/>
        </w:rPr>
        <w:t xml:space="preserve">W. Liu, Y. Yang, L. Guo, J. Di, C. H. Lau, M. V. Bermeshev, L. Shao, </w:t>
      </w:r>
      <w:r w:rsidRPr="00EA36FE">
        <w:rPr>
          <w:rFonts w:ascii="Arial" w:hAnsi="Arial" w:cs="Arial"/>
          <w:i/>
          <w:color w:val="263238"/>
          <w:sz w:val="22"/>
          <w:szCs w:val="16"/>
        </w:rPr>
        <w:t>Chem. Eng. J.</w:t>
      </w:r>
      <w:r w:rsidRPr="00EA36FE">
        <w:rPr>
          <w:rFonts w:ascii="Arial" w:hAnsi="Arial" w:cs="Arial"/>
          <w:color w:val="263238"/>
          <w:sz w:val="22"/>
          <w:szCs w:val="16"/>
        </w:rPr>
        <w:t xml:space="preserve">, </w:t>
      </w:r>
      <w:r w:rsidRPr="00EA36FE">
        <w:rPr>
          <w:rFonts w:ascii="Arial" w:hAnsi="Arial" w:cs="Arial"/>
          <w:b/>
          <w:color w:val="263238"/>
          <w:sz w:val="22"/>
          <w:szCs w:val="16"/>
        </w:rPr>
        <w:t>2024</w:t>
      </w:r>
      <w:r w:rsidRPr="00EA36FE">
        <w:rPr>
          <w:rFonts w:ascii="Arial" w:hAnsi="Arial" w:cs="Arial"/>
          <w:color w:val="263238"/>
          <w:sz w:val="22"/>
          <w:szCs w:val="16"/>
        </w:rPr>
        <w:t xml:space="preserve">, </w:t>
      </w:r>
      <w:r w:rsidRPr="00EA36FE">
        <w:rPr>
          <w:rFonts w:ascii="Arial" w:hAnsi="Arial" w:cs="Arial"/>
          <w:i/>
          <w:color w:val="263238"/>
          <w:sz w:val="22"/>
          <w:szCs w:val="16"/>
        </w:rPr>
        <w:t>498</w:t>
      </w:r>
      <w:r w:rsidRPr="00EA36FE">
        <w:rPr>
          <w:rFonts w:ascii="Arial" w:hAnsi="Arial" w:cs="Arial"/>
          <w:color w:val="263238"/>
          <w:sz w:val="22"/>
          <w:szCs w:val="16"/>
        </w:rPr>
        <w:t>, 155569. DOI: 10.1016/j.cej.2024.155569</w:t>
      </w:r>
    </w:p>
    <w:p w:rsidR="00EA36FE" w:rsidRPr="00EA36FE" w:rsidRDefault="00EA36FE" w:rsidP="00EA36FE">
      <w:pPr>
        <w:pStyle w:val="EndNoteBibliography"/>
        <w:spacing w:after="0"/>
        <w:rPr>
          <w:rFonts w:ascii="Arial" w:hAnsi="Arial" w:cs="Arial"/>
          <w:color w:val="263238"/>
          <w:sz w:val="22"/>
          <w:szCs w:val="16"/>
        </w:rPr>
      </w:pPr>
      <w:r w:rsidRPr="00EA36FE">
        <w:rPr>
          <w:rFonts w:ascii="Arial" w:hAnsi="Arial" w:cs="Arial"/>
          <w:color w:val="263238"/>
          <w:sz w:val="22"/>
          <w:szCs w:val="16"/>
        </w:rPr>
        <w:lastRenderedPageBreak/>
        <w:t xml:space="preserve">I. I. Ponomarev, K. M. Skupov, K. A. Lyssenko, I. V. Blagodatskikh, A. V. Muranov, Y. A. Volkova, D. Y. Razorenov, I. I. Ponomarev, L. E. Starannikova, D. A. Bezgin, A. Y. Alentiev, Y. P. Yampolskii, </w:t>
      </w:r>
      <w:r w:rsidRPr="00EA36FE">
        <w:rPr>
          <w:rFonts w:ascii="Arial" w:hAnsi="Arial" w:cs="Arial"/>
          <w:i/>
          <w:color w:val="263238"/>
          <w:sz w:val="22"/>
          <w:szCs w:val="16"/>
        </w:rPr>
        <w:t>Mendeleev Commun.</w:t>
      </w:r>
      <w:r w:rsidRPr="00EA36FE">
        <w:rPr>
          <w:rFonts w:ascii="Arial" w:hAnsi="Arial" w:cs="Arial"/>
          <w:color w:val="263238"/>
          <w:sz w:val="22"/>
          <w:szCs w:val="16"/>
        </w:rPr>
        <w:t xml:space="preserve">, </w:t>
      </w:r>
      <w:r w:rsidRPr="00EA36FE">
        <w:rPr>
          <w:rFonts w:ascii="Arial" w:hAnsi="Arial" w:cs="Arial"/>
          <w:b/>
          <w:color w:val="263238"/>
          <w:sz w:val="22"/>
          <w:szCs w:val="16"/>
        </w:rPr>
        <w:t>2020</w:t>
      </w:r>
      <w:r w:rsidRPr="00EA36FE">
        <w:rPr>
          <w:rFonts w:ascii="Arial" w:hAnsi="Arial" w:cs="Arial"/>
          <w:color w:val="263238"/>
          <w:sz w:val="22"/>
          <w:szCs w:val="16"/>
        </w:rPr>
        <w:t xml:space="preserve">, </w:t>
      </w:r>
      <w:r w:rsidRPr="00EA36FE">
        <w:rPr>
          <w:rFonts w:ascii="Arial" w:hAnsi="Arial" w:cs="Arial"/>
          <w:i/>
          <w:color w:val="263238"/>
          <w:sz w:val="22"/>
          <w:szCs w:val="16"/>
        </w:rPr>
        <w:t>30</w:t>
      </w:r>
      <w:r w:rsidRPr="00EA36FE">
        <w:rPr>
          <w:rFonts w:ascii="Arial" w:hAnsi="Arial" w:cs="Arial"/>
          <w:color w:val="263238"/>
          <w:sz w:val="22"/>
          <w:szCs w:val="16"/>
        </w:rPr>
        <w:t>, 734–737. DOI: 10.1016/j.mencom.2020.11.015</w:t>
      </w:r>
    </w:p>
    <w:p w:rsidR="00EA36FE" w:rsidRPr="00EA36FE" w:rsidRDefault="00EA36FE" w:rsidP="00EA36FE">
      <w:pPr>
        <w:pStyle w:val="EndNoteBibliography"/>
        <w:spacing w:after="0"/>
        <w:rPr>
          <w:rFonts w:ascii="Arial" w:hAnsi="Arial" w:cs="Arial"/>
          <w:color w:val="263238"/>
          <w:sz w:val="22"/>
          <w:szCs w:val="16"/>
        </w:rPr>
      </w:pPr>
      <w:r w:rsidRPr="00EA36FE">
        <w:rPr>
          <w:rFonts w:ascii="Arial" w:hAnsi="Arial" w:cs="Arial"/>
          <w:color w:val="263238"/>
          <w:sz w:val="22"/>
          <w:szCs w:val="16"/>
        </w:rPr>
        <w:t xml:space="preserve">M. V. Bermeshev, E. S. Finkelshtein, </w:t>
      </w:r>
      <w:r w:rsidRPr="00EA36FE">
        <w:rPr>
          <w:rFonts w:ascii="Arial" w:hAnsi="Arial" w:cs="Arial"/>
          <w:i/>
          <w:color w:val="263238"/>
          <w:sz w:val="22"/>
          <w:szCs w:val="16"/>
        </w:rPr>
        <w:t>INEOS OPEN</w:t>
      </w:r>
      <w:r w:rsidRPr="00EA36FE">
        <w:rPr>
          <w:rFonts w:ascii="Arial" w:hAnsi="Arial" w:cs="Arial"/>
          <w:color w:val="263238"/>
          <w:sz w:val="22"/>
          <w:szCs w:val="16"/>
        </w:rPr>
        <w:t xml:space="preserve">, </w:t>
      </w:r>
      <w:r w:rsidRPr="00EA36FE">
        <w:rPr>
          <w:rFonts w:ascii="Arial" w:hAnsi="Arial" w:cs="Arial"/>
          <w:b/>
          <w:color w:val="263238"/>
          <w:sz w:val="22"/>
          <w:szCs w:val="16"/>
        </w:rPr>
        <w:t>2018</w:t>
      </w:r>
      <w:r w:rsidRPr="00EA36FE">
        <w:rPr>
          <w:rFonts w:ascii="Arial" w:hAnsi="Arial" w:cs="Arial"/>
          <w:color w:val="263238"/>
          <w:sz w:val="22"/>
          <w:szCs w:val="16"/>
        </w:rPr>
        <w:t xml:space="preserve">, </w:t>
      </w:r>
      <w:r w:rsidRPr="00EA36FE">
        <w:rPr>
          <w:rFonts w:ascii="Arial" w:hAnsi="Arial" w:cs="Arial"/>
          <w:i/>
          <w:color w:val="263238"/>
          <w:sz w:val="22"/>
          <w:szCs w:val="16"/>
        </w:rPr>
        <w:t>1</w:t>
      </w:r>
      <w:r w:rsidRPr="00EA36FE">
        <w:rPr>
          <w:rFonts w:ascii="Arial" w:hAnsi="Arial" w:cs="Arial"/>
          <w:color w:val="263238"/>
          <w:sz w:val="22"/>
          <w:szCs w:val="16"/>
        </w:rPr>
        <w:t>, 39–54. DOI: 10.32931/io1802r</w:t>
      </w:r>
    </w:p>
    <w:p w:rsidR="00EA36FE" w:rsidRPr="00EA36FE" w:rsidRDefault="00EA36FE" w:rsidP="00EA36FE">
      <w:pPr>
        <w:pStyle w:val="EndNoteBibliography"/>
        <w:spacing w:after="0"/>
        <w:rPr>
          <w:rFonts w:ascii="Arial" w:hAnsi="Arial" w:cs="Arial"/>
          <w:color w:val="263238"/>
          <w:sz w:val="22"/>
          <w:szCs w:val="16"/>
        </w:rPr>
      </w:pPr>
      <w:r w:rsidRPr="00EA36FE">
        <w:rPr>
          <w:rFonts w:ascii="Arial" w:hAnsi="Arial" w:cs="Arial"/>
          <w:color w:val="263238"/>
          <w:sz w:val="22"/>
          <w:szCs w:val="16"/>
        </w:rPr>
        <w:t xml:space="preserve">P. P. Lezhnin, I. V. Nazarov, M. V. Bermeshev, </w:t>
      </w:r>
      <w:r w:rsidRPr="00EA36FE">
        <w:rPr>
          <w:rFonts w:ascii="Arial" w:hAnsi="Arial" w:cs="Arial"/>
          <w:i/>
          <w:color w:val="263238"/>
          <w:sz w:val="22"/>
          <w:szCs w:val="16"/>
        </w:rPr>
        <w:t>Russ. J. Appl. Chem.</w:t>
      </w:r>
      <w:r w:rsidRPr="00EA36FE">
        <w:rPr>
          <w:rFonts w:ascii="Arial" w:hAnsi="Arial" w:cs="Arial"/>
          <w:color w:val="263238"/>
          <w:sz w:val="22"/>
          <w:szCs w:val="16"/>
        </w:rPr>
        <w:t xml:space="preserve">, </w:t>
      </w:r>
      <w:r w:rsidRPr="00EA36FE">
        <w:rPr>
          <w:rFonts w:ascii="Arial" w:hAnsi="Arial" w:cs="Arial"/>
          <w:b/>
          <w:color w:val="263238"/>
          <w:sz w:val="22"/>
          <w:szCs w:val="16"/>
        </w:rPr>
        <w:t>2023</w:t>
      </w:r>
      <w:r w:rsidRPr="00EA36FE">
        <w:rPr>
          <w:rFonts w:ascii="Arial" w:hAnsi="Arial" w:cs="Arial"/>
          <w:color w:val="263238"/>
          <w:sz w:val="22"/>
          <w:szCs w:val="16"/>
        </w:rPr>
        <w:t xml:space="preserve">, </w:t>
      </w:r>
      <w:r w:rsidRPr="00EA36FE">
        <w:rPr>
          <w:rFonts w:ascii="Arial" w:hAnsi="Arial" w:cs="Arial"/>
          <w:i/>
          <w:color w:val="263238"/>
          <w:sz w:val="22"/>
          <w:szCs w:val="16"/>
        </w:rPr>
        <w:t>96</w:t>
      </w:r>
      <w:r w:rsidRPr="00EA36FE">
        <w:rPr>
          <w:rFonts w:ascii="Arial" w:hAnsi="Arial" w:cs="Arial"/>
          <w:color w:val="263238"/>
          <w:sz w:val="22"/>
          <w:szCs w:val="16"/>
        </w:rPr>
        <w:t>, 794–800. DOI: 10.1134/S1070427223080037</w:t>
      </w:r>
    </w:p>
    <w:p w:rsidR="00EA36FE" w:rsidRPr="00EA36FE" w:rsidRDefault="00EA36FE" w:rsidP="00EA36FE">
      <w:pPr>
        <w:pStyle w:val="EndNoteBibliography"/>
        <w:spacing w:after="0"/>
        <w:rPr>
          <w:rFonts w:ascii="Arial" w:hAnsi="Arial" w:cs="Arial"/>
          <w:color w:val="263238"/>
          <w:sz w:val="22"/>
          <w:szCs w:val="16"/>
        </w:rPr>
      </w:pPr>
      <w:r w:rsidRPr="00EA36FE">
        <w:rPr>
          <w:rFonts w:ascii="Arial" w:hAnsi="Arial" w:cs="Arial"/>
          <w:color w:val="263238"/>
          <w:sz w:val="22"/>
          <w:szCs w:val="16"/>
        </w:rPr>
        <w:t xml:space="preserve">N. A. Belov, M. L. Gringolts, A. A. Morontsev, L. E. Starannikova, Y. P. Yampolskii, E. S. Finkelstein, </w:t>
      </w:r>
      <w:r w:rsidRPr="00EA36FE">
        <w:rPr>
          <w:rFonts w:ascii="Arial" w:hAnsi="Arial" w:cs="Arial"/>
          <w:i/>
          <w:color w:val="263238"/>
          <w:sz w:val="22"/>
          <w:szCs w:val="16"/>
        </w:rPr>
        <w:t>Polym. Sci.</w:t>
      </w:r>
      <w:r w:rsidRPr="00EA36FE">
        <w:rPr>
          <w:rFonts w:ascii="Arial" w:hAnsi="Arial" w:cs="Arial"/>
          <w:iCs/>
          <w:color w:val="263238"/>
          <w:sz w:val="22"/>
          <w:szCs w:val="16"/>
        </w:rPr>
        <w:t xml:space="preserve">, </w:t>
      </w:r>
      <w:r w:rsidRPr="00EA36FE">
        <w:rPr>
          <w:rFonts w:ascii="Arial" w:hAnsi="Arial" w:cs="Arial"/>
          <w:i/>
          <w:color w:val="263238"/>
          <w:sz w:val="22"/>
          <w:szCs w:val="16"/>
        </w:rPr>
        <w:t>Ser. B</w:t>
      </w:r>
      <w:r w:rsidRPr="00EA36FE">
        <w:rPr>
          <w:rFonts w:ascii="Arial" w:hAnsi="Arial" w:cs="Arial"/>
          <w:color w:val="263238"/>
          <w:sz w:val="22"/>
          <w:szCs w:val="16"/>
        </w:rPr>
        <w:t xml:space="preserve">, </w:t>
      </w:r>
      <w:r w:rsidRPr="00EA36FE">
        <w:rPr>
          <w:rFonts w:ascii="Arial" w:hAnsi="Arial" w:cs="Arial"/>
          <w:b/>
          <w:color w:val="263238"/>
          <w:sz w:val="22"/>
          <w:szCs w:val="16"/>
        </w:rPr>
        <w:t>2017</w:t>
      </w:r>
      <w:r w:rsidRPr="00EA36FE">
        <w:rPr>
          <w:rFonts w:ascii="Arial" w:hAnsi="Arial" w:cs="Arial"/>
          <w:color w:val="263238"/>
          <w:sz w:val="22"/>
          <w:szCs w:val="16"/>
        </w:rPr>
        <w:t xml:space="preserve">, </w:t>
      </w:r>
      <w:r w:rsidRPr="00EA36FE">
        <w:rPr>
          <w:rFonts w:ascii="Arial" w:hAnsi="Arial" w:cs="Arial"/>
          <w:i/>
          <w:color w:val="263238"/>
          <w:sz w:val="22"/>
          <w:szCs w:val="16"/>
        </w:rPr>
        <w:t>59</w:t>
      </w:r>
      <w:r w:rsidRPr="00EA36FE">
        <w:rPr>
          <w:rFonts w:ascii="Arial" w:hAnsi="Arial" w:cs="Arial"/>
          <w:color w:val="263238"/>
          <w:sz w:val="22"/>
          <w:szCs w:val="16"/>
        </w:rPr>
        <w:t>, 560–569. DOI: 10.1134/s1560090417050025</w:t>
      </w:r>
    </w:p>
    <w:p w:rsidR="00EA36FE" w:rsidRPr="00EA36FE" w:rsidRDefault="00EA36FE" w:rsidP="00EA36FE">
      <w:pPr>
        <w:pStyle w:val="EndNoteBibliography"/>
        <w:spacing w:after="0"/>
        <w:rPr>
          <w:rFonts w:ascii="Arial" w:hAnsi="Arial" w:cs="Arial"/>
          <w:color w:val="263238"/>
          <w:sz w:val="22"/>
          <w:szCs w:val="16"/>
        </w:rPr>
      </w:pPr>
      <w:r w:rsidRPr="00EA36FE">
        <w:rPr>
          <w:rFonts w:ascii="Arial" w:hAnsi="Arial" w:cs="Arial"/>
          <w:color w:val="263238"/>
          <w:sz w:val="22"/>
          <w:szCs w:val="16"/>
        </w:rPr>
        <w:t xml:space="preserve">J. Li, K. Nagai, T. Nakagawa, S. Wang, </w:t>
      </w:r>
      <w:r w:rsidRPr="00EA36FE">
        <w:rPr>
          <w:rFonts w:ascii="Arial" w:hAnsi="Arial" w:cs="Arial"/>
          <w:i/>
          <w:color w:val="263238"/>
          <w:sz w:val="22"/>
          <w:szCs w:val="16"/>
        </w:rPr>
        <w:t>J. Appl. Polym. Sci.</w:t>
      </w:r>
      <w:r w:rsidRPr="00EA36FE">
        <w:rPr>
          <w:rFonts w:ascii="Arial" w:hAnsi="Arial" w:cs="Arial"/>
          <w:color w:val="263238"/>
          <w:sz w:val="22"/>
          <w:szCs w:val="16"/>
        </w:rPr>
        <w:t xml:space="preserve">, </w:t>
      </w:r>
      <w:r w:rsidRPr="00EA36FE">
        <w:rPr>
          <w:rFonts w:ascii="Arial" w:hAnsi="Arial" w:cs="Arial"/>
          <w:b/>
          <w:color w:val="263238"/>
          <w:sz w:val="22"/>
          <w:szCs w:val="16"/>
        </w:rPr>
        <w:t>1995</w:t>
      </w:r>
      <w:r w:rsidRPr="00EA36FE">
        <w:rPr>
          <w:rFonts w:ascii="Arial" w:hAnsi="Arial" w:cs="Arial"/>
          <w:color w:val="263238"/>
          <w:sz w:val="22"/>
          <w:szCs w:val="16"/>
        </w:rPr>
        <w:t xml:space="preserve">, </w:t>
      </w:r>
      <w:r w:rsidRPr="00EA36FE">
        <w:rPr>
          <w:rFonts w:ascii="Arial" w:hAnsi="Arial" w:cs="Arial"/>
          <w:i/>
          <w:color w:val="263238"/>
          <w:sz w:val="22"/>
          <w:szCs w:val="16"/>
        </w:rPr>
        <w:t>58</w:t>
      </w:r>
      <w:r w:rsidRPr="00EA36FE">
        <w:rPr>
          <w:rFonts w:ascii="Arial" w:hAnsi="Arial" w:cs="Arial"/>
          <w:color w:val="263238"/>
          <w:sz w:val="22"/>
          <w:szCs w:val="16"/>
        </w:rPr>
        <w:t>, 1455–1463, DOI: 10.1002/app.1995.070580906</w:t>
      </w:r>
    </w:p>
    <w:p w:rsidR="00EA36FE" w:rsidRPr="00EA36FE" w:rsidRDefault="00EA36FE" w:rsidP="00EA36FE">
      <w:pPr>
        <w:pStyle w:val="EndNoteBibliography"/>
        <w:spacing w:after="0"/>
        <w:rPr>
          <w:rFonts w:ascii="Arial" w:hAnsi="Arial" w:cs="Arial"/>
          <w:color w:val="263238"/>
          <w:sz w:val="22"/>
          <w:szCs w:val="16"/>
        </w:rPr>
      </w:pPr>
      <w:r w:rsidRPr="00EA36FE">
        <w:rPr>
          <w:rFonts w:ascii="Arial" w:hAnsi="Arial" w:cs="Arial"/>
          <w:color w:val="263238"/>
          <w:sz w:val="22"/>
          <w:szCs w:val="16"/>
        </w:rPr>
        <w:t xml:space="preserve">M. Mubashir, Y. F. Yeong, K. K. Lau, T. L. Chew, J. Norwahyu, </w:t>
      </w:r>
      <w:r w:rsidRPr="00EA36FE">
        <w:rPr>
          <w:rFonts w:ascii="Arial" w:hAnsi="Arial" w:cs="Arial"/>
          <w:i/>
          <w:color w:val="263238"/>
          <w:sz w:val="22"/>
          <w:szCs w:val="16"/>
        </w:rPr>
        <w:t>Sep. Purif. Technol.</w:t>
      </w:r>
      <w:r w:rsidRPr="00EA36FE">
        <w:rPr>
          <w:rFonts w:ascii="Arial" w:hAnsi="Arial" w:cs="Arial"/>
          <w:color w:val="263238"/>
          <w:sz w:val="22"/>
          <w:szCs w:val="16"/>
        </w:rPr>
        <w:t xml:space="preserve">, </w:t>
      </w:r>
      <w:r w:rsidRPr="00EA36FE">
        <w:rPr>
          <w:rFonts w:ascii="Arial" w:hAnsi="Arial" w:cs="Arial"/>
          <w:b/>
          <w:color w:val="263238"/>
          <w:sz w:val="22"/>
          <w:szCs w:val="16"/>
        </w:rPr>
        <w:t>2018</w:t>
      </w:r>
      <w:r w:rsidRPr="00EA36FE">
        <w:rPr>
          <w:rFonts w:ascii="Arial" w:hAnsi="Arial" w:cs="Arial"/>
          <w:color w:val="263238"/>
          <w:sz w:val="22"/>
          <w:szCs w:val="16"/>
        </w:rPr>
        <w:t xml:space="preserve">, </w:t>
      </w:r>
      <w:r w:rsidRPr="00EA36FE">
        <w:rPr>
          <w:rFonts w:ascii="Arial" w:hAnsi="Arial" w:cs="Arial"/>
          <w:i/>
          <w:color w:val="263238"/>
          <w:sz w:val="22"/>
          <w:szCs w:val="16"/>
        </w:rPr>
        <w:t>199</w:t>
      </w:r>
      <w:r w:rsidRPr="00EA36FE">
        <w:rPr>
          <w:rFonts w:ascii="Arial" w:hAnsi="Arial" w:cs="Arial"/>
          <w:color w:val="263238"/>
          <w:sz w:val="22"/>
          <w:szCs w:val="16"/>
        </w:rPr>
        <w:t>, 140–151. DOI: 10.1016/j.seppur.2018.01.038</w:t>
      </w:r>
    </w:p>
    <w:p w:rsidR="00EA36FE" w:rsidRPr="00EA36FE" w:rsidRDefault="00EA36FE" w:rsidP="00EA36FE">
      <w:pPr>
        <w:pStyle w:val="EndNoteBibliography"/>
        <w:spacing w:after="0"/>
        <w:rPr>
          <w:rFonts w:ascii="Arial" w:hAnsi="Arial" w:cs="Arial"/>
          <w:color w:val="263238"/>
          <w:sz w:val="22"/>
          <w:szCs w:val="16"/>
        </w:rPr>
      </w:pPr>
      <w:r w:rsidRPr="00EA36FE">
        <w:rPr>
          <w:rFonts w:ascii="Arial" w:hAnsi="Arial" w:cs="Arial"/>
          <w:color w:val="263238"/>
          <w:sz w:val="22"/>
          <w:szCs w:val="16"/>
        </w:rPr>
        <w:t xml:space="preserve">B. Lam, M. Wei, L. Zhu, S. Luo, R. Guo, A. Morisato, P. Alexandridis, H. Lin, </w:t>
      </w:r>
      <w:r w:rsidRPr="00EA36FE">
        <w:rPr>
          <w:rFonts w:ascii="Arial" w:hAnsi="Arial" w:cs="Arial"/>
          <w:i/>
          <w:color w:val="263238"/>
          <w:sz w:val="22"/>
          <w:szCs w:val="16"/>
        </w:rPr>
        <w:t>Polymer</w:t>
      </w:r>
      <w:r w:rsidRPr="00EA36FE">
        <w:rPr>
          <w:rFonts w:ascii="Arial" w:hAnsi="Arial" w:cs="Arial"/>
          <w:color w:val="263238"/>
          <w:sz w:val="22"/>
          <w:szCs w:val="16"/>
        </w:rPr>
        <w:t xml:space="preserve">, </w:t>
      </w:r>
      <w:r w:rsidRPr="00EA36FE">
        <w:rPr>
          <w:rFonts w:ascii="Arial" w:hAnsi="Arial" w:cs="Arial"/>
          <w:b/>
          <w:color w:val="263238"/>
          <w:sz w:val="22"/>
          <w:szCs w:val="16"/>
        </w:rPr>
        <w:t>2016</w:t>
      </w:r>
      <w:r w:rsidRPr="00EA36FE">
        <w:rPr>
          <w:rFonts w:ascii="Arial" w:hAnsi="Arial" w:cs="Arial"/>
          <w:color w:val="263238"/>
          <w:sz w:val="22"/>
          <w:szCs w:val="16"/>
        </w:rPr>
        <w:t xml:space="preserve">, </w:t>
      </w:r>
      <w:r w:rsidRPr="00EA36FE">
        <w:rPr>
          <w:rFonts w:ascii="Arial" w:hAnsi="Arial" w:cs="Arial"/>
          <w:i/>
          <w:color w:val="263238"/>
          <w:sz w:val="22"/>
          <w:szCs w:val="16"/>
        </w:rPr>
        <w:t>89</w:t>
      </w:r>
      <w:r w:rsidRPr="00EA36FE">
        <w:rPr>
          <w:rFonts w:ascii="Arial" w:hAnsi="Arial" w:cs="Arial"/>
          <w:color w:val="263238"/>
          <w:sz w:val="22"/>
          <w:szCs w:val="16"/>
        </w:rPr>
        <w:t>, 1–11, DOI: 10.1016/j.polymer.2016.02.033</w:t>
      </w:r>
    </w:p>
    <w:p w:rsidR="00EA36FE" w:rsidRPr="00EA36FE" w:rsidRDefault="00EA36FE" w:rsidP="00EA36FE">
      <w:pPr>
        <w:pStyle w:val="EndNoteBibliography"/>
        <w:spacing w:after="0"/>
        <w:rPr>
          <w:rFonts w:ascii="Arial" w:hAnsi="Arial" w:cs="Arial"/>
          <w:color w:val="263238"/>
          <w:sz w:val="22"/>
          <w:szCs w:val="16"/>
        </w:rPr>
      </w:pPr>
      <w:r w:rsidRPr="00EA36FE">
        <w:rPr>
          <w:rFonts w:ascii="Arial" w:hAnsi="Arial" w:cs="Arial"/>
          <w:color w:val="263238"/>
          <w:sz w:val="22"/>
          <w:szCs w:val="16"/>
        </w:rPr>
        <w:t xml:space="preserve">G. Q. Chen, S. Kanehashi, C. M. Doherty, A. J. Hill, S. E. Kentish, </w:t>
      </w:r>
      <w:r w:rsidRPr="00EA36FE">
        <w:rPr>
          <w:rFonts w:ascii="Arial" w:hAnsi="Arial" w:cs="Arial"/>
          <w:i/>
          <w:color w:val="263238"/>
          <w:sz w:val="22"/>
          <w:szCs w:val="16"/>
        </w:rPr>
        <w:t>J. Membr. Sci.</w:t>
      </w:r>
      <w:r w:rsidRPr="00EA36FE">
        <w:rPr>
          <w:rFonts w:ascii="Arial" w:hAnsi="Arial" w:cs="Arial"/>
          <w:color w:val="263238"/>
          <w:sz w:val="22"/>
          <w:szCs w:val="16"/>
        </w:rPr>
        <w:t xml:space="preserve">, </w:t>
      </w:r>
      <w:r w:rsidRPr="00EA36FE">
        <w:rPr>
          <w:rFonts w:ascii="Arial" w:hAnsi="Arial" w:cs="Arial"/>
          <w:b/>
          <w:color w:val="263238"/>
          <w:sz w:val="22"/>
          <w:szCs w:val="16"/>
        </w:rPr>
        <w:t>2015</w:t>
      </w:r>
      <w:r w:rsidRPr="00EA36FE">
        <w:rPr>
          <w:rFonts w:ascii="Arial" w:hAnsi="Arial" w:cs="Arial"/>
          <w:color w:val="263238"/>
          <w:sz w:val="22"/>
          <w:szCs w:val="16"/>
        </w:rPr>
        <w:t xml:space="preserve">, </w:t>
      </w:r>
      <w:r w:rsidRPr="00EA36FE">
        <w:rPr>
          <w:rFonts w:ascii="Arial" w:hAnsi="Arial" w:cs="Arial"/>
          <w:i/>
          <w:color w:val="263238"/>
          <w:sz w:val="22"/>
          <w:szCs w:val="16"/>
        </w:rPr>
        <w:t>487</w:t>
      </w:r>
      <w:r w:rsidRPr="00EA36FE">
        <w:rPr>
          <w:rFonts w:ascii="Arial" w:hAnsi="Arial" w:cs="Arial"/>
          <w:color w:val="263238"/>
          <w:sz w:val="22"/>
          <w:szCs w:val="16"/>
        </w:rPr>
        <w:t>, 249–255. DOI: 10.1016/j.memsci.2015.03.074</w:t>
      </w:r>
    </w:p>
    <w:p w:rsidR="00EA36FE" w:rsidRPr="00EA36FE" w:rsidRDefault="00EA36FE" w:rsidP="00EA36FE">
      <w:pPr>
        <w:pStyle w:val="EndNoteBibliography"/>
        <w:spacing w:after="0"/>
        <w:rPr>
          <w:rFonts w:ascii="Arial" w:hAnsi="Arial" w:cs="Arial"/>
          <w:color w:val="263238"/>
          <w:sz w:val="22"/>
          <w:szCs w:val="16"/>
        </w:rPr>
      </w:pPr>
      <w:r w:rsidRPr="00EA36FE">
        <w:rPr>
          <w:rFonts w:ascii="Arial" w:hAnsi="Arial" w:cs="Arial"/>
          <w:color w:val="263238"/>
          <w:sz w:val="22"/>
          <w:szCs w:val="16"/>
        </w:rPr>
        <w:t xml:space="preserve">Y. He, F. M. Benedetti, S. Lin, C. Liu, Y. Zhao, H. Z. Ye, T. Van Voorhis, M. G. De Angelis, T. M. Swager, Z. P. Smith, </w:t>
      </w:r>
      <w:r w:rsidRPr="00EA36FE">
        <w:rPr>
          <w:rFonts w:ascii="Arial" w:hAnsi="Arial" w:cs="Arial"/>
          <w:i/>
          <w:color w:val="263238"/>
          <w:sz w:val="22"/>
          <w:szCs w:val="16"/>
        </w:rPr>
        <w:t>Adv. Mater.</w:t>
      </w:r>
      <w:r w:rsidRPr="00EA36FE">
        <w:rPr>
          <w:rFonts w:ascii="Arial" w:hAnsi="Arial" w:cs="Arial"/>
          <w:color w:val="263238"/>
          <w:sz w:val="22"/>
          <w:szCs w:val="16"/>
        </w:rPr>
        <w:t xml:space="preserve">, </w:t>
      </w:r>
      <w:r w:rsidRPr="00EA36FE">
        <w:rPr>
          <w:rFonts w:ascii="Arial" w:hAnsi="Arial" w:cs="Arial"/>
          <w:b/>
          <w:color w:val="263238"/>
          <w:sz w:val="22"/>
          <w:szCs w:val="16"/>
        </w:rPr>
        <w:t>2019</w:t>
      </w:r>
      <w:r w:rsidRPr="00EA36FE">
        <w:rPr>
          <w:rFonts w:ascii="Arial" w:hAnsi="Arial" w:cs="Arial"/>
          <w:color w:val="263238"/>
          <w:sz w:val="22"/>
          <w:szCs w:val="16"/>
        </w:rPr>
        <w:t xml:space="preserve">, </w:t>
      </w:r>
      <w:r w:rsidRPr="00EA36FE">
        <w:rPr>
          <w:rFonts w:ascii="Arial" w:hAnsi="Arial" w:cs="Arial"/>
          <w:i/>
          <w:color w:val="263238"/>
          <w:sz w:val="22"/>
          <w:szCs w:val="16"/>
        </w:rPr>
        <w:t>31</w:t>
      </w:r>
      <w:r w:rsidRPr="00EA36FE">
        <w:rPr>
          <w:rFonts w:ascii="Arial" w:hAnsi="Arial" w:cs="Arial"/>
          <w:color w:val="263238"/>
          <w:sz w:val="22"/>
          <w:szCs w:val="16"/>
        </w:rPr>
        <w:t>, e1807871. DOI: 10.1002/adma.201807871</w:t>
      </w:r>
    </w:p>
    <w:p w:rsidR="001704B0" w:rsidRPr="00EA36FE" w:rsidRDefault="00EA36FE" w:rsidP="00EA36FE">
      <w:pPr>
        <w:pStyle w:val="htmlparentstyle"/>
        <w:spacing w:line="240" w:lineRule="auto"/>
        <w:rPr>
          <w:rFonts w:cs="Arial"/>
          <w:sz w:val="32"/>
          <w:lang w:val="en-US"/>
        </w:rPr>
      </w:pPr>
      <w:r w:rsidRPr="00EA36FE">
        <w:rPr>
          <w:rFonts w:cs="Arial"/>
          <w:szCs w:val="16"/>
          <w:lang w:val="en-US"/>
        </w:rPr>
        <w:t xml:space="preserve">M. </w:t>
      </w:r>
      <w:proofErr w:type="spellStart"/>
      <w:r w:rsidRPr="00EA36FE">
        <w:rPr>
          <w:rFonts w:cs="Arial"/>
          <w:szCs w:val="16"/>
          <w:lang w:val="en-US"/>
        </w:rPr>
        <w:t>Macchione</w:t>
      </w:r>
      <w:proofErr w:type="spellEnd"/>
      <w:r w:rsidRPr="00EA36FE">
        <w:rPr>
          <w:rFonts w:cs="Arial"/>
          <w:szCs w:val="16"/>
          <w:lang w:val="en-US"/>
        </w:rPr>
        <w:t xml:space="preserve">, J. C. Jansen, G. De Luca, E. </w:t>
      </w:r>
      <w:proofErr w:type="spellStart"/>
      <w:r w:rsidRPr="00EA36FE">
        <w:rPr>
          <w:rFonts w:cs="Arial"/>
          <w:szCs w:val="16"/>
          <w:lang w:val="en-US"/>
        </w:rPr>
        <w:t>Tocci</w:t>
      </w:r>
      <w:proofErr w:type="spellEnd"/>
      <w:r w:rsidRPr="00EA36FE">
        <w:rPr>
          <w:rFonts w:cs="Arial"/>
          <w:szCs w:val="16"/>
          <w:lang w:val="en-US"/>
        </w:rPr>
        <w:t xml:space="preserve">, M. </w:t>
      </w:r>
      <w:proofErr w:type="spellStart"/>
      <w:r w:rsidRPr="00EA36FE">
        <w:rPr>
          <w:rFonts w:cs="Arial"/>
          <w:szCs w:val="16"/>
          <w:lang w:val="en-US"/>
        </w:rPr>
        <w:t>Longeri</w:t>
      </w:r>
      <w:proofErr w:type="spellEnd"/>
      <w:r w:rsidRPr="00EA36FE">
        <w:rPr>
          <w:rFonts w:cs="Arial"/>
          <w:szCs w:val="16"/>
          <w:lang w:val="en-US"/>
        </w:rPr>
        <w:t xml:space="preserve">, E. </w:t>
      </w:r>
      <w:proofErr w:type="spellStart"/>
      <w:r w:rsidRPr="00EA36FE">
        <w:rPr>
          <w:rFonts w:cs="Arial"/>
          <w:szCs w:val="16"/>
          <w:lang w:val="en-US"/>
        </w:rPr>
        <w:t>Drioli</w:t>
      </w:r>
      <w:proofErr w:type="spellEnd"/>
      <w:r w:rsidRPr="00EA36FE">
        <w:rPr>
          <w:rFonts w:cs="Arial"/>
          <w:szCs w:val="16"/>
          <w:lang w:val="en-US"/>
        </w:rPr>
        <w:t xml:space="preserve">, </w:t>
      </w:r>
      <w:r w:rsidRPr="00EA36FE">
        <w:rPr>
          <w:rFonts w:cs="Arial"/>
          <w:i/>
          <w:szCs w:val="16"/>
          <w:lang w:val="en-US"/>
        </w:rPr>
        <w:t>Polymer</w:t>
      </w:r>
      <w:r w:rsidRPr="00EA36FE">
        <w:rPr>
          <w:rFonts w:cs="Arial"/>
          <w:szCs w:val="16"/>
          <w:lang w:val="en-US"/>
        </w:rPr>
        <w:t xml:space="preserve">, </w:t>
      </w:r>
      <w:r w:rsidRPr="00EA36FE">
        <w:rPr>
          <w:rFonts w:cs="Arial"/>
          <w:b/>
          <w:szCs w:val="16"/>
          <w:lang w:val="en-US"/>
        </w:rPr>
        <w:t>2007</w:t>
      </w:r>
      <w:r w:rsidRPr="00EA36FE">
        <w:rPr>
          <w:rFonts w:cs="Arial"/>
          <w:szCs w:val="16"/>
          <w:lang w:val="en-US"/>
        </w:rPr>
        <w:t xml:space="preserve">, </w:t>
      </w:r>
      <w:r w:rsidRPr="00EA36FE">
        <w:rPr>
          <w:rFonts w:cs="Arial"/>
          <w:i/>
          <w:szCs w:val="16"/>
          <w:lang w:val="en-US"/>
        </w:rPr>
        <w:t>48</w:t>
      </w:r>
      <w:r w:rsidRPr="00EA36FE">
        <w:rPr>
          <w:rFonts w:cs="Arial"/>
          <w:szCs w:val="16"/>
          <w:lang w:val="en-US"/>
        </w:rPr>
        <w:t>, 2619–2635. DOI:  10.1016/j.polymer.2007.02.068</w:t>
      </w:r>
    </w:p>
    <w:sectPr w:rsidR="001704B0" w:rsidRPr="00EA36FE"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EE8" w:rsidRDefault="00AE2EE8" w:rsidP="00427E5A">
      <w:pPr>
        <w:spacing w:after="0" w:line="240" w:lineRule="auto"/>
      </w:pPr>
      <w:r>
        <w:separator/>
      </w:r>
    </w:p>
    <w:p w:rsidR="00AE2EE8" w:rsidRDefault="00AE2EE8"/>
  </w:endnote>
  <w:endnote w:type="continuationSeparator" w:id="0">
    <w:p w:rsidR="00AE2EE8" w:rsidRDefault="00AE2EE8" w:rsidP="00427E5A">
      <w:pPr>
        <w:spacing w:after="0" w:line="240" w:lineRule="auto"/>
      </w:pPr>
      <w:r>
        <w:continuationSeparator/>
      </w:r>
    </w:p>
    <w:p w:rsidR="00AE2EE8" w:rsidRDefault="00AE2EE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EE8" w:rsidRDefault="00AE2EE8" w:rsidP="00427E5A">
      <w:pPr>
        <w:spacing w:after="0" w:line="240" w:lineRule="auto"/>
      </w:pPr>
      <w:r>
        <w:separator/>
      </w:r>
    </w:p>
    <w:p w:rsidR="00AE2EE8" w:rsidRDefault="00AE2EE8"/>
  </w:footnote>
  <w:footnote w:type="continuationSeparator" w:id="0">
    <w:p w:rsidR="00AE2EE8" w:rsidRDefault="00AE2EE8" w:rsidP="00427E5A">
      <w:pPr>
        <w:spacing w:after="0" w:line="240" w:lineRule="auto"/>
      </w:pPr>
      <w:r>
        <w:continuationSeparator/>
      </w:r>
    </w:p>
    <w:p w:rsidR="00AE2EE8" w:rsidRDefault="00AE2EE8"/>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C6033"/>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D4A7D"/>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9F5056"/>
    <w:rsid w:val="00A05076"/>
    <w:rsid w:val="00A0672F"/>
    <w:rsid w:val="00A217DC"/>
    <w:rsid w:val="00A231BA"/>
    <w:rsid w:val="00A263EF"/>
    <w:rsid w:val="00A27245"/>
    <w:rsid w:val="00A32E5C"/>
    <w:rsid w:val="00A33939"/>
    <w:rsid w:val="00A56EFC"/>
    <w:rsid w:val="00A6442F"/>
    <w:rsid w:val="00A66EE2"/>
    <w:rsid w:val="00A76F33"/>
    <w:rsid w:val="00AC3F69"/>
    <w:rsid w:val="00AC3FD8"/>
    <w:rsid w:val="00AC4C4E"/>
    <w:rsid w:val="00AD01DF"/>
    <w:rsid w:val="00AE2EE8"/>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810AE"/>
    <w:rsid w:val="00C8338A"/>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546BF"/>
    <w:rsid w:val="00D622BA"/>
    <w:rsid w:val="00D71473"/>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36FE"/>
    <w:rsid w:val="00EA6C3B"/>
    <w:rsid w:val="00EB2FCC"/>
    <w:rsid w:val="00EB6228"/>
    <w:rsid w:val="00EE0429"/>
    <w:rsid w:val="00EE4066"/>
    <w:rsid w:val="00EE5CC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paragraph" w:customStyle="1" w:styleId="MainText">
    <w:name w:val="Main Text"/>
    <w:basedOn w:val="a"/>
    <w:link w:val="MainText0"/>
    <w:qFormat/>
    <w:rsid w:val="00EA36FE"/>
    <w:pPr>
      <w:spacing w:after="0"/>
      <w:ind w:firstLine="278"/>
      <w:jc w:val="both"/>
    </w:pPr>
    <w:rPr>
      <w:rFonts w:ascii="Times New Roman" w:hAnsi="Times New Roman" w:cs="Times New Roman"/>
      <w:sz w:val="18"/>
      <w:szCs w:val="18"/>
      <w:lang w:val="en-US"/>
    </w:rPr>
  </w:style>
  <w:style w:type="character" w:customStyle="1" w:styleId="MainText0">
    <w:name w:val="Main Text Знак"/>
    <w:basedOn w:val="a0"/>
    <w:link w:val="MainText"/>
    <w:rsid w:val="00EA36FE"/>
    <w:rPr>
      <w:rFonts w:ascii="Times New Roman" w:hAnsi="Times New Roman" w:cs="Times New Roman"/>
      <w:sz w:val="18"/>
      <w:szCs w:val="18"/>
      <w:lang w:val="en-US"/>
    </w:rPr>
  </w:style>
  <w:style w:type="character" w:customStyle="1" w:styleId="rynqvb">
    <w:name w:val="rynqvb"/>
    <w:basedOn w:val="a0"/>
    <w:rsid w:val="00EA36FE"/>
  </w:style>
  <w:style w:type="paragraph" w:customStyle="1" w:styleId="Header1">
    <w:name w:val="Header 1"/>
    <w:basedOn w:val="a"/>
    <w:link w:val="Header10"/>
    <w:qFormat/>
    <w:rsid w:val="00EA36FE"/>
    <w:pPr>
      <w:spacing w:before="200"/>
    </w:pPr>
    <w:rPr>
      <w:rFonts w:ascii="Arial" w:hAnsi="Arial" w:cs="Arial"/>
      <w:b/>
      <w:lang w:val="en-US"/>
    </w:rPr>
  </w:style>
  <w:style w:type="character" w:customStyle="1" w:styleId="Header10">
    <w:name w:val="Header 1 Знак"/>
    <w:basedOn w:val="a0"/>
    <w:link w:val="Header1"/>
    <w:rsid w:val="00EA36FE"/>
    <w:rPr>
      <w:rFonts w:ascii="Arial" w:hAnsi="Arial" w:cs="Arial"/>
      <w:b/>
      <w:lang w:val="en-US"/>
    </w:rPr>
  </w:style>
  <w:style w:type="paragraph" w:customStyle="1" w:styleId="Captions">
    <w:name w:val="Captions"/>
    <w:basedOn w:val="MainText"/>
    <w:next w:val="MainText"/>
    <w:link w:val="Captions0"/>
    <w:qFormat/>
    <w:rsid w:val="00EA36FE"/>
    <w:pPr>
      <w:spacing w:before="200" w:line="240" w:lineRule="auto"/>
    </w:pPr>
    <w:rPr>
      <w:b/>
    </w:rPr>
  </w:style>
  <w:style w:type="character" w:customStyle="1" w:styleId="Captions0">
    <w:name w:val="Captions Знак"/>
    <w:basedOn w:val="a0"/>
    <w:link w:val="Captions"/>
    <w:rsid w:val="00EA36FE"/>
    <w:rPr>
      <w:rFonts w:ascii="Times New Roman" w:hAnsi="Times New Roman" w:cs="Times New Roman"/>
      <w:b/>
      <w:sz w:val="18"/>
      <w:szCs w:val="18"/>
      <w:lang w:val="en-US"/>
    </w:rPr>
  </w:style>
  <w:style w:type="paragraph" w:styleId="af0">
    <w:name w:val="No Spacing"/>
    <w:aliases w:val="!!! Таблицы !!!,!!!!!! Таблицы !!!!,!!!!!!! Таблицы !!!!!!!!!,таблица,РИСУНОК,таблице"/>
    <w:basedOn w:val="a"/>
    <w:next w:val="a"/>
    <w:link w:val="af1"/>
    <w:uiPriority w:val="1"/>
    <w:qFormat/>
    <w:rsid w:val="00EA36FE"/>
    <w:pPr>
      <w:spacing w:after="120" w:line="240" w:lineRule="auto"/>
      <w:jc w:val="both"/>
    </w:pPr>
    <w:rPr>
      <w:rFonts w:ascii="Times New Roman" w:eastAsia="Times New Roman" w:hAnsi="Times New Roman" w:cs="Times New Roman"/>
      <w:color w:val="000000"/>
      <w:sz w:val="24"/>
      <w:szCs w:val="24"/>
      <w:lang w:val="en-US"/>
    </w:rPr>
  </w:style>
  <w:style w:type="character" w:customStyle="1" w:styleId="af1">
    <w:name w:val="Без интервала Знак"/>
    <w:aliases w:val="!!! Таблицы !!! Знак,!!!!!! Таблицы !!!! Знак,!!!!!!! Таблицы !!!!!!!!! Знак,таблица Знак,РИСУНОК Знак,таблице Знак"/>
    <w:link w:val="af0"/>
    <w:uiPriority w:val="1"/>
    <w:rsid w:val="00EA36FE"/>
    <w:rPr>
      <w:rFonts w:ascii="Times New Roman" w:eastAsia="Times New Roman" w:hAnsi="Times New Roman" w:cs="Times New Roman"/>
      <w:color w:val="000000"/>
      <w:sz w:val="24"/>
      <w:szCs w:val="24"/>
      <w:lang w:val="en-US"/>
    </w:rPr>
  </w:style>
  <w:style w:type="paragraph" w:styleId="af2">
    <w:name w:val="Normal (Web)"/>
    <w:basedOn w:val="a"/>
    <w:uiPriority w:val="99"/>
    <w:unhideWhenUsed/>
    <w:rsid w:val="00EA36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ndNoteBibliography">
    <w:name w:val="EndNote Bibliography"/>
    <w:basedOn w:val="a"/>
    <w:link w:val="EndNoteBibliography0"/>
    <w:rsid w:val="00EA36FE"/>
    <w:pPr>
      <w:spacing w:line="240" w:lineRule="auto"/>
      <w:jc w:val="both"/>
    </w:pPr>
    <w:rPr>
      <w:rFonts w:ascii="Times New Roman" w:hAnsi="Times New Roman" w:cs="Times New Roman"/>
      <w:noProof/>
      <w:sz w:val="18"/>
      <w:lang w:val="en-US"/>
    </w:rPr>
  </w:style>
  <w:style w:type="character" w:customStyle="1" w:styleId="EndNoteBibliography0">
    <w:name w:val="EndNote Bibliography Знак"/>
    <w:basedOn w:val="a0"/>
    <w:link w:val="EndNoteBibliography"/>
    <w:rsid w:val="00EA36FE"/>
    <w:rPr>
      <w:rFonts w:ascii="Times New Roman" w:hAnsi="Times New Roman" w:cs="Times New Roman"/>
      <w:noProof/>
      <w:sz w:val="1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4EDFB-C2AD-4F91-AFBE-D8498C794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1484</Words>
  <Characters>8460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32</cp:revision>
  <dcterms:created xsi:type="dcterms:W3CDTF">2025-07-01T17:14:00Z</dcterms:created>
  <dcterms:modified xsi:type="dcterms:W3CDTF">2025-07-23T10:28:00Z</dcterms:modified>
</cp:coreProperties>
</file>