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84F" w:rsidRPr="006118F4" w:rsidRDefault="0091084F" w:rsidP="0091084F">
      <w:pPr>
        <w:jc w:val="center"/>
        <w:rPr>
          <w:rFonts w:ascii="Times New Roman" w:hAnsi="Times New Roman" w:cs="Times New Roman"/>
          <w:sz w:val="36"/>
          <w:szCs w:val="36"/>
          <w:lang w:val="en-US"/>
        </w:rPr>
      </w:pPr>
      <w:r w:rsidRPr="006118F4">
        <w:rPr>
          <w:rFonts w:ascii="Times New Roman" w:hAnsi="Times New Roman" w:cs="Times New Roman"/>
          <w:i/>
          <w:sz w:val="36"/>
          <w:szCs w:val="36"/>
          <w:lang w:val="en-US"/>
        </w:rPr>
        <w:t>INEOS OPEN</w:t>
      </w:r>
      <w:r w:rsidRPr="006118F4">
        <w:rPr>
          <w:rFonts w:ascii="Times New Roman" w:hAnsi="Times New Roman" w:cs="Times New Roman"/>
          <w:sz w:val="36"/>
          <w:szCs w:val="36"/>
          <w:lang w:val="en-US"/>
        </w:rPr>
        <w:t xml:space="preserve">, </w:t>
      </w:r>
      <w:r w:rsidRPr="006118F4">
        <w:rPr>
          <w:rFonts w:ascii="Times New Roman" w:hAnsi="Times New Roman" w:cs="Times New Roman"/>
          <w:b/>
          <w:sz w:val="36"/>
          <w:szCs w:val="36"/>
          <w:lang w:val="en-US"/>
        </w:rPr>
        <w:t>2025</w:t>
      </w:r>
      <w:r w:rsidRPr="006118F4">
        <w:rPr>
          <w:rFonts w:ascii="Times New Roman" w:hAnsi="Times New Roman" w:cs="Times New Roman"/>
          <w:sz w:val="36"/>
          <w:szCs w:val="36"/>
          <w:lang w:val="en-US"/>
        </w:rPr>
        <w:t xml:space="preserve">, </w:t>
      </w:r>
      <w:r w:rsidRPr="006118F4">
        <w:rPr>
          <w:rFonts w:ascii="Times New Roman" w:hAnsi="Times New Roman" w:cs="Times New Roman"/>
          <w:i/>
          <w:iCs/>
          <w:sz w:val="36"/>
          <w:szCs w:val="36"/>
          <w:lang w:val="en-US"/>
        </w:rPr>
        <w:t>8 (1–3)</w:t>
      </w:r>
      <w:r w:rsidR="0024305F">
        <w:rPr>
          <w:rFonts w:ascii="Times New Roman" w:hAnsi="Times New Roman" w:cs="Times New Roman"/>
          <w:sz w:val="36"/>
          <w:szCs w:val="36"/>
          <w:lang w:val="en-US"/>
        </w:rPr>
        <w:t>, 71</w:t>
      </w:r>
      <w:r w:rsidR="00F27BF3" w:rsidRPr="006118F4">
        <w:rPr>
          <w:rFonts w:ascii="Times New Roman" w:hAnsi="Times New Roman" w:cs="Times New Roman"/>
          <w:sz w:val="36"/>
          <w:szCs w:val="36"/>
          <w:lang w:val="en-US"/>
        </w:rPr>
        <w:t>–</w:t>
      </w:r>
      <w:r w:rsidR="0024305F">
        <w:rPr>
          <w:rFonts w:ascii="Times New Roman" w:hAnsi="Times New Roman" w:cs="Times New Roman"/>
          <w:sz w:val="36"/>
          <w:szCs w:val="36"/>
          <w:lang w:val="en-US"/>
        </w:rPr>
        <w:t>72</w:t>
      </w:r>
    </w:p>
    <w:p w:rsidR="00B9104A" w:rsidRPr="002801B8" w:rsidRDefault="0096783D" w:rsidP="006118F4">
      <w:pPr>
        <w:jc w:val="center"/>
        <w:rPr>
          <w:b/>
          <w:sz w:val="24"/>
          <w:szCs w:val="24"/>
          <w:lang w:val="en-US"/>
        </w:rPr>
      </w:pPr>
      <w:r w:rsidRPr="00FD0D30">
        <w:rPr>
          <w:rFonts w:ascii="Times New Roman" w:hAnsi="Times New Roman" w:cs="Times New Roman"/>
          <w:b/>
          <w:color w:val="660000"/>
          <w:sz w:val="24"/>
          <w:szCs w:val="24"/>
          <w:lang w:val="en-US"/>
        </w:rPr>
        <w:t>DOI:</w:t>
      </w:r>
      <w:r w:rsidRPr="00FD0D30">
        <w:rPr>
          <w:rFonts w:ascii="Times New Roman" w:hAnsi="Times New Roman" w:cs="Times New Roman"/>
          <w:b/>
          <w:sz w:val="24"/>
          <w:szCs w:val="24"/>
          <w:lang w:val="en-US"/>
        </w:rPr>
        <w:t xml:space="preserve"> </w:t>
      </w:r>
      <w:hyperlink r:id="rId8" w:history="1">
        <w:r w:rsidR="0024305F">
          <w:rPr>
            <w:rFonts w:ascii="Times New Roman" w:hAnsi="Times New Roman" w:cs="Times New Roman"/>
            <w:b/>
            <w:sz w:val="24"/>
            <w:szCs w:val="24"/>
            <w:lang w:val="en-US"/>
          </w:rPr>
          <w:t>10.32931/io2524</w:t>
        </w:r>
        <w:r w:rsidR="0091084F" w:rsidRPr="00FD0D30">
          <w:rPr>
            <w:rFonts w:ascii="Times New Roman" w:hAnsi="Times New Roman" w:cs="Times New Roman"/>
            <w:b/>
            <w:sz w:val="24"/>
            <w:szCs w:val="24"/>
            <w:lang w:val="en-US"/>
          </w:rPr>
          <w:t>a</w:t>
        </w:r>
      </w:hyperlink>
    </w:p>
    <w:p w:rsidR="002801B8" w:rsidRPr="005827E1" w:rsidRDefault="0024305F" w:rsidP="005827E1">
      <w:pPr>
        <w:pStyle w:val="ArticleTitle"/>
      </w:pPr>
      <w:r>
        <w:t xml:space="preserve">Functional </w:t>
      </w:r>
      <w:proofErr w:type="spellStart"/>
      <w:r>
        <w:t>Polylactide</w:t>
      </w:r>
      <w:proofErr w:type="spellEnd"/>
      <w:r>
        <w:t xml:space="preserve"> Micelles for</w:t>
      </w:r>
      <w:r>
        <w:br/>
        <w:t>Targeted Delivery o</w:t>
      </w:r>
      <w:r w:rsidRPr="00EB554A">
        <w:t xml:space="preserve">f </w:t>
      </w:r>
      <w:proofErr w:type="spellStart"/>
      <w:r w:rsidRPr="00EB554A">
        <w:t>Paclitaxel</w:t>
      </w:r>
      <w:proofErr w:type="spellEnd"/>
    </w:p>
    <w:p w:rsidR="00F46F0E" w:rsidRPr="0091084F" w:rsidRDefault="0024305F" w:rsidP="002801B8">
      <w:pPr>
        <w:pStyle w:val="Authors"/>
      </w:pPr>
      <w:r w:rsidRPr="00EB554A">
        <w:t>V. A. Pigareva*</w:t>
      </w:r>
    </w:p>
    <w:p w:rsidR="008518EA" w:rsidRPr="0091084F" w:rsidRDefault="004C2362" w:rsidP="004C2362">
      <w:pPr>
        <w:pStyle w:val="Affelations"/>
      </w:pPr>
      <w:proofErr w:type="spellStart"/>
      <w:proofErr w:type="gramStart"/>
      <w:r w:rsidRPr="004C2362">
        <w:t>Nesmeyanov</w:t>
      </w:r>
      <w:proofErr w:type="spellEnd"/>
      <w:r w:rsidRPr="004C2362">
        <w:t xml:space="preserve"> Institute of </w:t>
      </w:r>
      <w:proofErr w:type="spellStart"/>
      <w:r w:rsidRPr="004C2362">
        <w:t>Organoelement</w:t>
      </w:r>
      <w:proofErr w:type="spellEnd"/>
      <w:r w:rsidRPr="004C2362">
        <w:t xml:space="preserve"> Compounds, Russian Academy of Sciences, </w:t>
      </w:r>
      <w:proofErr w:type="spellStart"/>
      <w:r w:rsidRPr="004C2362">
        <w:t>ul</w:t>
      </w:r>
      <w:proofErr w:type="spellEnd"/>
      <w:r w:rsidRPr="004C2362">
        <w:t>.</w:t>
      </w:r>
      <w:proofErr w:type="gramEnd"/>
      <w:r w:rsidRPr="004C2362">
        <w:t xml:space="preserve"> </w:t>
      </w:r>
      <w:proofErr w:type="spellStart"/>
      <w:r w:rsidRPr="004C2362">
        <w:t>Vavilova</w:t>
      </w:r>
      <w:proofErr w:type="spellEnd"/>
      <w:r w:rsidRPr="004C2362">
        <w:t xml:space="preserve"> 28, str. 1, Moscow, 119334 Russia</w:t>
      </w:r>
      <w:r w:rsidR="0024305F">
        <w:t xml:space="preserve"> </w:t>
      </w:r>
      <w:r w:rsidR="00F27BF3">
        <w:br/>
      </w:r>
    </w:p>
    <w:p w:rsidR="008518EA" w:rsidRPr="007659A9" w:rsidRDefault="008518EA" w:rsidP="005827E1">
      <w:pPr>
        <w:pStyle w:val="CorrespondingAuthor"/>
      </w:pPr>
      <w:r w:rsidRPr="005827E1">
        <w:rPr>
          <w:b/>
          <w:i w:val="0"/>
        </w:rPr>
        <w:t>Corresponding author:</w:t>
      </w:r>
      <w:r w:rsidRPr="0068614A">
        <w:t xml:space="preserve"> </w:t>
      </w:r>
      <w:r w:rsidR="0024305F" w:rsidRPr="00EB554A">
        <w:t xml:space="preserve">V. A. </w:t>
      </w:r>
      <w:proofErr w:type="spellStart"/>
      <w:r w:rsidR="0024305F" w:rsidRPr="00EB554A">
        <w:t>Pigareva</w:t>
      </w:r>
      <w:proofErr w:type="spellEnd"/>
      <w:r w:rsidR="00D31C2D" w:rsidRPr="005827E1">
        <w:t>, e-mail:</w:t>
      </w:r>
      <w:r w:rsidR="00F27BF3" w:rsidRPr="005827E1">
        <w:t xml:space="preserve"> </w:t>
      </w:r>
      <w:r w:rsidR="0024305F" w:rsidRPr="00EB554A">
        <w:t>vla_dislava@mail.ru</w:t>
      </w:r>
      <w:r w:rsidR="00C01303" w:rsidRPr="005827E1">
        <w:br/>
      </w:r>
      <w:r w:rsidR="0024305F">
        <w:t>Received 29</w:t>
      </w:r>
      <w:r w:rsidRPr="005827E1">
        <w:t xml:space="preserve"> </w:t>
      </w:r>
      <w:r w:rsidR="0024305F">
        <w:t>Octo</w:t>
      </w:r>
      <w:r w:rsidRPr="005827E1">
        <w:t xml:space="preserve">ber 2024; accepted </w:t>
      </w:r>
      <w:r w:rsidR="0024305F">
        <w:t>9</w:t>
      </w:r>
      <w:r w:rsidR="001704B0" w:rsidRPr="005827E1">
        <w:t xml:space="preserve"> </w:t>
      </w:r>
      <w:r w:rsidR="0024305F">
        <w:t>Decem</w:t>
      </w:r>
      <w:r w:rsidR="001704B0" w:rsidRPr="005827E1">
        <w:t xml:space="preserve">ber </w:t>
      </w:r>
      <w:r w:rsidR="00F27BF3" w:rsidRPr="005827E1">
        <w:t>2024</w:t>
      </w:r>
    </w:p>
    <w:p w:rsidR="00D118AB" w:rsidRPr="008518EA" w:rsidRDefault="00F46F0E" w:rsidP="0068614A">
      <w:pPr>
        <w:pStyle w:val="MainHeader"/>
      </w:pPr>
      <w:r w:rsidRPr="000843DF">
        <w:t>Abstract</w:t>
      </w:r>
    </w:p>
    <w:p w:rsidR="00D118AB" w:rsidRPr="007B0653" w:rsidRDefault="00D118AB" w:rsidP="004C2362">
      <w:pPr>
        <w:pStyle w:val="AbsFig"/>
        <w:rPr>
          <w:lang w:val="en-US"/>
        </w:rPr>
      </w:pPr>
    </w:p>
    <w:p w:rsidR="001704B0" w:rsidRDefault="0024305F" w:rsidP="001704B0">
      <w:pPr>
        <w:pStyle w:val="AbsText"/>
      </w:pPr>
      <w:r w:rsidRPr="00EB554A">
        <w:t xml:space="preserve">The aim of this work was to study the potential of </w:t>
      </w:r>
      <w:proofErr w:type="spellStart"/>
      <w:r w:rsidRPr="00EB554A">
        <w:t>magnetosensitive</w:t>
      </w:r>
      <w:proofErr w:type="spellEnd"/>
      <w:r w:rsidRPr="00EB554A">
        <w:t xml:space="preserve"> </w:t>
      </w:r>
      <w:proofErr w:type="spellStart"/>
      <w:r w:rsidRPr="00EB554A">
        <w:t>polylactide</w:t>
      </w:r>
      <w:proofErr w:type="spellEnd"/>
      <w:r w:rsidRPr="00EB554A">
        <w:t xml:space="preserve"> micelles (PLMs) for creating </w:t>
      </w:r>
      <w:proofErr w:type="spellStart"/>
      <w:r w:rsidRPr="00EB554A">
        <w:t>nanocontainers</w:t>
      </w:r>
      <w:proofErr w:type="spellEnd"/>
      <w:r w:rsidRPr="00EB554A">
        <w:t xml:space="preserve"> for targeted delivery of hydrophobic </w:t>
      </w:r>
      <w:proofErr w:type="spellStart"/>
      <w:r w:rsidRPr="00EB554A">
        <w:t>paclitaxel</w:t>
      </w:r>
      <w:proofErr w:type="spellEnd"/>
      <w:r w:rsidRPr="00EB554A">
        <w:t xml:space="preserve">. After </w:t>
      </w:r>
      <w:proofErr w:type="spellStart"/>
      <w:r w:rsidRPr="00EB554A">
        <w:t>solubilization</w:t>
      </w:r>
      <w:proofErr w:type="spellEnd"/>
      <w:r w:rsidRPr="00EB554A">
        <w:t xml:space="preserve"> of </w:t>
      </w:r>
      <w:proofErr w:type="spellStart"/>
      <w:r w:rsidRPr="00EB554A">
        <w:t>paclitaxel</w:t>
      </w:r>
      <w:proofErr w:type="spellEnd"/>
      <w:r w:rsidRPr="00EB554A">
        <w:t xml:space="preserve"> and magnetic particles, the PLMs retain a size acceptable for use as a dosage form and demonstrate </w:t>
      </w:r>
      <w:proofErr w:type="spellStart"/>
      <w:r w:rsidRPr="00EB554A">
        <w:t>magnetosensitivity</w:t>
      </w:r>
      <w:proofErr w:type="spellEnd"/>
      <w:r w:rsidRPr="00EB554A">
        <w:t xml:space="preserve"> and colloid stability. The resulting </w:t>
      </w:r>
      <w:proofErr w:type="spellStart"/>
      <w:r w:rsidRPr="00EB554A">
        <w:t>nanosystems</w:t>
      </w:r>
      <w:proofErr w:type="spellEnd"/>
      <w:r w:rsidRPr="00EB554A">
        <w:t xml:space="preserve"> remain biodegradable. Thus, owing to the ability to include </w:t>
      </w:r>
      <w:proofErr w:type="spellStart"/>
      <w:r w:rsidRPr="00EB554A">
        <w:t>maghemite</w:t>
      </w:r>
      <w:proofErr w:type="spellEnd"/>
      <w:r w:rsidRPr="00EB554A">
        <w:t xml:space="preserve"> </w:t>
      </w:r>
      <w:proofErr w:type="spellStart"/>
      <w:r w:rsidRPr="00EB554A">
        <w:t>nanoparticles</w:t>
      </w:r>
      <w:proofErr w:type="spellEnd"/>
      <w:r w:rsidRPr="00EB554A">
        <w:t xml:space="preserve"> and hydrophobic drugs simultaneously, PLMs are promising for creating magnetically sensitive systems for targeted drug delivery.</w:t>
      </w:r>
    </w:p>
    <w:p w:rsidR="00166162" w:rsidRPr="00EF6BD4" w:rsidRDefault="00F46F0E" w:rsidP="00EF6BD4">
      <w:pPr>
        <w:pStyle w:val="Keywords"/>
        <w:rPr>
          <w:szCs w:val="20"/>
        </w:rPr>
      </w:pPr>
      <w:r w:rsidRPr="00EF6BD4">
        <w:rPr>
          <w:b/>
        </w:rPr>
        <w:t>Key words:</w:t>
      </w:r>
      <w:r w:rsidR="0024305F" w:rsidRPr="0024305F">
        <w:t xml:space="preserve"> </w:t>
      </w:r>
      <w:proofErr w:type="gramStart"/>
      <w:r w:rsidR="0024305F" w:rsidRPr="00EB554A">
        <w:t>poly(</w:t>
      </w:r>
      <w:proofErr w:type="spellStart"/>
      <w:proofErr w:type="gramEnd"/>
      <w:r w:rsidR="0024305F" w:rsidRPr="00EB554A">
        <w:rPr>
          <w:smallCaps/>
        </w:rPr>
        <w:t>d</w:t>
      </w:r>
      <w:r w:rsidR="0024305F" w:rsidRPr="00EB554A">
        <w:t>,</w:t>
      </w:r>
      <w:r w:rsidR="0024305F" w:rsidRPr="00EB554A">
        <w:rPr>
          <w:smallCaps/>
        </w:rPr>
        <w:t>l</w:t>
      </w:r>
      <w:r w:rsidR="0024305F" w:rsidRPr="00EB554A">
        <w:t>-lactide</w:t>
      </w:r>
      <w:proofErr w:type="spellEnd"/>
      <w:r w:rsidR="0024305F" w:rsidRPr="00EB554A">
        <w:t xml:space="preserve">)-b-(ethylene glycol) micelles, </w:t>
      </w:r>
      <w:proofErr w:type="spellStart"/>
      <w:r w:rsidR="0024305F" w:rsidRPr="00EB554A">
        <w:t>maghemite</w:t>
      </w:r>
      <w:proofErr w:type="spellEnd"/>
      <w:r w:rsidR="0024305F" w:rsidRPr="00EB554A">
        <w:t xml:space="preserve">, </w:t>
      </w:r>
      <w:proofErr w:type="spellStart"/>
      <w:r w:rsidR="0024305F" w:rsidRPr="00EB554A">
        <w:t>paclitaxel</w:t>
      </w:r>
      <w:proofErr w:type="spellEnd"/>
      <w:r w:rsidR="0024305F" w:rsidRPr="00EB554A">
        <w:t xml:space="preserve">, </w:t>
      </w:r>
      <w:proofErr w:type="spellStart"/>
      <w:r w:rsidR="0024305F" w:rsidRPr="00EB554A">
        <w:t>nanocontainer</w:t>
      </w:r>
      <w:proofErr w:type="spellEnd"/>
      <w:r w:rsidR="0024305F" w:rsidRPr="00EB554A">
        <w:t>, targeted delivery.</w:t>
      </w:r>
    </w:p>
    <w:p w:rsidR="00D31C2D" w:rsidRPr="00A0672F" w:rsidRDefault="00D31C2D" w:rsidP="00D31C2D">
      <w:pPr>
        <w:rPr>
          <w:rFonts w:ascii="Arial" w:hAnsi="Arial" w:cs="Arial"/>
          <w:spacing w:val="-2"/>
          <w:szCs w:val="20"/>
          <w:lang w:val="en-US"/>
        </w:rPr>
      </w:pPr>
    </w:p>
    <w:p w:rsidR="00875175" w:rsidRDefault="00427E5A" w:rsidP="0068614A">
      <w:pPr>
        <w:pStyle w:val="MainHeader"/>
      </w:pPr>
      <w:r w:rsidRPr="000843DF">
        <w:t>Introduction</w:t>
      </w:r>
    </w:p>
    <w:p w:rsidR="0024305F" w:rsidRPr="00EB554A" w:rsidRDefault="0024305F" w:rsidP="0024305F">
      <w:pPr>
        <w:pStyle w:val="Text"/>
      </w:pPr>
      <w:r w:rsidRPr="00EB554A">
        <w:t xml:space="preserve">Minimization of non-specific side effects and enhancement of therapeutic activity of drugs by their targeted delivery to the tumor tissue are important problems of modern medicine [1]. One method to improve the efficiency of delivery of hydrophobic drugs to cancer cells is the use of </w:t>
      </w:r>
      <w:proofErr w:type="spellStart"/>
      <w:r w:rsidRPr="00EB554A">
        <w:t>nanocontainers</w:t>
      </w:r>
      <w:proofErr w:type="spellEnd"/>
      <w:r w:rsidRPr="00EB554A">
        <w:t xml:space="preserve"> such as micelles, which are typically composed of </w:t>
      </w:r>
      <w:proofErr w:type="spellStart"/>
      <w:r w:rsidRPr="00EB554A">
        <w:t>amphiphilic</w:t>
      </w:r>
      <w:proofErr w:type="spellEnd"/>
      <w:r w:rsidRPr="00EB554A">
        <w:t xml:space="preserve"> </w:t>
      </w:r>
      <w:proofErr w:type="spellStart"/>
      <w:r w:rsidRPr="00EB554A">
        <w:t>diblock</w:t>
      </w:r>
      <w:proofErr w:type="spellEnd"/>
      <w:r w:rsidRPr="00EB554A">
        <w:t xml:space="preserve"> copolymers [2, 3].</w:t>
      </w:r>
    </w:p>
    <w:p w:rsidR="0024305F" w:rsidRPr="00EB554A" w:rsidRDefault="0024305F" w:rsidP="0024305F">
      <w:pPr>
        <w:pStyle w:val="Text"/>
      </w:pPr>
      <w:r w:rsidRPr="00EB554A">
        <w:t xml:space="preserve">Polyesters are often used as a hydrophobic block, for example, </w:t>
      </w:r>
      <w:proofErr w:type="spellStart"/>
      <w:r w:rsidRPr="00EB554A">
        <w:t>polylactide</w:t>
      </w:r>
      <w:proofErr w:type="spellEnd"/>
      <w:r w:rsidRPr="00EB554A">
        <w:t xml:space="preserve"> (PLA), biodegradability and availability of which make it promising for use in medicine. The copolymerization of a </w:t>
      </w:r>
      <w:proofErr w:type="spellStart"/>
      <w:r w:rsidRPr="00EB554A">
        <w:t>lactide</w:t>
      </w:r>
      <w:proofErr w:type="spellEnd"/>
      <w:r w:rsidRPr="00EB554A">
        <w:t xml:space="preserve"> with hydrophilic poly</w:t>
      </w:r>
      <w:r>
        <w:t>(</w:t>
      </w:r>
      <w:r w:rsidRPr="00EB554A">
        <w:t>ethylene glycol</w:t>
      </w:r>
      <w:r>
        <w:t>)</w:t>
      </w:r>
      <w:r w:rsidRPr="00EB554A">
        <w:t xml:space="preserve"> (PEG) affords an </w:t>
      </w:r>
      <w:proofErr w:type="spellStart"/>
      <w:r w:rsidRPr="00EB554A">
        <w:t>amphiphilic</w:t>
      </w:r>
      <w:proofErr w:type="spellEnd"/>
      <w:r w:rsidRPr="00EB554A">
        <w:t xml:space="preserve"> copolymer which is capable of self-organizing in an aqueous solution into micelles with a polyester core and a PEG shell [4, 5].</w:t>
      </w:r>
    </w:p>
    <w:p w:rsidR="0024305F" w:rsidRPr="00EB554A" w:rsidRDefault="0024305F" w:rsidP="0024305F">
      <w:pPr>
        <w:pStyle w:val="Text"/>
      </w:pPr>
      <w:r w:rsidRPr="00EB554A">
        <w:t xml:space="preserve">Since, as was shown earlier, such micelles are not suitable for passive delivery due to their small size (about 30 nm), it was proposed to modify them to enable active delivery [6]. Micelles can be modified, for example, by including magnetic </w:t>
      </w:r>
      <w:proofErr w:type="spellStart"/>
      <w:r w:rsidRPr="00EB554A">
        <w:t>nanoparticles</w:t>
      </w:r>
      <w:proofErr w:type="spellEnd"/>
      <w:r w:rsidRPr="00EB554A">
        <w:t xml:space="preserve">, which will make the </w:t>
      </w:r>
      <w:proofErr w:type="spellStart"/>
      <w:r w:rsidRPr="00EB554A">
        <w:t>nanocontainers</w:t>
      </w:r>
      <w:proofErr w:type="spellEnd"/>
      <w:r w:rsidRPr="00EB554A">
        <w:t xml:space="preserve"> magnetically controllable. For example, </w:t>
      </w:r>
      <w:proofErr w:type="spellStart"/>
      <w:r w:rsidRPr="00EB554A">
        <w:t>maghemite</w:t>
      </w:r>
      <w:proofErr w:type="spellEnd"/>
      <w:r w:rsidRPr="00EB554A">
        <w:t xml:space="preserve"> (γ-Fe</w:t>
      </w:r>
      <w:r w:rsidRPr="00EB554A">
        <w:rPr>
          <w:vertAlign w:val="subscript"/>
        </w:rPr>
        <w:t>2</w:t>
      </w:r>
      <w:r w:rsidRPr="00EB554A">
        <w:t>O</w:t>
      </w:r>
      <w:r w:rsidRPr="00EB554A">
        <w:rPr>
          <w:vertAlign w:val="subscript"/>
        </w:rPr>
        <w:t>3</w:t>
      </w:r>
      <w:r w:rsidRPr="00EB554A">
        <w:t xml:space="preserve">) is used for this purpose. It has high residual magnetization and is used for biomedical purposes. Earlier the possibility of incorporating a hydrophobic antibiotic </w:t>
      </w:r>
      <w:proofErr w:type="spellStart"/>
      <w:r w:rsidRPr="00EB554A">
        <w:t>paclitaxel</w:t>
      </w:r>
      <w:proofErr w:type="spellEnd"/>
      <w:r w:rsidRPr="00EB554A">
        <w:t xml:space="preserve"> (PTX) and </w:t>
      </w:r>
      <w:proofErr w:type="spellStart"/>
      <w:r w:rsidRPr="00EB554A">
        <w:t>maghemite</w:t>
      </w:r>
      <w:proofErr w:type="spellEnd"/>
      <w:r w:rsidRPr="00EB554A">
        <w:t xml:space="preserve"> </w:t>
      </w:r>
      <w:proofErr w:type="spellStart"/>
      <w:r w:rsidRPr="00EB554A">
        <w:t>nanoparticles</w:t>
      </w:r>
      <w:proofErr w:type="spellEnd"/>
      <w:r w:rsidRPr="00EB554A">
        <w:t xml:space="preserve"> separately into PLMs was demonstrated [6]. It should be noted that PTX/PLMs and γ-Fe</w:t>
      </w:r>
      <w:r w:rsidRPr="00EB554A">
        <w:rPr>
          <w:vertAlign w:val="subscript"/>
        </w:rPr>
        <w:t>2</w:t>
      </w:r>
      <w:r w:rsidRPr="00EB554A">
        <w:t>O</w:t>
      </w:r>
      <w:r w:rsidRPr="00EB554A">
        <w:rPr>
          <w:vertAlign w:val="subscript"/>
        </w:rPr>
        <w:t>3</w:t>
      </w:r>
      <w:r w:rsidRPr="00EB554A">
        <w:t xml:space="preserve">/PLMs were about 30 nm in size and therefore are suitable as containers for targeted drug delivery. It was shown that magnetically </w:t>
      </w:r>
      <w:r w:rsidRPr="00EB554A">
        <w:lastRenderedPageBreak/>
        <w:t>sensitive micelles can concentrate in the region of an applied magnetic field, but the ternary system containing both γ-Fe</w:t>
      </w:r>
      <w:r w:rsidRPr="00EB554A">
        <w:rPr>
          <w:vertAlign w:val="subscript"/>
        </w:rPr>
        <w:t>2</w:t>
      </w:r>
      <w:r w:rsidRPr="00EB554A">
        <w:t>O</w:t>
      </w:r>
      <w:r w:rsidRPr="00EB554A">
        <w:rPr>
          <w:vertAlign w:val="subscript"/>
        </w:rPr>
        <w:t>3</w:t>
      </w:r>
      <w:r w:rsidRPr="00EB554A">
        <w:t xml:space="preserve"> and an antibiotic still requires a comprehensive study.</w:t>
      </w:r>
    </w:p>
    <w:p w:rsidR="0024305F" w:rsidRPr="00EB554A" w:rsidRDefault="0024305F" w:rsidP="0024305F">
      <w:pPr>
        <w:pStyle w:val="Text"/>
      </w:pPr>
      <w:r w:rsidRPr="00EB554A">
        <w:t xml:space="preserve">Thus, the aim of this work was to study the possibility of creating a </w:t>
      </w:r>
      <w:proofErr w:type="spellStart"/>
      <w:r w:rsidRPr="00EB554A">
        <w:t>nanocontainer</w:t>
      </w:r>
      <w:proofErr w:type="spellEnd"/>
      <w:r w:rsidRPr="00EB554A">
        <w:t xml:space="preserve"> based on PLA-PEG micelles with γ-Fe</w:t>
      </w:r>
      <w:r w:rsidRPr="00EB554A">
        <w:rPr>
          <w:vertAlign w:val="subscript"/>
        </w:rPr>
        <w:t>2</w:t>
      </w:r>
      <w:r w:rsidRPr="00EB554A">
        <w:t>O</w:t>
      </w:r>
      <w:r w:rsidRPr="00EB554A">
        <w:rPr>
          <w:vertAlign w:val="subscript"/>
        </w:rPr>
        <w:t>3</w:t>
      </w:r>
      <w:r w:rsidRPr="00EB554A">
        <w:t xml:space="preserve"> for targeted delivery of a hydrophobic antibiotic. In this communication, the </w:t>
      </w:r>
      <w:proofErr w:type="spellStart"/>
      <w:r w:rsidRPr="00EB554A">
        <w:t>magnetosensitivity</w:t>
      </w:r>
      <w:proofErr w:type="spellEnd"/>
      <w:r w:rsidRPr="00EB554A">
        <w:t xml:space="preserve"> of micelles containing PTX and γ-Fe</w:t>
      </w:r>
      <w:r w:rsidRPr="00EB554A">
        <w:rPr>
          <w:vertAlign w:val="subscript"/>
        </w:rPr>
        <w:t>2</w:t>
      </w:r>
      <w:r w:rsidRPr="00EB554A">
        <w:t>O</w:t>
      </w:r>
      <w:r w:rsidRPr="00EB554A">
        <w:rPr>
          <w:vertAlign w:val="subscript"/>
        </w:rPr>
        <w:t>3</w:t>
      </w:r>
      <w:r w:rsidRPr="00EB554A">
        <w:t xml:space="preserve"> (γ-Fe</w:t>
      </w:r>
      <w:r w:rsidRPr="00EB554A">
        <w:rPr>
          <w:vertAlign w:val="subscript"/>
        </w:rPr>
        <w:t>2</w:t>
      </w:r>
      <w:r w:rsidRPr="00EB554A">
        <w:t>O</w:t>
      </w:r>
      <w:r w:rsidRPr="00EB554A">
        <w:rPr>
          <w:vertAlign w:val="subscript"/>
        </w:rPr>
        <w:t>3</w:t>
      </w:r>
      <w:r w:rsidRPr="00EB554A">
        <w:t>/PTX/PLMs), as well as the stability of such systems over time and the susceptibility of the loaded micelles to enzymatic hydrolysis are demonstrated.</w:t>
      </w:r>
    </w:p>
    <w:p w:rsidR="0024305F" w:rsidRPr="00EB554A" w:rsidRDefault="0024305F" w:rsidP="0024305F">
      <w:pPr>
        <w:pStyle w:val="MainHeader"/>
      </w:pPr>
      <w:r w:rsidRPr="00EB554A">
        <w:t>Results and discussion</w:t>
      </w:r>
    </w:p>
    <w:p w:rsidR="0024305F" w:rsidRDefault="0024305F" w:rsidP="0024305F">
      <w:pPr>
        <w:pStyle w:val="Text"/>
        <w:rPr>
          <w:lang w:val="en-US"/>
        </w:rPr>
      </w:pPr>
      <w:r w:rsidRPr="00EB554A">
        <w:t>An aqueous solution of γ-Fe</w:t>
      </w:r>
      <w:r w:rsidRPr="00EB554A">
        <w:rPr>
          <w:vertAlign w:val="subscript"/>
        </w:rPr>
        <w:t>2</w:t>
      </w:r>
      <w:r w:rsidRPr="00EB554A">
        <w:t>O</w:t>
      </w:r>
      <w:r w:rsidRPr="00EB554A">
        <w:rPr>
          <w:vertAlign w:val="subscript"/>
        </w:rPr>
        <w:t>3</w:t>
      </w:r>
      <w:r w:rsidRPr="00EB554A">
        <w:t>/PTX/PLMs was obtained by the film hydration and dispersion technique. The hydrodynamic diameter of the ternary micelles was found to be ~30 nm. Thus, the incorporation of both the antibiotic and magnetic particles did not significantly change the size of PLMs. The colloid stability of γ-Fe</w:t>
      </w:r>
      <w:r w:rsidRPr="00EB554A">
        <w:rPr>
          <w:vertAlign w:val="subscript"/>
        </w:rPr>
        <w:t>2</w:t>
      </w:r>
      <w:r w:rsidRPr="00EB554A">
        <w:t>O</w:t>
      </w:r>
      <w:r w:rsidRPr="00EB554A">
        <w:rPr>
          <w:vertAlign w:val="subscript"/>
        </w:rPr>
        <w:t>3</w:t>
      </w:r>
      <w:r w:rsidRPr="00EB554A">
        <w:t xml:space="preserve">/PTX/PLMs was monitored for 24 h. The suspension was stable and did not undergo phase separation at least for 3 h. Then the slow precipitation occurred. However, the vigorous </w:t>
      </w:r>
      <w:proofErr w:type="spellStart"/>
      <w:r w:rsidRPr="00EB554A">
        <w:t>resuspending</w:t>
      </w:r>
      <w:proofErr w:type="spellEnd"/>
      <w:r w:rsidRPr="00EB554A">
        <w:t xml:space="preserve"> allowed for obtaining a stable suspension again. The application of a magnetic field to the freshly </w:t>
      </w:r>
      <w:proofErr w:type="spellStart"/>
      <w:r w:rsidRPr="00EB554A">
        <w:t>resuspended</w:t>
      </w:r>
      <w:proofErr w:type="spellEnd"/>
      <w:r w:rsidRPr="00EB554A">
        <w:t xml:space="preserve"> system resulted in distinct phase separation with concentration of micelles near the magnet (Fig. 1). </w:t>
      </w:r>
      <w:r w:rsidRPr="0024305F">
        <w:rPr>
          <w:lang w:val="en-US"/>
        </w:rPr>
        <w:t>After 30 min</w:t>
      </w:r>
      <w:r>
        <w:rPr>
          <w:lang w:val="en-US"/>
        </w:rPr>
        <w:t xml:space="preserve"> </w:t>
      </w:r>
      <w:r w:rsidRPr="0024305F">
        <w:rPr>
          <w:lang w:val="en-US"/>
        </w:rPr>
        <w:t xml:space="preserve">of the magnetic field induced separation, the supernatant was analyzed by light-scattering. </w:t>
      </w:r>
      <w:proofErr w:type="spellStart"/>
      <w:r w:rsidRPr="00EB554A">
        <w:t>No</w:t>
      </w:r>
      <w:proofErr w:type="spellEnd"/>
      <w:r w:rsidRPr="00EB554A">
        <w:t xml:space="preserve"> </w:t>
      </w:r>
      <w:proofErr w:type="spellStart"/>
      <w:r w:rsidRPr="00EB554A">
        <w:t>particles</w:t>
      </w:r>
      <w:proofErr w:type="spellEnd"/>
      <w:r w:rsidRPr="00EB554A">
        <w:t xml:space="preserve"> </w:t>
      </w:r>
      <w:proofErr w:type="spellStart"/>
      <w:r w:rsidRPr="00EB554A">
        <w:t>were</w:t>
      </w:r>
      <w:proofErr w:type="spellEnd"/>
      <w:r w:rsidRPr="00EB554A">
        <w:t xml:space="preserve"> </w:t>
      </w:r>
      <w:proofErr w:type="spellStart"/>
      <w:r w:rsidRPr="00EB554A">
        <w:t>detected</w:t>
      </w:r>
      <w:proofErr w:type="spellEnd"/>
      <w:r w:rsidRPr="00EB554A">
        <w:t xml:space="preserve"> in the supernatant. This reflects the modification of PLMs with γ-Fe</w:t>
      </w:r>
      <w:r w:rsidRPr="00EB554A">
        <w:rPr>
          <w:vertAlign w:val="subscript"/>
        </w:rPr>
        <w:t>2</w:t>
      </w:r>
      <w:r w:rsidRPr="00EB554A">
        <w:t>O</w:t>
      </w:r>
      <w:r w:rsidRPr="00EB554A">
        <w:rPr>
          <w:vertAlign w:val="subscript"/>
        </w:rPr>
        <w:t>3</w:t>
      </w:r>
      <w:r w:rsidRPr="00EB554A">
        <w:t xml:space="preserve"> and </w:t>
      </w:r>
      <w:proofErr w:type="spellStart"/>
      <w:r w:rsidRPr="00EB554A">
        <w:t>their</w:t>
      </w:r>
      <w:proofErr w:type="spellEnd"/>
      <w:r w:rsidRPr="00EB554A">
        <w:t xml:space="preserve"> </w:t>
      </w:r>
      <w:proofErr w:type="spellStart"/>
      <w:r w:rsidRPr="00EB554A">
        <w:t>resulting</w:t>
      </w:r>
      <w:proofErr w:type="spellEnd"/>
      <w:r w:rsidRPr="00EB554A">
        <w:t xml:space="preserve"> </w:t>
      </w:r>
      <w:proofErr w:type="spellStart"/>
      <w:r w:rsidRPr="00EB554A">
        <w:t>magnetic</w:t>
      </w:r>
      <w:proofErr w:type="spellEnd"/>
      <w:r w:rsidRPr="00EB554A">
        <w:t xml:space="preserve"> </w:t>
      </w:r>
      <w:proofErr w:type="spellStart"/>
      <w:r w:rsidRPr="00EB554A">
        <w:t>sensitivity</w:t>
      </w:r>
      <w:proofErr w:type="spellEnd"/>
      <w:r w:rsidRPr="00EB554A">
        <w:t>.</w:t>
      </w:r>
    </w:p>
    <w:p w:rsidR="0024305F" w:rsidRPr="0024305F" w:rsidRDefault="0024305F" w:rsidP="0024305F">
      <w:pPr>
        <w:pStyle w:val="Illustration"/>
        <w:rPr>
          <w:lang w:val="en-US"/>
        </w:rPr>
      </w:pPr>
    </w:p>
    <w:p w:rsidR="0024305F" w:rsidRPr="0024305F" w:rsidRDefault="0024305F" w:rsidP="0024305F">
      <w:pPr>
        <w:pStyle w:val="IllustrationDescription"/>
      </w:pPr>
      <w:proofErr w:type="gramStart"/>
      <w:r w:rsidRPr="00EB554A">
        <w:rPr>
          <w:b/>
        </w:rPr>
        <w:t>Figure 1.</w:t>
      </w:r>
      <w:proofErr w:type="gramEnd"/>
      <w:r w:rsidRPr="00EB554A">
        <w:t xml:space="preserve"> </w:t>
      </w:r>
      <w:proofErr w:type="spellStart"/>
      <w:r w:rsidRPr="00EB554A">
        <w:t>Micellar</w:t>
      </w:r>
      <w:proofErr w:type="spellEnd"/>
      <w:r w:rsidRPr="00EB554A">
        <w:t xml:space="preserve"> solution of γ-Fe</w:t>
      </w:r>
      <w:r w:rsidRPr="00EB554A">
        <w:rPr>
          <w:vertAlign w:val="subscript"/>
        </w:rPr>
        <w:t>2</w:t>
      </w:r>
      <w:r w:rsidRPr="00EB554A">
        <w:t>O</w:t>
      </w:r>
      <w:r w:rsidRPr="00EB554A">
        <w:rPr>
          <w:vertAlign w:val="subscript"/>
        </w:rPr>
        <w:t>3</w:t>
      </w:r>
      <w:r w:rsidRPr="00EB554A">
        <w:t>/PTX/PLMs after ultrasonic dispersion (</w:t>
      </w:r>
      <w:r w:rsidRPr="00EB554A">
        <w:rPr>
          <w:b/>
          <w:i/>
        </w:rPr>
        <w:t>a</w:t>
      </w:r>
      <w:r w:rsidRPr="00EB554A">
        <w:t>), after 10 min of holding on the magnet (</w:t>
      </w:r>
      <w:r w:rsidRPr="00EB554A">
        <w:rPr>
          <w:b/>
          <w:i/>
          <w:iCs/>
        </w:rPr>
        <w:t>b</w:t>
      </w:r>
      <w:r w:rsidRPr="00EB554A">
        <w:t>), and after 20 min of holding above the neodymium magnet (</w:t>
      </w:r>
      <w:r w:rsidRPr="00EB554A">
        <w:rPr>
          <w:b/>
          <w:i/>
          <w:iCs/>
        </w:rPr>
        <w:t>c</w:t>
      </w:r>
      <w:r w:rsidRPr="00EB554A">
        <w:t xml:space="preserve">). The internal magnetic field was 160 ± 10 </w:t>
      </w:r>
      <w:proofErr w:type="spellStart"/>
      <w:r w:rsidRPr="00EB554A">
        <w:t>mT</w:t>
      </w:r>
      <w:proofErr w:type="spellEnd"/>
      <w:r w:rsidRPr="00EB554A">
        <w:t>.</w:t>
      </w:r>
    </w:p>
    <w:p w:rsidR="0024305F" w:rsidRPr="00EB554A" w:rsidRDefault="0024305F" w:rsidP="0024305F">
      <w:pPr>
        <w:pStyle w:val="Text"/>
      </w:pPr>
      <w:r w:rsidRPr="00EB554A">
        <w:t>In addition to the cooperative ultrasonic dispersion method, the PLM system with γ-Fe</w:t>
      </w:r>
      <w:r w:rsidRPr="00EB554A">
        <w:rPr>
          <w:vertAlign w:val="subscript"/>
        </w:rPr>
        <w:t>2</w:t>
      </w:r>
      <w:r w:rsidRPr="00EB554A">
        <w:t>O</w:t>
      </w:r>
      <w:r w:rsidRPr="00EB554A">
        <w:rPr>
          <w:vertAlign w:val="subscript"/>
        </w:rPr>
        <w:t>3</w:t>
      </w:r>
      <w:r w:rsidRPr="00EB554A">
        <w:t xml:space="preserve"> was obtained by mixing the pre-formed PLM and </w:t>
      </w:r>
      <w:proofErr w:type="spellStart"/>
      <w:r w:rsidRPr="00EB554A">
        <w:t>maghemite</w:t>
      </w:r>
      <w:proofErr w:type="spellEnd"/>
      <w:r w:rsidRPr="00EB554A">
        <w:t xml:space="preserve"> </w:t>
      </w:r>
      <w:proofErr w:type="spellStart"/>
      <w:r w:rsidRPr="00EB554A">
        <w:t>nanoparticles</w:t>
      </w:r>
      <w:proofErr w:type="spellEnd"/>
      <w:r w:rsidRPr="00EB554A">
        <w:t xml:space="preserve">. In this case, in addition to the diameter of micelles, the individual </w:t>
      </w:r>
      <w:proofErr w:type="spellStart"/>
      <w:r w:rsidRPr="00EB554A">
        <w:t>maghemite</w:t>
      </w:r>
      <w:proofErr w:type="spellEnd"/>
      <w:r w:rsidRPr="00EB554A">
        <w:t xml:space="preserve"> </w:t>
      </w:r>
      <w:proofErr w:type="spellStart"/>
      <w:r w:rsidRPr="00EB554A">
        <w:t>nanoparticles</w:t>
      </w:r>
      <w:proofErr w:type="spellEnd"/>
      <w:r w:rsidRPr="00EB554A">
        <w:t xml:space="preserve"> subject to aggregation were registered in the system. Thus, it can be assumed that the method of cooperative ultrasonic dispersion affords </w:t>
      </w:r>
      <w:proofErr w:type="spellStart"/>
      <w:r w:rsidRPr="00EB554A">
        <w:t>colloidally</w:t>
      </w:r>
      <w:proofErr w:type="spellEnd"/>
      <w:r w:rsidRPr="00EB554A">
        <w:t xml:space="preserve"> stable </w:t>
      </w:r>
      <w:proofErr w:type="spellStart"/>
      <w:r w:rsidRPr="00EB554A">
        <w:t>maghemite</w:t>
      </w:r>
      <w:proofErr w:type="spellEnd"/>
      <w:r w:rsidRPr="00EB554A">
        <w:t xml:space="preserve"> </w:t>
      </w:r>
      <w:proofErr w:type="spellStart"/>
      <w:r w:rsidRPr="00EB554A">
        <w:t>nanoparticles</w:t>
      </w:r>
      <w:proofErr w:type="spellEnd"/>
      <w:r w:rsidRPr="00EB554A">
        <w:t xml:space="preserve"> encapsulated in PLMs. A plot of the relative intensity </w:t>
      </w:r>
      <w:r w:rsidRPr="00EB554A">
        <w:rPr>
          <w:i/>
          <w:iCs/>
        </w:rPr>
        <w:t>vs.</w:t>
      </w:r>
      <w:r w:rsidRPr="00EB554A">
        <w:t xml:space="preserve"> the micelle diameter as well as the description of the system with the incorporated </w:t>
      </w:r>
      <w:proofErr w:type="spellStart"/>
      <w:r w:rsidRPr="00EB554A">
        <w:t>nanoparticles</w:t>
      </w:r>
      <w:proofErr w:type="spellEnd"/>
      <w:r w:rsidRPr="00EB554A">
        <w:t xml:space="preserve"> can be found in the </w:t>
      </w:r>
      <w:r w:rsidRPr="00EB554A">
        <w:rPr>
          <w:color w:val="000000"/>
        </w:rPr>
        <w:t>Electronic supplementary information (ESI)</w:t>
      </w:r>
      <w:r w:rsidRPr="00EB554A">
        <w:t>.</w:t>
      </w:r>
    </w:p>
    <w:p w:rsidR="0024305F" w:rsidRPr="00EB554A" w:rsidRDefault="0024305F" w:rsidP="0024305F">
      <w:pPr>
        <w:pStyle w:val="Text"/>
        <w:rPr>
          <w:lang w:val="en-US"/>
        </w:rPr>
      </w:pPr>
      <w:r w:rsidRPr="00EB554A">
        <w:rPr>
          <w:lang w:val="en-US"/>
        </w:rPr>
        <w:t xml:space="preserve">While biodegradable PLMs are known to withstand enzymatic hydrolysis for a certain time period that allows them to deliver a bioactive cargo prior to decomposition, the incorporation of both </w:t>
      </w:r>
      <w:r w:rsidRPr="00EB554A">
        <w:t>γ</w:t>
      </w:r>
      <w:r w:rsidRPr="00EB554A">
        <w:rPr>
          <w:lang w:val="en-US"/>
        </w:rPr>
        <w:t>-Fe</w:t>
      </w:r>
      <w:r w:rsidRPr="00EB554A">
        <w:rPr>
          <w:vertAlign w:val="subscript"/>
          <w:lang w:val="en-US"/>
        </w:rPr>
        <w:t>2</w:t>
      </w:r>
      <w:r w:rsidRPr="00EB554A">
        <w:rPr>
          <w:lang w:val="en-US"/>
        </w:rPr>
        <w:t>O</w:t>
      </w:r>
      <w:r w:rsidRPr="00EB554A">
        <w:rPr>
          <w:vertAlign w:val="subscript"/>
          <w:lang w:val="en-US"/>
        </w:rPr>
        <w:t>3</w:t>
      </w:r>
      <w:r w:rsidRPr="00EB554A">
        <w:rPr>
          <w:lang w:val="en-US"/>
        </w:rPr>
        <w:t xml:space="preserve"> and PTX in the PLA core of micelles could violate the structure of the core and result in fast enzymatic hydrolysis. The addition of a PLA-specific enzyme, pancreatic lipase, was used to investigate the resistance of the ternary PLMs to hydrolysis. The micelles 30 nm in diameter were observed in a suspension even in 1 h after the enzyme addition. Hence, the micelles showed stability to hydrolysis for a time sufficient to be used in targeted delivery. On the other hand, after 24 h of incubation, the individual size of the micelles ceased to be recorded due to the enzymatic hydrolysis, demonstrating suitable biodegradation of the </w:t>
      </w:r>
      <w:proofErr w:type="spellStart"/>
      <w:r w:rsidRPr="00EB554A">
        <w:rPr>
          <w:lang w:val="en-US"/>
        </w:rPr>
        <w:t>nanocontainer</w:t>
      </w:r>
      <w:proofErr w:type="spellEnd"/>
      <w:r w:rsidRPr="00EB554A">
        <w:rPr>
          <w:lang w:val="en-US"/>
        </w:rPr>
        <w:t>.</w:t>
      </w:r>
    </w:p>
    <w:p w:rsidR="0024305F" w:rsidRPr="00EB554A" w:rsidRDefault="0024305F" w:rsidP="0024305F">
      <w:pPr>
        <w:pStyle w:val="MainHeader"/>
      </w:pPr>
      <w:r w:rsidRPr="00EB554A">
        <w:t>Experimental section</w:t>
      </w:r>
    </w:p>
    <w:p w:rsidR="0024305F" w:rsidRPr="00EB554A" w:rsidRDefault="0024305F" w:rsidP="0024305F">
      <w:pPr>
        <w:pStyle w:val="Text"/>
      </w:pPr>
      <w:r w:rsidRPr="00EB554A">
        <w:rPr>
          <w:b/>
        </w:rPr>
        <w:t>Polymer:</w:t>
      </w:r>
      <w:r w:rsidRPr="00EB554A">
        <w:t xml:space="preserve"> poly(</w:t>
      </w:r>
      <w:r w:rsidRPr="00EB554A">
        <w:rPr>
          <w:sz w:val="13"/>
          <w:szCs w:val="13"/>
        </w:rPr>
        <w:t>D</w:t>
      </w:r>
      <w:r w:rsidRPr="00EB554A">
        <w:t>,</w:t>
      </w:r>
      <w:r w:rsidRPr="00EB554A">
        <w:rPr>
          <w:sz w:val="13"/>
          <w:szCs w:val="13"/>
        </w:rPr>
        <w:t>L</w:t>
      </w:r>
      <w:r w:rsidRPr="00EB554A">
        <w:t>-</w:t>
      </w:r>
      <w:proofErr w:type="spellStart"/>
      <w:r w:rsidRPr="00EB554A">
        <w:t>lactide</w:t>
      </w:r>
      <w:proofErr w:type="spellEnd"/>
      <w:r w:rsidRPr="00EB554A">
        <w:t xml:space="preserve">)-b-(ethylene glycol methyl ether) </w:t>
      </w:r>
      <w:proofErr w:type="spellStart"/>
      <w:r w:rsidRPr="00EB554A">
        <w:t>diblock</w:t>
      </w:r>
      <w:proofErr w:type="spellEnd"/>
      <w:r w:rsidRPr="00EB554A">
        <w:t xml:space="preserve"> copolymer (PLA–PEG) with PEG </w:t>
      </w:r>
      <w:proofErr w:type="spellStart"/>
      <w:r w:rsidRPr="00EB554A">
        <w:rPr>
          <w:i/>
          <w:iCs/>
        </w:rPr>
        <w:t>M</w:t>
      </w:r>
      <w:r w:rsidRPr="00EB554A">
        <w:rPr>
          <w:vertAlign w:val="subscript"/>
        </w:rPr>
        <w:t>n</w:t>
      </w:r>
      <w:proofErr w:type="spellEnd"/>
      <w:r w:rsidRPr="00EB554A">
        <w:rPr>
          <w:sz w:val="12"/>
          <w:szCs w:val="12"/>
        </w:rPr>
        <w:t xml:space="preserve"> </w:t>
      </w:r>
      <w:r w:rsidRPr="00EB554A">
        <w:t>of 2000 and PLA</w:t>
      </w:r>
      <w:r w:rsidRPr="00EB554A">
        <w:rPr>
          <w:i/>
          <w:iCs/>
        </w:rPr>
        <w:t xml:space="preserve"> </w:t>
      </w:r>
      <w:proofErr w:type="spellStart"/>
      <w:r w:rsidRPr="00EB554A">
        <w:rPr>
          <w:i/>
          <w:iCs/>
        </w:rPr>
        <w:t>M</w:t>
      </w:r>
      <w:r w:rsidRPr="00EB554A">
        <w:rPr>
          <w:vertAlign w:val="subscript"/>
        </w:rPr>
        <w:t>n</w:t>
      </w:r>
      <w:proofErr w:type="spellEnd"/>
      <w:r w:rsidRPr="00EB554A">
        <w:rPr>
          <w:sz w:val="12"/>
          <w:szCs w:val="12"/>
        </w:rPr>
        <w:t xml:space="preserve"> </w:t>
      </w:r>
      <w:r w:rsidRPr="00EB554A">
        <w:t>of 2000 (Sigma-Aldrich, USA) was used as received.</w:t>
      </w:r>
    </w:p>
    <w:p w:rsidR="0024305F" w:rsidRPr="00EB554A" w:rsidRDefault="0024305F" w:rsidP="0024305F">
      <w:pPr>
        <w:pStyle w:val="Text"/>
      </w:pPr>
      <w:r w:rsidRPr="00EB554A">
        <w:rPr>
          <w:b/>
        </w:rPr>
        <w:t>Chemicals:</w:t>
      </w:r>
      <w:r w:rsidRPr="00EB554A">
        <w:t xml:space="preserve"> </w:t>
      </w:r>
      <w:proofErr w:type="spellStart"/>
      <w:r w:rsidRPr="00EB554A">
        <w:t>tetrahydrofuran</w:t>
      </w:r>
      <w:proofErr w:type="spellEnd"/>
      <w:r w:rsidRPr="00EB554A">
        <w:t xml:space="preserve"> (THF), Mohr's salt (Fe(NH</w:t>
      </w:r>
      <w:r w:rsidRPr="00EB554A">
        <w:rPr>
          <w:vertAlign w:val="subscript"/>
        </w:rPr>
        <w:t>4</w:t>
      </w:r>
      <w:r w:rsidRPr="00EB554A">
        <w:t>)</w:t>
      </w:r>
      <w:r w:rsidRPr="00EB554A">
        <w:rPr>
          <w:vertAlign w:val="subscript"/>
        </w:rPr>
        <w:t>2</w:t>
      </w:r>
      <w:r w:rsidRPr="00EB554A">
        <w:t>SO</w:t>
      </w:r>
      <w:r w:rsidRPr="00EB554A">
        <w:rPr>
          <w:vertAlign w:val="subscript"/>
        </w:rPr>
        <w:t>4</w:t>
      </w:r>
      <w:r w:rsidRPr="00EB554A">
        <w:t>·5H</w:t>
      </w:r>
      <w:r w:rsidRPr="00EB554A">
        <w:rPr>
          <w:vertAlign w:val="subscript"/>
        </w:rPr>
        <w:t>2</w:t>
      </w:r>
      <w:r w:rsidRPr="00EB554A">
        <w:t xml:space="preserve">O), sodium hypophosphite monohydrate, sodium hydroxide, sodium acetate, and </w:t>
      </w:r>
      <w:proofErr w:type="spellStart"/>
      <w:r w:rsidRPr="00EB554A">
        <w:t>trismethoxyaminomethane</w:t>
      </w:r>
      <w:proofErr w:type="spellEnd"/>
      <w:r w:rsidRPr="00EB554A">
        <w:t xml:space="preserve"> (</w:t>
      </w:r>
      <w:proofErr w:type="spellStart"/>
      <w:r w:rsidRPr="00EB554A">
        <w:t>Tris</w:t>
      </w:r>
      <w:proofErr w:type="spellEnd"/>
      <w:r w:rsidRPr="00EB554A">
        <w:t xml:space="preserve">) from </w:t>
      </w:r>
      <w:proofErr w:type="spellStart"/>
      <w:r w:rsidRPr="00EB554A">
        <w:lastRenderedPageBreak/>
        <w:t>Reakhim</w:t>
      </w:r>
      <w:proofErr w:type="spellEnd"/>
      <w:r w:rsidRPr="00EB554A">
        <w:t xml:space="preserve"> (Russia), </w:t>
      </w:r>
      <w:r w:rsidRPr="00EB554A">
        <w:rPr>
          <w:rFonts w:ascii="Cambria Math" w:hAnsi="Cambria Math" w:cs="Cambria Math"/>
        </w:rPr>
        <w:t>β</w:t>
      </w:r>
      <w:r w:rsidRPr="00EB554A">
        <w:t>-</w:t>
      </w:r>
      <w:proofErr w:type="spellStart"/>
      <w:r w:rsidRPr="00EB554A">
        <w:t>carboxymethyl</w:t>
      </w:r>
      <w:proofErr w:type="spellEnd"/>
      <w:r w:rsidRPr="00EB554A">
        <w:t xml:space="preserve"> </w:t>
      </w:r>
      <w:proofErr w:type="spellStart"/>
      <w:r w:rsidRPr="00EB554A">
        <w:t>cyclodextrin</w:t>
      </w:r>
      <w:proofErr w:type="spellEnd"/>
      <w:r w:rsidRPr="00EB554A">
        <w:t xml:space="preserve"> (</w:t>
      </w:r>
      <w:r w:rsidRPr="00EB554A">
        <w:rPr>
          <w:rFonts w:ascii="Cambria Math" w:hAnsi="Cambria Math" w:cs="Cambria Math"/>
        </w:rPr>
        <w:t>β</w:t>
      </w:r>
      <w:r w:rsidRPr="00EB554A">
        <w:t xml:space="preserve">-CD), </w:t>
      </w:r>
      <w:proofErr w:type="spellStart"/>
      <w:r w:rsidRPr="00EB554A">
        <w:t>sulfosalicylic</w:t>
      </w:r>
      <w:proofErr w:type="spellEnd"/>
      <w:r w:rsidRPr="00EB554A">
        <w:t xml:space="preserve"> acid, and PTX from Sigma-Aldrich (USA) were used as received. </w:t>
      </w:r>
      <w:proofErr w:type="spellStart"/>
      <w:r w:rsidRPr="00EB554A">
        <w:t>Bidistilled</w:t>
      </w:r>
      <w:proofErr w:type="spellEnd"/>
      <w:r w:rsidRPr="00EB554A">
        <w:t xml:space="preserve"> water (</w:t>
      </w:r>
      <w:proofErr w:type="spellStart"/>
      <w:r w:rsidRPr="00EB554A">
        <w:t>deionized</w:t>
      </w:r>
      <w:proofErr w:type="spellEnd"/>
      <w:r w:rsidRPr="00EB554A">
        <w:t xml:space="preserve"> water) was used in all experiments. To hydrolyze the ester bonds in PLMs, an enzyme specific to PLA, pancreatic lipase, was used.</w:t>
      </w:r>
    </w:p>
    <w:p w:rsidR="0024305F" w:rsidRPr="00EB554A" w:rsidRDefault="0024305F" w:rsidP="0024305F">
      <w:pPr>
        <w:pStyle w:val="Text"/>
      </w:pPr>
      <w:r w:rsidRPr="00EB554A">
        <w:t>The hydrodynamic diameters of γ-Fe</w:t>
      </w:r>
      <w:r w:rsidRPr="00EB554A">
        <w:rPr>
          <w:vertAlign w:val="subscript"/>
        </w:rPr>
        <w:t>2</w:t>
      </w:r>
      <w:r w:rsidRPr="00EB554A">
        <w:t>O</w:t>
      </w:r>
      <w:r w:rsidRPr="00EB554A">
        <w:rPr>
          <w:vertAlign w:val="subscript"/>
        </w:rPr>
        <w:t>3</w:t>
      </w:r>
      <w:r w:rsidRPr="00EB554A">
        <w:t>/PTX/PLMs were determined in a thermostatic cell by DLS at a fixed scattering angle (90°) with a Brookhaven Zeta Plus instrument.</w:t>
      </w:r>
    </w:p>
    <w:p w:rsidR="0024305F" w:rsidRPr="00EB554A" w:rsidRDefault="0024305F" w:rsidP="001531FF">
      <w:pPr>
        <w:pStyle w:val="Text"/>
        <w:rPr>
          <w:bCs/>
        </w:rPr>
      </w:pPr>
      <w:r w:rsidRPr="00EB554A">
        <w:t xml:space="preserve">The magnetic flux density was measured with a WT10A </w:t>
      </w:r>
      <w:proofErr w:type="spellStart"/>
      <w:r w:rsidRPr="00EB554A">
        <w:t>Teslameter</w:t>
      </w:r>
      <w:proofErr w:type="spellEnd"/>
      <w:r w:rsidRPr="00EB554A">
        <w:t xml:space="preserve"> (</w:t>
      </w:r>
      <w:proofErr w:type="spellStart"/>
      <w:r w:rsidRPr="00EB554A">
        <w:t>Weite</w:t>
      </w:r>
      <w:proofErr w:type="spellEnd"/>
      <w:r w:rsidRPr="00EB554A">
        <w:t xml:space="preserve"> Magnetic Technology, PRC).</w:t>
      </w:r>
    </w:p>
    <w:p w:rsidR="0024305F" w:rsidRPr="00EB554A" w:rsidRDefault="0024305F" w:rsidP="001531FF">
      <w:pPr>
        <w:pStyle w:val="Text"/>
        <w:rPr>
          <w:b/>
        </w:rPr>
      </w:pPr>
      <w:r w:rsidRPr="001531FF">
        <w:rPr>
          <w:b/>
        </w:rPr>
        <w:t>The micelles</w:t>
      </w:r>
      <w:r w:rsidRPr="00EB554A">
        <w:t xml:space="preserve"> based on the copolymer of </w:t>
      </w:r>
      <w:proofErr w:type="spellStart"/>
      <w:r w:rsidRPr="00EB554A">
        <w:t>lactide</w:t>
      </w:r>
      <w:proofErr w:type="spellEnd"/>
      <w:r w:rsidRPr="00EB554A">
        <w:t xml:space="preserve"> and ethylene glycol (PLMs) with encapsulated PTX and magnetic </w:t>
      </w:r>
      <w:proofErr w:type="spellStart"/>
      <w:r w:rsidRPr="00EB554A">
        <w:t>nanoparticles</w:t>
      </w:r>
      <w:proofErr w:type="spellEnd"/>
      <w:r w:rsidRPr="00EB554A">
        <w:t xml:space="preserve"> (γ-Fe</w:t>
      </w:r>
      <w:r w:rsidRPr="00EB554A">
        <w:rPr>
          <w:vertAlign w:val="subscript"/>
        </w:rPr>
        <w:t>2</w:t>
      </w:r>
      <w:r w:rsidRPr="00EB554A">
        <w:t>O</w:t>
      </w:r>
      <w:r w:rsidRPr="00EB554A">
        <w:rPr>
          <w:vertAlign w:val="subscript"/>
        </w:rPr>
        <w:t>3</w:t>
      </w:r>
      <w:r w:rsidRPr="00EB554A">
        <w:t xml:space="preserve">/PTX/PLMs) were synthesized using the method of ultrasonic dispersion of the polymer film in water described elsewhere [4]. A 20 mg sample of the copolymer was placed in a round-bottom flask and dissolved in 2 </w:t>
      </w:r>
      <w:proofErr w:type="spellStart"/>
      <w:r w:rsidRPr="00EB554A">
        <w:t>mL</w:t>
      </w:r>
      <w:proofErr w:type="spellEnd"/>
      <w:r w:rsidRPr="00EB554A">
        <w:t xml:space="preserve"> of THF. The solution of PTX and a weighed portion of </w:t>
      </w:r>
      <w:proofErr w:type="spellStart"/>
      <w:r w:rsidRPr="00EB554A">
        <w:t>maghemite</w:t>
      </w:r>
      <w:proofErr w:type="spellEnd"/>
      <w:r w:rsidRPr="00EB554A">
        <w:t xml:space="preserve"> were added to the PLA–PEG solution in THF prior to the evaporation of the solvent. Then THF was removed on a rotary evaporator, and the resulting film was dispersed in 2 </w:t>
      </w:r>
      <w:proofErr w:type="spellStart"/>
      <w:r w:rsidRPr="00EB554A">
        <w:t>mL</w:t>
      </w:r>
      <w:proofErr w:type="spellEnd"/>
      <w:r w:rsidRPr="00EB554A">
        <w:t xml:space="preserve"> of water. The suspension was exposed to </w:t>
      </w:r>
      <w:proofErr w:type="spellStart"/>
      <w:r w:rsidRPr="00EB554A">
        <w:t>ultrasonication</w:t>
      </w:r>
      <w:proofErr w:type="spellEnd"/>
      <w:r w:rsidRPr="00EB554A" w:rsidDel="004D7E71">
        <w:t xml:space="preserve"> </w:t>
      </w:r>
      <w:r w:rsidRPr="00EB554A">
        <w:t xml:space="preserve">for 10 min with constant water cooling. A more detailed synthesis of the </w:t>
      </w:r>
      <w:proofErr w:type="spellStart"/>
      <w:r w:rsidRPr="00EB554A">
        <w:t>maghemite</w:t>
      </w:r>
      <w:proofErr w:type="spellEnd"/>
      <w:r w:rsidRPr="00EB554A">
        <w:t xml:space="preserve"> micelles and </w:t>
      </w:r>
      <w:proofErr w:type="spellStart"/>
      <w:r w:rsidRPr="00EB554A">
        <w:t>nanoparticles</w:t>
      </w:r>
      <w:proofErr w:type="spellEnd"/>
      <w:r w:rsidRPr="00EB554A">
        <w:t xml:space="preserve"> is presented in the </w:t>
      </w:r>
      <w:r w:rsidRPr="00EB554A">
        <w:rPr>
          <w:color w:val="000000"/>
        </w:rPr>
        <w:t>ESI</w:t>
      </w:r>
      <w:r w:rsidRPr="00EB554A">
        <w:t>.</w:t>
      </w:r>
    </w:p>
    <w:p w:rsidR="0024305F" w:rsidRPr="00EB554A" w:rsidRDefault="0024305F" w:rsidP="0024305F">
      <w:pPr>
        <w:pStyle w:val="MainHeader"/>
      </w:pPr>
      <w:r w:rsidRPr="00EB554A">
        <w:t>Conclusions</w:t>
      </w:r>
    </w:p>
    <w:p w:rsidR="0024305F" w:rsidRPr="00EB554A" w:rsidRDefault="0024305F" w:rsidP="001531FF">
      <w:pPr>
        <w:pStyle w:val="Text"/>
      </w:pPr>
      <w:r w:rsidRPr="00EB554A">
        <w:t xml:space="preserve">The ternary systems based on </w:t>
      </w:r>
      <w:proofErr w:type="spellStart"/>
      <w:r w:rsidRPr="00EB554A">
        <w:t>polylactide</w:t>
      </w:r>
      <w:proofErr w:type="spellEnd"/>
      <w:r w:rsidRPr="00EB554A">
        <w:t xml:space="preserve"> micelles with the incorporated antibiotic and magnetic </w:t>
      </w:r>
      <w:proofErr w:type="spellStart"/>
      <w:r w:rsidRPr="00EB554A">
        <w:t>nanoparticles</w:t>
      </w:r>
      <w:proofErr w:type="spellEnd"/>
      <w:r w:rsidRPr="00EB554A">
        <w:t xml:space="preserve"> were shown to have high magnetic sensitivity and resistance to the phase separation. At the same time, inclusion of both components (PTX and γ-Fe</w:t>
      </w:r>
      <w:r w:rsidRPr="00EB554A">
        <w:rPr>
          <w:vertAlign w:val="subscript"/>
        </w:rPr>
        <w:t>2</w:t>
      </w:r>
      <w:r w:rsidRPr="00EB554A">
        <w:t>O</w:t>
      </w:r>
      <w:r w:rsidRPr="00EB554A">
        <w:rPr>
          <w:vertAlign w:val="subscript"/>
        </w:rPr>
        <w:t>3</w:t>
      </w:r>
      <w:r w:rsidRPr="00EB554A">
        <w:t>) in the composition of PLA micelles resulted in the formation of particles that are resistant to enzymatic hydrolysis sufficient for targeted delivery, but then undergo enzymatic decomposition, which will facilitate the release of the antibiotic.</w:t>
      </w:r>
    </w:p>
    <w:p w:rsidR="0024305F" w:rsidRPr="00EB554A" w:rsidRDefault="0024305F" w:rsidP="001531FF">
      <w:pPr>
        <w:pStyle w:val="Text"/>
        <w:rPr>
          <w:bCs/>
          <w:lang w:val="en-US"/>
        </w:rPr>
      </w:pPr>
      <w:r w:rsidRPr="00EB554A">
        <w:rPr>
          <w:lang w:val="en-US"/>
        </w:rPr>
        <w:t xml:space="preserve">Hence, owing to the ability to include both </w:t>
      </w:r>
      <w:proofErr w:type="spellStart"/>
      <w:r w:rsidRPr="00EB554A">
        <w:rPr>
          <w:lang w:val="en-US"/>
        </w:rPr>
        <w:t>maghemite</w:t>
      </w:r>
      <w:proofErr w:type="spellEnd"/>
      <w:r w:rsidRPr="00EB554A">
        <w:rPr>
          <w:lang w:val="en-US"/>
        </w:rPr>
        <w:t xml:space="preserve"> </w:t>
      </w:r>
      <w:proofErr w:type="spellStart"/>
      <w:r w:rsidRPr="00EB554A">
        <w:rPr>
          <w:lang w:val="en-US"/>
        </w:rPr>
        <w:t>nanoparticles</w:t>
      </w:r>
      <w:proofErr w:type="spellEnd"/>
      <w:r w:rsidRPr="00EB554A">
        <w:rPr>
          <w:lang w:val="en-US"/>
        </w:rPr>
        <w:t xml:space="preserve"> and hydrophobic drugs simultaneously, the </w:t>
      </w:r>
      <w:proofErr w:type="spellStart"/>
      <w:r w:rsidRPr="00EB554A">
        <w:rPr>
          <w:lang w:val="en-US"/>
        </w:rPr>
        <w:t>polylactide</w:t>
      </w:r>
      <w:proofErr w:type="spellEnd"/>
      <w:r w:rsidRPr="00EB554A">
        <w:rPr>
          <w:lang w:val="en-US"/>
        </w:rPr>
        <w:t xml:space="preserve"> micelles are a promising object of research for creating magnetically sensitive systems for the targeted drug delivery.</w:t>
      </w:r>
    </w:p>
    <w:p w:rsidR="0024305F" w:rsidRPr="00EB554A" w:rsidRDefault="0024305F" w:rsidP="0024305F">
      <w:pPr>
        <w:pStyle w:val="MainHeader"/>
      </w:pPr>
      <w:r w:rsidRPr="00EB554A">
        <w:t>Acknowledgements</w:t>
      </w:r>
    </w:p>
    <w:p w:rsidR="0024305F" w:rsidRPr="00EB554A" w:rsidRDefault="0024305F" w:rsidP="001531FF">
      <w:pPr>
        <w:pStyle w:val="Text"/>
        <w:rPr>
          <w:rFonts w:ascii="AdvOTce3d9a73" w:hAnsi="AdvOTce3d9a73" w:cs="AdvOTce3d9a73"/>
        </w:rPr>
      </w:pPr>
      <w:r w:rsidRPr="00EB554A">
        <w:t>This work was supported by the Ministry of Science and Higher Education of the Russian Federation (agreement no. 075-00276-25-00).</w:t>
      </w:r>
    </w:p>
    <w:p w:rsidR="0024305F" w:rsidRPr="00EB554A" w:rsidRDefault="0024305F" w:rsidP="0024305F">
      <w:pPr>
        <w:pStyle w:val="MainHeader"/>
      </w:pPr>
      <w:r w:rsidRPr="00EB554A">
        <w:t>Electronic supplementary information</w:t>
      </w:r>
    </w:p>
    <w:p w:rsidR="0024305F" w:rsidRPr="00EB554A" w:rsidRDefault="0024305F" w:rsidP="001531FF">
      <w:pPr>
        <w:pStyle w:val="Text"/>
        <w:rPr>
          <w:b/>
        </w:rPr>
      </w:pPr>
      <w:r w:rsidRPr="00EB554A">
        <w:t>Electronic supplementary information (ESI) available online: PLA-PEG and PTX structures, relative intensity distribution, detailed experimental procedures. For ESI, see DOI: 10.32931/io2524a.</w:t>
      </w:r>
    </w:p>
    <w:p w:rsidR="0024305F" w:rsidRPr="00EB554A" w:rsidRDefault="0024305F" w:rsidP="0024305F">
      <w:pPr>
        <w:pStyle w:val="MainHeader"/>
      </w:pPr>
      <w:r w:rsidRPr="00EB554A">
        <w:t>References</w:t>
      </w:r>
    </w:p>
    <w:p w:rsidR="0024305F" w:rsidRPr="001531FF" w:rsidRDefault="0024305F" w:rsidP="001531FF">
      <w:pPr>
        <w:pStyle w:val="References"/>
        <w:rPr>
          <w:lang w:val="en-US"/>
        </w:rPr>
      </w:pPr>
      <w:r w:rsidRPr="001531FF">
        <w:rPr>
          <w:lang w:val="en-US"/>
        </w:rPr>
        <w:t xml:space="preserve">A. A. </w:t>
      </w:r>
      <w:proofErr w:type="spellStart"/>
      <w:r w:rsidRPr="001531FF">
        <w:rPr>
          <w:lang w:val="en-US"/>
        </w:rPr>
        <w:t>Efimova</w:t>
      </w:r>
      <w:proofErr w:type="spellEnd"/>
      <w:r w:rsidRPr="001531FF">
        <w:rPr>
          <w:lang w:val="en-US"/>
        </w:rPr>
        <w:t xml:space="preserve">, A. V. </w:t>
      </w:r>
      <w:proofErr w:type="spellStart"/>
      <w:r w:rsidRPr="001531FF">
        <w:rPr>
          <w:lang w:val="en-US"/>
        </w:rPr>
        <w:t>Sybachin</w:t>
      </w:r>
      <w:proofErr w:type="spellEnd"/>
      <w:r w:rsidRPr="001531FF">
        <w:rPr>
          <w:lang w:val="en-US"/>
        </w:rPr>
        <w:t xml:space="preserve">, </w:t>
      </w:r>
      <w:r w:rsidRPr="001531FF">
        <w:rPr>
          <w:i/>
          <w:lang w:val="en-US"/>
        </w:rPr>
        <w:t>Colloid J.</w:t>
      </w:r>
      <w:r w:rsidRPr="001531FF">
        <w:rPr>
          <w:lang w:val="en-US"/>
        </w:rPr>
        <w:t xml:space="preserve">, </w:t>
      </w:r>
      <w:r w:rsidRPr="001531FF">
        <w:rPr>
          <w:b/>
          <w:lang w:val="en-US"/>
        </w:rPr>
        <w:t>2023</w:t>
      </w:r>
      <w:r w:rsidRPr="001531FF">
        <w:rPr>
          <w:lang w:val="en-US"/>
        </w:rPr>
        <w:t xml:space="preserve">, </w:t>
      </w:r>
      <w:r w:rsidRPr="001531FF">
        <w:rPr>
          <w:i/>
          <w:lang w:val="en-US"/>
        </w:rPr>
        <w:t>85</w:t>
      </w:r>
      <w:r w:rsidRPr="001531FF">
        <w:rPr>
          <w:lang w:val="en-US"/>
        </w:rPr>
        <w:t>, 687–702. DOI: 10.1134/s1061933x23600690</w:t>
      </w:r>
    </w:p>
    <w:p w:rsidR="0024305F" w:rsidRPr="001531FF" w:rsidRDefault="0024305F" w:rsidP="001531FF">
      <w:pPr>
        <w:pStyle w:val="References"/>
        <w:rPr>
          <w:rStyle w:val="react-xocs-alternative-link"/>
          <w:lang w:val="en-US"/>
        </w:rPr>
      </w:pPr>
      <w:r w:rsidRPr="001531FF">
        <w:rPr>
          <w:rStyle w:val="given-name"/>
          <w:lang w:val="en-US"/>
        </w:rPr>
        <w:t>H.</w:t>
      </w:r>
      <w:r w:rsidRPr="001531FF">
        <w:rPr>
          <w:rStyle w:val="react-xocs-alternative-link"/>
          <w:lang w:val="en-US"/>
        </w:rPr>
        <w:t xml:space="preserve"> </w:t>
      </w:r>
      <w:r w:rsidRPr="001531FF">
        <w:rPr>
          <w:rStyle w:val="text1"/>
          <w:lang w:val="en-US"/>
        </w:rPr>
        <w:t>Wang</w:t>
      </w:r>
      <w:r w:rsidRPr="001531FF">
        <w:rPr>
          <w:lang w:val="en-US"/>
        </w:rPr>
        <w:t xml:space="preserve">, </w:t>
      </w:r>
      <w:r w:rsidRPr="001531FF">
        <w:rPr>
          <w:rStyle w:val="given-name"/>
          <w:lang w:val="en-US"/>
        </w:rPr>
        <w:t>L.</w:t>
      </w:r>
      <w:r w:rsidRPr="001531FF">
        <w:rPr>
          <w:rStyle w:val="react-xocs-alternative-link"/>
          <w:lang w:val="en-US"/>
        </w:rPr>
        <w:t xml:space="preserve"> </w:t>
      </w:r>
      <w:proofErr w:type="spellStart"/>
      <w:r w:rsidRPr="001531FF">
        <w:rPr>
          <w:rStyle w:val="text1"/>
          <w:lang w:val="en-US"/>
        </w:rPr>
        <w:t>Xu</w:t>
      </w:r>
      <w:proofErr w:type="spellEnd"/>
      <w:r w:rsidRPr="001531FF">
        <w:rPr>
          <w:lang w:val="en-US"/>
        </w:rPr>
        <w:t xml:space="preserve">, </w:t>
      </w:r>
      <w:r w:rsidRPr="001531FF">
        <w:rPr>
          <w:rStyle w:val="given-name"/>
          <w:lang w:val="en-US"/>
        </w:rPr>
        <w:t>X.-Z.</w:t>
      </w:r>
      <w:r w:rsidRPr="001531FF">
        <w:rPr>
          <w:rStyle w:val="react-xocs-alternative-link"/>
          <w:lang w:val="en-US"/>
        </w:rPr>
        <w:t xml:space="preserve"> </w:t>
      </w:r>
      <w:r w:rsidRPr="001531FF">
        <w:rPr>
          <w:rStyle w:val="text1"/>
          <w:lang w:val="en-US"/>
        </w:rPr>
        <w:t>Chen</w:t>
      </w:r>
      <w:r w:rsidRPr="001531FF">
        <w:rPr>
          <w:lang w:val="en-US"/>
        </w:rPr>
        <w:t xml:space="preserve">, </w:t>
      </w:r>
      <w:r w:rsidRPr="001531FF">
        <w:rPr>
          <w:rStyle w:val="given-name"/>
          <w:lang w:val="en-US"/>
        </w:rPr>
        <w:t>A.</w:t>
      </w:r>
      <w:r w:rsidRPr="001531FF">
        <w:rPr>
          <w:rStyle w:val="react-xocs-alternative-link"/>
          <w:lang w:val="en-US"/>
        </w:rPr>
        <w:t xml:space="preserve"> </w:t>
      </w:r>
      <w:proofErr w:type="spellStart"/>
      <w:r w:rsidRPr="001531FF">
        <w:rPr>
          <w:rStyle w:val="text1"/>
          <w:lang w:val="en-US"/>
        </w:rPr>
        <w:t>Ullah</w:t>
      </w:r>
      <w:proofErr w:type="spellEnd"/>
      <w:r w:rsidRPr="001531FF">
        <w:rPr>
          <w:rStyle w:val="text1"/>
          <w:lang w:val="en-US"/>
        </w:rPr>
        <w:t xml:space="preserve">, </w:t>
      </w:r>
      <w:r w:rsidRPr="001531FF">
        <w:rPr>
          <w:rStyle w:val="react-xocs-alternative-link"/>
          <w:i/>
          <w:lang w:val="en-US"/>
        </w:rPr>
        <w:t xml:space="preserve">Eur. </w:t>
      </w:r>
      <w:proofErr w:type="spellStart"/>
      <w:r w:rsidRPr="001531FF">
        <w:rPr>
          <w:rStyle w:val="react-xocs-alternative-link"/>
          <w:i/>
          <w:lang w:val="en-US"/>
        </w:rPr>
        <w:t>Polym</w:t>
      </w:r>
      <w:proofErr w:type="spellEnd"/>
      <w:r w:rsidRPr="001531FF">
        <w:rPr>
          <w:rStyle w:val="react-xocs-alternative-link"/>
          <w:i/>
          <w:lang w:val="en-US"/>
        </w:rPr>
        <w:t xml:space="preserve">. </w:t>
      </w:r>
      <w:proofErr w:type="gramStart"/>
      <w:r w:rsidRPr="001531FF">
        <w:rPr>
          <w:rStyle w:val="react-xocs-alternative-link"/>
          <w:i/>
          <w:lang w:val="en-US"/>
        </w:rPr>
        <w:t>J</w:t>
      </w:r>
      <w:r w:rsidRPr="001531FF">
        <w:rPr>
          <w:rStyle w:val="react-xocs-alternative-link"/>
          <w:lang w:val="en-US"/>
        </w:rPr>
        <w:t xml:space="preserve">., 2024, </w:t>
      </w:r>
      <w:r w:rsidRPr="001531FF">
        <w:rPr>
          <w:rStyle w:val="react-xocs-alternative-link"/>
          <w:i/>
          <w:lang w:val="en-US"/>
        </w:rPr>
        <w:t>206</w:t>
      </w:r>
      <w:r w:rsidRPr="001531FF">
        <w:rPr>
          <w:rStyle w:val="react-xocs-alternative-link"/>
          <w:lang w:val="en-US"/>
        </w:rPr>
        <w:t>, 112795.</w:t>
      </w:r>
      <w:proofErr w:type="gramEnd"/>
      <w:r w:rsidRPr="001531FF">
        <w:rPr>
          <w:rStyle w:val="react-xocs-alternative-link"/>
          <w:lang w:val="en-US"/>
        </w:rPr>
        <w:t xml:space="preserve"> DOI: 10.1016/j.eurpolymj.2024.112795</w:t>
      </w:r>
    </w:p>
    <w:p w:rsidR="0024305F" w:rsidRPr="001531FF" w:rsidRDefault="0024305F" w:rsidP="001531FF">
      <w:pPr>
        <w:pStyle w:val="References"/>
        <w:rPr>
          <w:lang w:val="en-US"/>
        </w:rPr>
      </w:pPr>
      <w:r w:rsidRPr="001531FF">
        <w:rPr>
          <w:lang w:val="en-US"/>
        </w:rPr>
        <w:t xml:space="preserve">E. A. </w:t>
      </w:r>
      <w:proofErr w:type="spellStart"/>
      <w:r w:rsidRPr="001531FF">
        <w:rPr>
          <w:lang w:val="en-US"/>
        </w:rPr>
        <w:t>Gorbunova</w:t>
      </w:r>
      <w:proofErr w:type="spellEnd"/>
      <w:r w:rsidRPr="001531FF">
        <w:rPr>
          <w:lang w:val="en-US"/>
        </w:rPr>
        <w:t xml:space="preserve">, D. A. </w:t>
      </w:r>
      <w:proofErr w:type="spellStart"/>
      <w:r w:rsidRPr="001531FF">
        <w:rPr>
          <w:lang w:val="en-US"/>
        </w:rPr>
        <w:t>Stepanova</w:t>
      </w:r>
      <w:proofErr w:type="spellEnd"/>
      <w:r w:rsidRPr="001531FF">
        <w:rPr>
          <w:lang w:val="en-US"/>
        </w:rPr>
        <w:t xml:space="preserve">, A. D. </w:t>
      </w:r>
      <w:proofErr w:type="spellStart"/>
      <w:r w:rsidRPr="001531FF">
        <w:rPr>
          <w:lang w:val="en-US"/>
        </w:rPr>
        <w:t>Kosov</w:t>
      </w:r>
      <w:proofErr w:type="spellEnd"/>
      <w:r w:rsidRPr="001531FF">
        <w:rPr>
          <w:lang w:val="en-US"/>
        </w:rPr>
        <w:t xml:space="preserve">, A. V. </w:t>
      </w:r>
      <w:proofErr w:type="spellStart"/>
      <w:r w:rsidRPr="001531FF">
        <w:rPr>
          <w:lang w:val="en-US"/>
        </w:rPr>
        <w:t>Bolshakova</w:t>
      </w:r>
      <w:proofErr w:type="spellEnd"/>
      <w:r w:rsidRPr="001531FF">
        <w:rPr>
          <w:lang w:val="en-US"/>
        </w:rPr>
        <w:t xml:space="preserve">, N. V. </w:t>
      </w:r>
      <w:proofErr w:type="spellStart"/>
      <w:r w:rsidRPr="001531FF">
        <w:rPr>
          <w:lang w:val="en-US"/>
        </w:rPr>
        <w:t>Filatova</w:t>
      </w:r>
      <w:proofErr w:type="spellEnd"/>
      <w:r w:rsidRPr="001531FF">
        <w:rPr>
          <w:lang w:val="en-US"/>
        </w:rPr>
        <w:t xml:space="preserve">, L. R. </w:t>
      </w:r>
      <w:proofErr w:type="spellStart"/>
      <w:r w:rsidRPr="001531FF">
        <w:rPr>
          <w:lang w:val="en-US"/>
        </w:rPr>
        <w:t>Sizov</w:t>
      </w:r>
      <w:proofErr w:type="spellEnd"/>
      <w:r w:rsidRPr="001531FF">
        <w:rPr>
          <w:lang w:val="en-US"/>
        </w:rPr>
        <w:t xml:space="preserve">, A. Y. </w:t>
      </w:r>
      <w:proofErr w:type="spellStart"/>
      <w:r w:rsidRPr="001531FF">
        <w:rPr>
          <w:lang w:val="en-US"/>
        </w:rPr>
        <w:t>Rybkin</w:t>
      </w:r>
      <w:proofErr w:type="spellEnd"/>
      <w:r w:rsidRPr="001531FF">
        <w:rPr>
          <w:lang w:val="en-US"/>
        </w:rPr>
        <w:t xml:space="preserve">, V. V. </w:t>
      </w:r>
      <w:proofErr w:type="spellStart"/>
      <w:r w:rsidRPr="001531FF">
        <w:rPr>
          <w:lang w:val="en-US"/>
        </w:rPr>
        <w:t>Spiridonov</w:t>
      </w:r>
      <w:proofErr w:type="spellEnd"/>
      <w:r w:rsidRPr="001531FF">
        <w:rPr>
          <w:lang w:val="en-US"/>
        </w:rPr>
        <w:t xml:space="preserve">, A. V. </w:t>
      </w:r>
      <w:proofErr w:type="spellStart"/>
      <w:r w:rsidRPr="001531FF">
        <w:rPr>
          <w:lang w:val="en-US"/>
        </w:rPr>
        <w:t>Sybachin</w:t>
      </w:r>
      <w:proofErr w:type="spellEnd"/>
      <w:r w:rsidRPr="001531FF">
        <w:rPr>
          <w:lang w:val="en-US"/>
        </w:rPr>
        <w:t xml:space="preserve">, T. V. </w:t>
      </w:r>
      <w:proofErr w:type="spellStart"/>
      <w:r w:rsidRPr="001531FF">
        <w:rPr>
          <w:lang w:val="en-US"/>
        </w:rPr>
        <w:t>Dubinina</w:t>
      </w:r>
      <w:proofErr w:type="spellEnd"/>
      <w:r w:rsidRPr="001531FF">
        <w:rPr>
          <w:lang w:val="en-US"/>
        </w:rPr>
        <w:t xml:space="preserve">, E. R. </w:t>
      </w:r>
      <w:proofErr w:type="spellStart"/>
      <w:r w:rsidRPr="001531FF">
        <w:rPr>
          <w:lang w:val="en-US"/>
        </w:rPr>
        <w:t>Milaeva</w:t>
      </w:r>
      <w:proofErr w:type="spellEnd"/>
      <w:r w:rsidRPr="001531FF">
        <w:rPr>
          <w:lang w:val="en-US"/>
        </w:rPr>
        <w:t xml:space="preserve">, </w:t>
      </w:r>
      <w:r w:rsidRPr="001531FF">
        <w:rPr>
          <w:i/>
          <w:lang w:val="en-US"/>
        </w:rPr>
        <w:t xml:space="preserve">J. </w:t>
      </w:r>
      <w:proofErr w:type="spellStart"/>
      <w:r w:rsidRPr="001531FF">
        <w:rPr>
          <w:i/>
          <w:lang w:val="en-US"/>
        </w:rPr>
        <w:t>Photochem</w:t>
      </w:r>
      <w:proofErr w:type="spellEnd"/>
      <w:r w:rsidRPr="001531FF">
        <w:rPr>
          <w:i/>
          <w:lang w:val="en-US"/>
        </w:rPr>
        <w:t xml:space="preserve">. </w:t>
      </w:r>
      <w:proofErr w:type="spellStart"/>
      <w:proofErr w:type="gramStart"/>
      <w:r w:rsidRPr="001531FF">
        <w:rPr>
          <w:i/>
          <w:lang w:val="en-US"/>
        </w:rPr>
        <w:t>Photobiol</w:t>
      </w:r>
      <w:proofErr w:type="spellEnd"/>
      <w:r w:rsidRPr="001531FF">
        <w:rPr>
          <w:i/>
          <w:lang w:val="en-US"/>
        </w:rPr>
        <w:t>.</w:t>
      </w:r>
      <w:r w:rsidRPr="001531FF">
        <w:rPr>
          <w:iCs/>
          <w:lang w:val="en-US"/>
        </w:rPr>
        <w:t>,</w:t>
      </w:r>
      <w:proofErr w:type="gramEnd"/>
      <w:r w:rsidRPr="001531FF">
        <w:rPr>
          <w:i/>
          <w:lang w:val="en-US"/>
        </w:rPr>
        <w:t xml:space="preserve"> A</w:t>
      </w:r>
      <w:r w:rsidRPr="001531FF">
        <w:rPr>
          <w:lang w:val="en-US"/>
        </w:rPr>
        <w:t xml:space="preserve">, </w:t>
      </w:r>
      <w:r w:rsidRPr="001531FF">
        <w:rPr>
          <w:b/>
          <w:lang w:val="en-US"/>
        </w:rPr>
        <w:t>2022</w:t>
      </w:r>
      <w:r w:rsidRPr="001531FF">
        <w:rPr>
          <w:lang w:val="en-US"/>
        </w:rPr>
        <w:t xml:space="preserve">, </w:t>
      </w:r>
      <w:r w:rsidRPr="001531FF">
        <w:rPr>
          <w:i/>
          <w:lang w:val="en-US"/>
        </w:rPr>
        <w:t>426</w:t>
      </w:r>
      <w:r w:rsidRPr="001531FF">
        <w:rPr>
          <w:lang w:val="en-US"/>
        </w:rPr>
        <w:t>, 113747. DOI: 10.1016/j.jphotochem.2021.113747</w:t>
      </w:r>
    </w:p>
    <w:p w:rsidR="0024305F" w:rsidRPr="001531FF" w:rsidRDefault="0024305F" w:rsidP="001531FF">
      <w:pPr>
        <w:pStyle w:val="References"/>
        <w:rPr>
          <w:lang w:val="en-US"/>
        </w:rPr>
      </w:pPr>
      <w:r w:rsidRPr="001531FF">
        <w:rPr>
          <w:lang w:val="en-US"/>
        </w:rPr>
        <w:t xml:space="preserve">D. A. </w:t>
      </w:r>
      <w:proofErr w:type="spellStart"/>
      <w:r w:rsidRPr="001531FF">
        <w:rPr>
          <w:lang w:val="en-US"/>
        </w:rPr>
        <w:t>Stepanova</w:t>
      </w:r>
      <w:proofErr w:type="spellEnd"/>
      <w:r w:rsidRPr="001531FF">
        <w:rPr>
          <w:lang w:val="en-US"/>
        </w:rPr>
        <w:t xml:space="preserve">, V. A. </w:t>
      </w:r>
      <w:proofErr w:type="spellStart"/>
      <w:r w:rsidRPr="001531FF">
        <w:rPr>
          <w:lang w:val="en-US"/>
        </w:rPr>
        <w:t>Pigareva</w:t>
      </w:r>
      <w:proofErr w:type="spellEnd"/>
      <w:r w:rsidRPr="001531FF">
        <w:rPr>
          <w:lang w:val="en-US"/>
        </w:rPr>
        <w:t xml:space="preserve">, A. K. </w:t>
      </w:r>
      <w:proofErr w:type="spellStart"/>
      <w:r w:rsidRPr="001531FF">
        <w:rPr>
          <w:lang w:val="en-US"/>
        </w:rPr>
        <w:t>Berkovich</w:t>
      </w:r>
      <w:proofErr w:type="spellEnd"/>
      <w:r w:rsidRPr="001531FF">
        <w:rPr>
          <w:lang w:val="en-US"/>
        </w:rPr>
        <w:t xml:space="preserve">, A. V. </w:t>
      </w:r>
      <w:proofErr w:type="spellStart"/>
      <w:r w:rsidRPr="001531FF">
        <w:rPr>
          <w:lang w:val="en-US"/>
        </w:rPr>
        <w:t>Bolshakova</w:t>
      </w:r>
      <w:proofErr w:type="spellEnd"/>
      <w:r w:rsidRPr="001531FF">
        <w:rPr>
          <w:lang w:val="en-US"/>
        </w:rPr>
        <w:t xml:space="preserve">, V. V. </w:t>
      </w:r>
      <w:proofErr w:type="spellStart"/>
      <w:r w:rsidRPr="001531FF">
        <w:rPr>
          <w:lang w:val="en-US"/>
        </w:rPr>
        <w:t>Spiridonov</w:t>
      </w:r>
      <w:proofErr w:type="spellEnd"/>
      <w:r w:rsidRPr="001531FF">
        <w:rPr>
          <w:lang w:val="en-US"/>
        </w:rPr>
        <w:t xml:space="preserve">, I. D. </w:t>
      </w:r>
      <w:proofErr w:type="spellStart"/>
      <w:r w:rsidRPr="001531FF">
        <w:rPr>
          <w:lang w:val="en-US"/>
        </w:rPr>
        <w:t>Grozdova</w:t>
      </w:r>
      <w:proofErr w:type="spellEnd"/>
      <w:r w:rsidRPr="001531FF">
        <w:rPr>
          <w:lang w:val="en-US"/>
        </w:rPr>
        <w:t xml:space="preserve">, A. V. </w:t>
      </w:r>
      <w:proofErr w:type="spellStart"/>
      <w:r w:rsidRPr="001531FF">
        <w:rPr>
          <w:lang w:val="en-US"/>
        </w:rPr>
        <w:t>Sybachin</w:t>
      </w:r>
      <w:proofErr w:type="spellEnd"/>
      <w:r w:rsidRPr="001531FF">
        <w:rPr>
          <w:lang w:val="en-US"/>
        </w:rPr>
        <w:t xml:space="preserve">, </w:t>
      </w:r>
      <w:r w:rsidRPr="001531FF">
        <w:rPr>
          <w:i/>
          <w:lang w:val="en-US"/>
        </w:rPr>
        <w:t>Polymers</w:t>
      </w:r>
      <w:r w:rsidRPr="001531FF">
        <w:rPr>
          <w:lang w:val="en-US"/>
        </w:rPr>
        <w:t xml:space="preserve">, </w:t>
      </w:r>
      <w:r w:rsidRPr="001531FF">
        <w:rPr>
          <w:b/>
          <w:lang w:val="en-US"/>
        </w:rPr>
        <w:t>2022</w:t>
      </w:r>
      <w:r w:rsidRPr="001531FF">
        <w:rPr>
          <w:lang w:val="en-US"/>
        </w:rPr>
        <w:t xml:space="preserve">, </w:t>
      </w:r>
      <w:r w:rsidRPr="001531FF">
        <w:rPr>
          <w:i/>
          <w:lang w:val="en-US"/>
        </w:rPr>
        <w:t>14</w:t>
      </w:r>
      <w:r w:rsidRPr="001531FF">
        <w:rPr>
          <w:lang w:val="en-US"/>
        </w:rPr>
        <w:t>, 4013. DOI: 10.3390/polym14194013</w:t>
      </w:r>
    </w:p>
    <w:p w:rsidR="0024305F" w:rsidRPr="001531FF" w:rsidRDefault="0024305F" w:rsidP="001531FF">
      <w:pPr>
        <w:pStyle w:val="References"/>
        <w:rPr>
          <w:lang w:val="en-US"/>
        </w:rPr>
      </w:pPr>
      <w:r w:rsidRPr="001531FF">
        <w:rPr>
          <w:lang w:val="en-US"/>
        </w:rPr>
        <w:lastRenderedPageBreak/>
        <w:t xml:space="preserve">M. </w:t>
      </w:r>
      <w:proofErr w:type="spellStart"/>
      <w:r w:rsidRPr="001531FF">
        <w:rPr>
          <w:lang w:val="en-US"/>
        </w:rPr>
        <w:t>Rasoulianboroujeni</w:t>
      </w:r>
      <w:proofErr w:type="spellEnd"/>
      <w:r w:rsidRPr="001531FF">
        <w:rPr>
          <w:lang w:val="en-US"/>
        </w:rPr>
        <w:t xml:space="preserve">, L. </w:t>
      </w:r>
      <w:proofErr w:type="spellStart"/>
      <w:r w:rsidRPr="001531FF">
        <w:rPr>
          <w:lang w:val="en-US"/>
        </w:rPr>
        <w:t>Repp</w:t>
      </w:r>
      <w:proofErr w:type="spellEnd"/>
      <w:r w:rsidRPr="001531FF">
        <w:rPr>
          <w:lang w:val="en-US"/>
        </w:rPr>
        <w:t xml:space="preserve">, H. J. Lee, G. S. Kwon, </w:t>
      </w:r>
      <w:r w:rsidRPr="001531FF">
        <w:rPr>
          <w:i/>
          <w:lang w:val="en-US"/>
        </w:rPr>
        <w:t>J. Control. Release</w:t>
      </w:r>
      <w:r w:rsidRPr="001531FF">
        <w:rPr>
          <w:lang w:val="en-US"/>
        </w:rPr>
        <w:t xml:space="preserve">, </w:t>
      </w:r>
      <w:r w:rsidRPr="001531FF">
        <w:rPr>
          <w:b/>
          <w:lang w:val="en-US"/>
        </w:rPr>
        <w:t>2022</w:t>
      </w:r>
      <w:r w:rsidRPr="001531FF">
        <w:rPr>
          <w:lang w:val="en-US"/>
        </w:rPr>
        <w:t xml:space="preserve">, </w:t>
      </w:r>
      <w:r w:rsidRPr="001531FF">
        <w:rPr>
          <w:i/>
          <w:lang w:val="en-US"/>
        </w:rPr>
        <w:t>350</w:t>
      </w:r>
      <w:r w:rsidRPr="001531FF">
        <w:rPr>
          <w:lang w:val="en-US"/>
        </w:rPr>
        <w:t>, 350–359. DOI: 10.1016/j.jconrel.2022.08.032</w:t>
      </w:r>
    </w:p>
    <w:p w:rsidR="001704B0" w:rsidRPr="001531FF" w:rsidRDefault="0024305F" w:rsidP="001531FF">
      <w:pPr>
        <w:pStyle w:val="htmlparentstyle"/>
        <w:spacing w:line="240" w:lineRule="auto"/>
        <w:rPr>
          <w:lang w:val="en-US"/>
        </w:rPr>
      </w:pPr>
      <w:r w:rsidRPr="001531FF">
        <w:rPr>
          <w:lang w:val="en-US"/>
        </w:rPr>
        <w:t xml:space="preserve">V. A. </w:t>
      </w:r>
      <w:proofErr w:type="spellStart"/>
      <w:r w:rsidRPr="001531FF">
        <w:rPr>
          <w:lang w:val="en-US"/>
        </w:rPr>
        <w:t>Pigareva</w:t>
      </w:r>
      <w:proofErr w:type="spellEnd"/>
      <w:r w:rsidRPr="001531FF">
        <w:rPr>
          <w:lang w:val="en-US"/>
        </w:rPr>
        <w:t xml:space="preserve">, Y. A. </w:t>
      </w:r>
      <w:proofErr w:type="spellStart"/>
      <w:r w:rsidRPr="001531FF">
        <w:rPr>
          <w:lang w:val="en-US"/>
        </w:rPr>
        <w:t>Alekhina</w:t>
      </w:r>
      <w:proofErr w:type="spellEnd"/>
      <w:r w:rsidRPr="001531FF">
        <w:rPr>
          <w:lang w:val="en-US"/>
        </w:rPr>
        <w:t xml:space="preserve">, I. D. </w:t>
      </w:r>
      <w:proofErr w:type="spellStart"/>
      <w:r w:rsidRPr="001531FF">
        <w:rPr>
          <w:lang w:val="en-US"/>
        </w:rPr>
        <w:t>Grozdova</w:t>
      </w:r>
      <w:proofErr w:type="spellEnd"/>
      <w:r w:rsidRPr="001531FF">
        <w:rPr>
          <w:lang w:val="en-US"/>
        </w:rPr>
        <w:t xml:space="preserve">, X. Zhu, V. V. </w:t>
      </w:r>
      <w:proofErr w:type="spellStart"/>
      <w:r w:rsidRPr="001531FF">
        <w:rPr>
          <w:lang w:val="en-US"/>
        </w:rPr>
        <w:t>Spiridonov</w:t>
      </w:r>
      <w:proofErr w:type="spellEnd"/>
      <w:r w:rsidRPr="001531FF">
        <w:rPr>
          <w:lang w:val="en-US"/>
        </w:rPr>
        <w:t xml:space="preserve">, A. V. </w:t>
      </w:r>
      <w:proofErr w:type="spellStart"/>
      <w:r w:rsidRPr="001531FF">
        <w:rPr>
          <w:lang w:val="en-US"/>
        </w:rPr>
        <w:t>Sybachin</w:t>
      </w:r>
      <w:proofErr w:type="spellEnd"/>
      <w:r w:rsidRPr="001531FF">
        <w:rPr>
          <w:lang w:val="en-US"/>
        </w:rPr>
        <w:t xml:space="preserve">, </w:t>
      </w:r>
      <w:proofErr w:type="spellStart"/>
      <w:r w:rsidRPr="001531FF">
        <w:rPr>
          <w:i/>
          <w:lang w:val="en-US"/>
        </w:rPr>
        <w:t>Polym</w:t>
      </w:r>
      <w:proofErr w:type="spellEnd"/>
      <w:r w:rsidRPr="001531FF">
        <w:rPr>
          <w:i/>
          <w:lang w:val="en-US"/>
        </w:rPr>
        <w:t>. Int.</w:t>
      </w:r>
      <w:r w:rsidRPr="001531FF">
        <w:rPr>
          <w:lang w:val="en-US"/>
        </w:rPr>
        <w:t xml:space="preserve">, </w:t>
      </w:r>
      <w:r w:rsidRPr="001531FF">
        <w:rPr>
          <w:b/>
          <w:lang w:val="en-US"/>
        </w:rPr>
        <w:t>2022</w:t>
      </w:r>
      <w:r w:rsidRPr="001531FF">
        <w:rPr>
          <w:lang w:val="en-US"/>
        </w:rPr>
        <w:t xml:space="preserve">, </w:t>
      </w:r>
      <w:r w:rsidRPr="001531FF">
        <w:rPr>
          <w:i/>
          <w:lang w:val="en-US"/>
        </w:rPr>
        <w:t>71</w:t>
      </w:r>
      <w:r w:rsidRPr="001531FF">
        <w:rPr>
          <w:lang w:val="en-US"/>
        </w:rPr>
        <w:t>, 456–463. DOI: 10.1002/pi.6306</w:t>
      </w:r>
    </w:p>
    <w:sectPr w:rsidR="001704B0" w:rsidRPr="001531FF" w:rsidSect="007A0833">
      <w:endnotePr>
        <w:numFmt w:val="chicago"/>
      </w:endnotePr>
      <w:type w:val="continuous"/>
      <w:pgSz w:w="11906" w:h="16838" w:code="9"/>
      <w:pgMar w:top="1134" w:right="1134" w:bottom="1134" w:left="1134" w:header="709" w:footer="709" w:gutter="0"/>
      <w:cols w:space="282"/>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19D" w:rsidRDefault="005F319D" w:rsidP="00427E5A">
      <w:pPr>
        <w:spacing w:after="0" w:line="240" w:lineRule="auto"/>
      </w:pPr>
      <w:r>
        <w:separator/>
      </w:r>
    </w:p>
    <w:p w:rsidR="005F319D" w:rsidRDefault="005F319D"/>
  </w:endnote>
  <w:endnote w:type="continuationSeparator" w:id="0">
    <w:p w:rsidR="005F319D" w:rsidRDefault="005F319D" w:rsidP="00427E5A">
      <w:pPr>
        <w:spacing w:after="0" w:line="240" w:lineRule="auto"/>
      </w:pPr>
      <w:r>
        <w:continuationSeparator/>
      </w:r>
    </w:p>
    <w:p w:rsidR="005F319D" w:rsidRDefault="005F319D"/>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19D" w:rsidRDefault="005F319D" w:rsidP="00427E5A">
      <w:pPr>
        <w:spacing w:after="0" w:line="240" w:lineRule="auto"/>
      </w:pPr>
      <w:r>
        <w:separator/>
      </w:r>
    </w:p>
    <w:p w:rsidR="005F319D" w:rsidRDefault="005F319D"/>
  </w:footnote>
  <w:footnote w:type="continuationSeparator" w:id="0">
    <w:p w:rsidR="005F319D" w:rsidRDefault="005F319D" w:rsidP="00427E5A">
      <w:pPr>
        <w:spacing w:after="0" w:line="240" w:lineRule="auto"/>
      </w:pPr>
      <w:r>
        <w:continuationSeparator/>
      </w:r>
    </w:p>
    <w:p w:rsidR="005F319D" w:rsidRDefault="005F319D"/>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B7763"/>
    <w:multiLevelType w:val="hybridMultilevel"/>
    <w:tmpl w:val="9F2492F6"/>
    <w:lvl w:ilvl="0" w:tplc="7E74975E">
      <w:start w:val="1"/>
      <w:numFmt w:val="decimal"/>
      <w:lvlText w:val="%1."/>
      <w:lvlJc w:val="left"/>
      <w:pPr>
        <w:ind w:left="234" w:hanging="360"/>
      </w:pPr>
      <w:rPr>
        <w:rFonts w:hint="default"/>
      </w:rPr>
    </w:lvl>
    <w:lvl w:ilvl="1" w:tplc="04190019" w:tentative="1">
      <w:start w:val="1"/>
      <w:numFmt w:val="lowerLetter"/>
      <w:lvlText w:val="%2."/>
      <w:lvlJc w:val="left"/>
      <w:pPr>
        <w:ind w:left="954" w:hanging="360"/>
      </w:pPr>
    </w:lvl>
    <w:lvl w:ilvl="2" w:tplc="0419001B" w:tentative="1">
      <w:start w:val="1"/>
      <w:numFmt w:val="lowerRoman"/>
      <w:lvlText w:val="%3."/>
      <w:lvlJc w:val="right"/>
      <w:pPr>
        <w:ind w:left="1674" w:hanging="180"/>
      </w:pPr>
    </w:lvl>
    <w:lvl w:ilvl="3" w:tplc="0419000F" w:tentative="1">
      <w:start w:val="1"/>
      <w:numFmt w:val="decimal"/>
      <w:lvlText w:val="%4."/>
      <w:lvlJc w:val="left"/>
      <w:pPr>
        <w:ind w:left="2394" w:hanging="360"/>
      </w:pPr>
    </w:lvl>
    <w:lvl w:ilvl="4" w:tplc="04190019" w:tentative="1">
      <w:start w:val="1"/>
      <w:numFmt w:val="lowerLetter"/>
      <w:lvlText w:val="%5."/>
      <w:lvlJc w:val="left"/>
      <w:pPr>
        <w:ind w:left="3114" w:hanging="360"/>
      </w:pPr>
    </w:lvl>
    <w:lvl w:ilvl="5" w:tplc="0419001B" w:tentative="1">
      <w:start w:val="1"/>
      <w:numFmt w:val="lowerRoman"/>
      <w:lvlText w:val="%6."/>
      <w:lvlJc w:val="right"/>
      <w:pPr>
        <w:ind w:left="3834" w:hanging="180"/>
      </w:pPr>
    </w:lvl>
    <w:lvl w:ilvl="6" w:tplc="0419000F" w:tentative="1">
      <w:start w:val="1"/>
      <w:numFmt w:val="decimal"/>
      <w:lvlText w:val="%7."/>
      <w:lvlJc w:val="left"/>
      <w:pPr>
        <w:ind w:left="4554" w:hanging="360"/>
      </w:pPr>
    </w:lvl>
    <w:lvl w:ilvl="7" w:tplc="04190019" w:tentative="1">
      <w:start w:val="1"/>
      <w:numFmt w:val="lowerLetter"/>
      <w:lvlText w:val="%8."/>
      <w:lvlJc w:val="left"/>
      <w:pPr>
        <w:ind w:left="5274" w:hanging="360"/>
      </w:pPr>
    </w:lvl>
    <w:lvl w:ilvl="8" w:tplc="0419001B" w:tentative="1">
      <w:start w:val="1"/>
      <w:numFmt w:val="lowerRoman"/>
      <w:lvlText w:val="%9."/>
      <w:lvlJc w:val="right"/>
      <w:pPr>
        <w:ind w:left="5994" w:hanging="180"/>
      </w:pPr>
    </w:lvl>
  </w:abstractNum>
  <w:abstractNum w:abstractNumId="1">
    <w:nsid w:val="0D69189E"/>
    <w:multiLevelType w:val="hybridMultilevel"/>
    <w:tmpl w:val="410A73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A240240"/>
    <w:multiLevelType w:val="hybridMultilevel"/>
    <w:tmpl w:val="0D4EC560"/>
    <w:lvl w:ilvl="0" w:tplc="0419000F">
      <w:start w:val="1"/>
      <w:numFmt w:val="decimal"/>
      <w:lvlText w:val="%1."/>
      <w:lvlJc w:val="left"/>
      <w:pPr>
        <w:ind w:left="594" w:hanging="360"/>
      </w:pPr>
    </w:lvl>
    <w:lvl w:ilvl="1" w:tplc="04190019" w:tentative="1">
      <w:start w:val="1"/>
      <w:numFmt w:val="lowerLetter"/>
      <w:lvlText w:val="%2."/>
      <w:lvlJc w:val="left"/>
      <w:pPr>
        <w:ind w:left="1314" w:hanging="360"/>
      </w:pPr>
    </w:lvl>
    <w:lvl w:ilvl="2" w:tplc="0419001B" w:tentative="1">
      <w:start w:val="1"/>
      <w:numFmt w:val="lowerRoman"/>
      <w:lvlText w:val="%3."/>
      <w:lvlJc w:val="right"/>
      <w:pPr>
        <w:ind w:left="2034" w:hanging="180"/>
      </w:pPr>
    </w:lvl>
    <w:lvl w:ilvl="3" w:tplc="0419000F" w:tentative="1">
      <w:start w:val="1"/>
      <w:numFmt w:val="decimal"/>
      <w:lvlText w:val="%4."/>
      <w:lvlJc w:val="left"/>
      <w:pPr>
        <w:ind w:left="2754" w:hanging="360"/>
      </w:pPr>
    </w:lvl>
    <w:lvl w:ilvl="4" w:tplc="04190019" w:tentative="1">
      <w:start w:val="1"/>
      <w:numFmt w:val="lowerLetter"/>
      <w:lvlText w:val="%5."/>
      <w:lvlJc w:val="left"/>
      <w:pPr>
        <w:ind w:left="3474" w:hanging="360"/>
      </w:pPr>
    </w:lvl>
    <w:lvl w:ilvl="5" w:tplc="0419001B" w:tentative="1">
      <w:start w:val="1"/>
      <w:numFmt w:val="lowerRoman"/>
      <w:lvlText w:val="%6."/>
      <w:lvlJc w:val="right"/>
      <w:pPr>
        <w:ind w:left="4194" w:hanging="180"/>
      </w:pPr>
    </w:lvl>
    <w:lvl w:ilvl="6" w:tplc="0419000F" w:tentative="1">
      <w:start w:val="1"/>
      <w:numFmt w:val="decimal"/>
      <w:lvlText w:val="%7."/>
      <w:lvlJc w:val="left"/>
      <w:pPr>
        <w:ind w:left="4914" w:hanging="360"/>
      </w:pPr>
    </w:lvl>
    <w:lvl w:ilvl="7" w:tplc="04190019" w:tentative="1">
      <w:start w:val="1"/>
      <w:numFmt w:val="lowerLetter"/>
      <w:lvlText w:val="%8."/>
      <w:lvlJc w:val="left"/>
      <w:pPr>
        <w:ind w:left="5634" w:hanging="360"/>
      </w:pPr>
    </w:lvl>
    <w:lvl w:ilvl="8" w:tplc="0419001B" w:tentative="1">
      <w:start w:val="1"/>
      <w:numFmt w:val="lowerRoman"/>
      <w:lvlText w:val="%9."/>
      <w:lvlJc w:val="right"/>
      <w:pPr>
        <w:ind w:left="6354" w:hanging="180"/>
      </w:pPr>
    </w:lvl>
  </w:abstractNum>
  <w:abstractNum w:abstractNumId="4">
    <w:nsid w:val="1FBB0EEB"/>
    <w:multiLevelType w:val="hybridMultilevel"/>
    <w:tmpl w:val="9F46C84E"/>
    <w:lvl w:ilvl="0" w:tplc="1EC00852">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FD0037"/>
    <w:multiLevelType w:val="hybridMultilevel"/>
    <w:tmpl w:val="29FAE5D4"/>
    <w:lvl w:ilvl="0" w:tplc="951264B6">
      <w:start w:val="1"/>
      <w:numFmt w:val="decimal"/>
      <w:lvlText w:val="%1."/>
      <w:lvlJc w:val="left"/>
      <w:pPr>
        <w:ind w:left="786" w:hanging="360"/>
      </w:pPr>
      <w:rPr>
        <w:sz w:val="22"/>
        <w:szCs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9">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0">
    <w:nsid w:val="5C753BA6"/>
    <w:multiLevelType w:val="hybridMultilevel"/>
    <w:tmpl w:val="14F8C202"/>
    <w:lvl w:ilvl="0" w:tplc="6236129C">
      <w:start w:val="1"/>
      <w:numFmt w:val="decimal"/>
      <w:lvlText w:val="%1."/>
      <w:lvlJc w:val="left"/>
      <w:pPr>
        <w:ind w:left="720" w:hanging="360"/>
      </w:pPr>
    </w:lvl>
    <w:lvl w:ilvl="1" w:tplc="0419000F">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12">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13">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14">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72363FFD"/>
    <w:multiLevelType w:val="hybridMultilevel"/>
    <w:tmpl w:val="4274D2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12"/>
  </w:num>
  <w:num w:numId="5">
    <w:abstractNumId w:val="13"/>
  </w:num>
  <w:num w:numId="6">
    <w:abstractNumId w:val="14"/>
  </w:num>
  <w:num w:numId="7">
    <w:abstractNumId w:val="2"/>
  </w:num>
  <w:num w:numId="8">
    <w:abstractNumId w:val="8"/>
  </w:num>
  <w:num w:numId="9">
    <w:abstractNumId w:val="11"/>
  </w:num>
  <w:num w:numId="10">
    <w:abstractNumId w:val="3"/>
  </w:num>
  <w:num w:numId="11">
    <w:abstractNumId w:val="0"/>
  </w:num>
  <w:num w:numId="12">
    <w:abstractNumId w:val="5"/>
  </w:num>
  <w:num w:numId="13">
    <w:abstractNumId w:val="4"/>
  </w:num>
  <w:num w:numId="14">
    <w:abstractNumId w:val="1"/>
  </w:num>
  <w:num w:numId="15">
    <w:abstractNumId w:val="15"/>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SortMethod w:val="0003"/>
  <w:styleLockTheme/>
  <w:styleLockQFSet/>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rsids>
    <w:rsidRoot w:val="00F95280"/>
    <w:rsid w:val="00010951"/>
    <w:rsid w:val="00016637"/>
    <w:rsid w:val="00021E9C"/>
    <w:rsid w:val="00025448"/>
    <w:rsid w:val="00025D9C"/>
    <w:rsid w:val="00031445"/>
    <w:rsid w:val="000510F7"/>
    <w:rsid w:val="00052C07"/>
    <w:rsid w:val="00064622"/>
    <w:rsid w:val="00067EC7"/>
    <w:rsid w:val="00070E50"/>
    <w:rsid w:val="00071D12"/>
    <w:rsid w:val="00080691"/>
    <w:rsid w:val="0008088D"/>
    <w:rsid w:val="0008238E"/>
    <w:rsid w:val="000843DF"/>
    <w:rsid w:val="00085A7C"/>
    <w:rsid w:val="000A0FBD"/>
    <w:rsid w:val="000B0164"/>
    <w:rsid w:val="000B1B42"/>
    <w:rsid w:val="000B5E27"/>
    <w:rsid w:val="000C6B71"/>
    <w:rsid w:val="000E1B06"/>
    <w:rsid w:val="000E1CFB"/>
    <w:rsid w:val="00100102"/>
    <w:rsid w:val="0010033A"/>
    <w:rsid w:val="0010088C"/>
    <w:rsid w:val="00104620"/>
    <w:rsid w:val="001405F2"/>
    <w:rsid w:val="00143103"/>
    <w:rsid w:val="00145EA6"/>
    <w:rsid w:val="00150D6A"/>
    <w:rsid w:val="001531FF"/>
    <w:rsid w:val="00156A07"/>
    <w:rsid w:val="00161894"/>
    <w:rsid w:val="00165A36"/>
    <w:rsid w:val="00166162"/>
    <w:rsid w:val="001704B0"/>
    <w:rsid w:val="00174607"/>
    <w:rsid w:val="00176C59"/>
    <w:rsid w:val="00192FF9"/>
    <w:rsid w:val="00194288"/>
    <w:rsid w:val="001A28BF"/>
    <w:rsid w:val="001B0919"/>
    <w:rsid w:val="001B26FF"/>
    <w:rsid w:val="001B6750"/>
    <w:rsid w:val="001C0B33"/>
    <w:rsid w:val="001C1CCE"/>
    <w:rsid w:val="001C706F"/>
    <w:rsid w:val="001E1F3B"/>
    <w:rsid w:val="001E22EC"/>
    <w:rsid w:val="001E7945"/>
    <w:rsid w:val="0021589A"/>
    <w:rsid w:val="0022057B"/>
    <w:rsid w:val="002222B6"/>
    <w:rsid w:val="002235A5"/>
    <w:rsid w:val="00224F4E"/>
    <w:rsid w:val="00227BCD"/>
    <w:rsid w:val="0024305F"/>
    <w:rsid w:val="00247ECE"/>
    <w:rsid w:val="002500A5"/>
    <w:rsid w:val="00250F37"/>
    <w:rsid w:val="00263CDC"/>
    <w:rsid w:val="00267EF3"/>
    <w:rsid w:val="002801B8"/>
    <w:rsid w:val="00285F5A"/>
    <w:rsid w:val="00293275"/>
    <w:rsid w:val="00297AA7"/>
    <w:rsid w:val="002A0BC1"/>
    <w:rsid w:val="002B5D6A"/>
    <w:rsid w:val="002B7F69"/>
    <w:rsid w:val="002C295A"/>
    <w:rsid w:val="002C3AF3"/>
    <w:rsid w:val="002C64E7"/>
    <w:rsid w:val="002D3769"/>
    <w:rsid w:val="002D6411"/>
    <w:rsid w:val="002F424B"/>
    <w:rsid w:val="0031578F"/>
    <w:rsid w:val="00315C19"/>
    <w:rsid w:val="003163D8"/>
    <w:rsid w:val="00321C31"/>
    <w:rsid w:val="00335163"/>
    <w:rsid w:val="0034072D"/>
    <w:rsid w:val="0034176A"/>
    <w:rsid w:val="00346ED7"/>
    <w:rsid w:val="003604C3"/>
    <w:rsid w:val="00362760"/>
    <w:rsid w:val="003647E7"/>
    <w:rsid w:val="00375D10"/>
    <w:rsid w:val="00387F46"/>
    <w:rsid w:val="003A3ACE"/>
    <w:rsid w:val="003A5611"/>
    <w:rsid w:val="003B067D"/>
    <w:rsid w:val="003B0BD4"/>
    <w:rsid w:val="003C25F2"/>
    <w:rsid w:val="003D2A22"/>
    <w:rsid w:val="003E2893"/>
    <w:rsid w:val="003E3EF7"/>
    <w:rsid w:val="003E6BD0"/>
    <w:rsid w:val="004030ED"/>
    <w:rsid w:val="00406F12"/>
    <w:rsid w:val="004279D0"/>
    <w:rsid w:val="00427E5A"/>
    <w:rsid w:val="0043078B"/>
    <w:rsid w:val="00436D4B"/>
    <w:rsid w:val="00440577"/>
    <w:rsid w:val="004409A4"/>
    <w:rsid w:val="00456125"/>
    <w:rsid w:val="00460F8A"/>
    <w:rsid w:val="00463737"/>
    <w:rsid w:val="00473AC6"/>
    <w:rsid w:val="00475910"/>
    <w:rsid w:val="004A44BC"/>
    <w:rsid w:val="004A51C9"/>
    <w:rsid w:val="004A5676"/>
    <w:rsid w:val="004B6C91"/>
    <w:rsid w:val="004C0411"/>
    <w:rsid w:val="004C141B"/>
    <w:rsid w:val="004C2362"/>
    <w:rsid w:val="004C5EA0"/>
    <w:rsid w:val="004D0021"/>
    <w:rsid w:val="004D2E6D"/>
    <w:rsid w:val="004E4B36"/>
    <w:rsid w:val="004F3EB8"/>
    <w:rsid w:val="004F7D17"/>
    <w:rsid w:val="00502741"/>
    <w:rsid w:val="00502985"/>
    <w:rsid w:val="00511255"/>
    <w:rsid w:val="00512380"/>
    <w:rsid w:val="0052362C"/>
    <w:rsid w:val="005241EE"/>
    <w:rsid w:val="00524995"/>
    <w:rsid w:val="00527C5A"/>
    <w:rsid w:val="00533D73"/>
    <w:rsid w:val="00534762"/>
    <w:rsid w:val="00551A9B"/>
    <w:rsid w:val="00565D0F"/>
    <w:rsid w:val="00566E1F"/>
    <w:rsid w:val="00571D62"/>
    <w:rsid w:val="00574E8C"/>
    <w:rsid w:val="005827E1"/>
    <w:rsid w:val="00592A1A"/>
    <w:rsid w:val="0059560E"/>
    <w:rsid w:val="005C6C8E"/>
    <w:rsid w:val="005C7369"/>
    <w:rsid w:val="005D5E3B"/>
    <w:rsid w:val="005E76C3"/>
    <w:rsid w:val="005F319D"/>
    <w:rsid w:val="005F5908"/>
    <w:rsid w:val="00605F7B"/>
    <w:rsid w:val="00607EA3"/>
    <w:rsid w:val="006118F4"/>
    <w:rsid w:val="00615AB2"/>
    <w:rsid w:val="00616518"/>
    <w:rsid w:val="00622DF1"/>
    <w:rsid w:val="0062694E"/>
    <w:rsid w:val="006416C1"/>
    <w:rsid w:val="0064267C"/>
    <w:rsid w:val="0065245B"/>
    <w:rsid w:val="00665B7C"/>
    <w:rsid w:val="0066642B"/>
    <w:rsid w:val="00676DA8"/>
    <w:rsid w:val="00683408"/>
    <w:rsid w:val="0068399D"/>
    <w:rsid w:val="0068614A"/>
    <w:rsid w:val="006A366E"/>
    <w:rsid w:val="006A515C"/>
    <w:rsid w:val="006B267D"/>
    <w:rsid w:val="006B7ED3"/>
    <w:rsid w:val="006C3F54"/>
    <w:rsid w:val="006D0F0C"/>
    <w:rsid w:val="006D75C2"/>
    <w:rsid w:val="006D7CF9"/>
    <w:rsid w:val="006E0C73"/>
    <w:rsid w:val="006E2344"/>
    <w:rsid w:val="006E3D6B"/>
    <w:rsid w:val="006F4B94"/>
    <w:rsid w:val="006F72DF"/>
    <w:rsid w:val="00704BD0"/>
    <w:rsid w:val="00706F05"/>
    <w:rsid w:val="0072037E"/>
    <w:rsid w:val="00720F8E"/>
    <w:rsid w:val="00736EEC"/>
    <w:rsid w:val="007516EA"/>
    <w:rsid w:val="00756335"/>
    <w:rsid w:val="00762718"/>
    <w:rsid w:val="007659A9"/>
    <w:rsid w:val="00771D6B"/>
    <w:rsid w:val="007762ED"/>
    <w:rsid w:val="00790C2E"/>
    <w:rsid w:val="00793C84"/>
    <w:rsid w:val="00795BDC"/>
    <w:rsid w:val="00795F22"/>
    <w:rsid w:val="007A0833"/>
    <w:rsid w:val="007A3351"/>
    <w:rsid w:val="007A5771"/>
    <w:rsid w:val="007B0653"/>
    <w:rsid w:val="007B2B65"/>
    <w:rsid w:val="007B3CB6"/>
    <w:rsid w:val="007B67DA"/>
    <w:rsid w:val="007C3804"/>
    <w:rsid w:val="007D23E1"/>
    <w:rsid w:val="007D3F5F"/>
    <w:rsid w:val="007E04CF"/>
    <w:rsid w:val="007E11A6"/>
    <w:rsid w:val="007F093C"/>
    <w:rsid w:val="008035F0"/>
    <w:rsid w:val="008114FB"/>
    <w:rsid w:val="008120E9"/>
    <w:rsid w:val="00813DE4"/>
    <w:rsid w:val="00820A77"/>
    <w:rsid w:val="00823733"/>
    <w:rsid w:val="008257A1"/>
    <w:rsid w:val="008276AE"/>
    <w:rsid w:val="0083487B"/>
    <w:rsid w:val="00834DA4"/>
    <w:rsid w:val="008354BA"/>
    <w:rsid w:val="00842E5C"/>
    <w:rsid w:val="008444DA"/>
    <w:rsid w:val="008451A3"/>
    <w:rsid w:val="008453AB"/>
    <w:rsid w:val="008518EA"/>
    <w:rsid w:val="0085553A"/>
    <w:rsid w:val="008622A1"/>
    <w:rsid w:val="00863A30"/>
    <w:rsid w:val="0087284A"/>
    <w:rsid w:val="0087300D"/>
    <w:rsid w:val="00875175"/>
    <w:rsid w:val="008771F5"/>
    <w:rsid w:val="008827F7"/>
    <w:rsid w:val="00890614"/>
    <w:rsid w:val="00890BCA"/>
    <w:rsid w:val="0089304F"/>
    <w:rsid w:val="00894EE2"/>
    <w:rsid w:val="008A02BF"/>
    <w:rsid w:val="008A6A35"/>
    <w:rsid w:val="008B1966"/>
    <w:rsid w:val="008B6FF6"/>
    <w:rsid w:val="008C6630"/>
    <w:rsid w:val="008C68C0"/>
    <w:rsid w:val="008D1D43"/>
    <w:rsid w:val="008D2BCF"/>
    <w:rsid w:val="008E062B"/>
    <w:rsid w:val="008E392F"/>
    <w:rsid w:val="008E65E4"/>
    <w:rsid w:val="009018B1"/>
    <w:rsid w:val="00903EC7"/>
    <w:rsid w:val="00904B7F"/>
    <w:rsid w:val="0090673F"/>
    <w:rsid w:val="0091038C"/>
    <w:rsid w:val="0091084F"/>
    <w:rsid w:val="009118FE"/>
    <w:rsid w:val="00916E1F"/>
    <w:rsid w:val="00922AD7"/>
    <w:rsid w:val="00930DA8"/>
    <w:rsid w:val="00955EDB"/>
    <w:rsid w:val="00961CE4"/>
    <w:rsid w:val="009667F3"/>
    <w:rsid w:val="0096783D"/>
    <w:rsid w:val="009A6DAE"/>
    <w:rsid w:val="009B17A7"/>
    <w:rsid w:val="009B1ECD"/>
    <w:rsid w:val="009B4E07"/>
    <w:rsid w:val="009B5B8E"/>
    <w:rsid w:val="009C2387"/>
    <w:rsid w:val="009D3902"/>
    <w:rsid w:val="009E0172"/>
    <w:rsid w:val="009E3720"/>
    <w:rsid w:val="009F226B"/>
    <w:rsid w:val="00A05076"/>
    <w:rsid w:val="00A0672F"/>
    <w:rsid w:val="00A231BA"/>
    <w:rsid w:val="00A263EF"/>
    <w:rsid w:val="00A27245"/>
    <w:rsid w:val="00A32E5C"/>
    <w:rsid w:val="00A33939"/>
    <w:rsid w:val="00A56EFC"/>
    <w:rsid w:val="00A6442F"/>
    <w:rsid w:val="00A66EE2"/>
    <w:rsid w:val="00A76F33"/>
    <w:rsid w:val="00AC3F69"/>
    <w:rsid w:val="00AC3FD8"/>
    <w:rsid w:val="00AC4C4E"/>
    <w:rsid w:val="00AD01DF"/>
    <w:rsid w:val="00AE376B"/>
    <w:rsid w:val="00AE39E3"/>
    <w:rsid w:val="00AE4947"/>
    <w:rsid w:val="00AF635D"/>
    <w:rsid w:val="00B0046C"/>
    <w:rsid w:val="00B02B82"/>
    <w:rsid w:val="00B116CC"/>
    <w:rsid w:val="00B23601"/>
    <w:rsid w:val="00B354FD"/>
    <w:rsid w:val="00B3671D"/>
    <w:rsid w:val="00B41C56"/>
    <w:rsid w:val="00B5202A"/>
    <w:rsid w:val="00B571B2"/>
    <w:rsid w:val="00B73FF6"/>
    <w:rsid w:val="00B7532E"/>
    <w:rsid w:val="00B83D1D"/>
    <w:rsid w:val="00B9104A"/>
    <w:rsid w:val="00BA025A"/>
    <w:rsid w:val="00BB1D07"/>
    <w:rsid w:val="00BB2DF9"/>
    <w:rsid w:val="00BD0F8C"/>
    <w:rsid w:val="00BD3D91"/>
    <w:rsid w:val="00BE4FEF"/>
    <w:rsid w:val="00BE5CFB"/>
    <w:rsid w:val="00BF27CD"/>
    <w:rsid w:val="00C01303"/>
    <w:rsid w:val="00C0189E"/>
    <w:rsid w:val="00C25E43"/>
    <w:rsid w:val="00C33584"/>
    <w:rsid w:val="00C3565E"/>
    <w:rsid w:val="00C3671B"/>
    <w:rsid w:val="00C57C43"/>
    <w:rsid w:val="00C75351"/>
    <w:rsid w:val="00C810AE"/>
    <w:rsid w:val="00C927EB"/>
    <w:rsid w:val="00C97078"/>
    <w:rsid w:val="00CA605E"/>
    <w:rsid w:val="00CB0173"/>
    <w:rsid w:val="00CD08DC"/>
    <w:rsid w:val="00CD128C"/>
    <w:rsid w:val="00CD6FAC"/>
    <w:rsid w:val="00CF0323"/>
    <w:rsid w:val="00CF22D5"/>
    <w:rsid w:val="00D118AB"/>
    <w:rsid w:val="00D12AFB"/>
    <w:rsid w:val="00D22C36"/>
    <w:rsid w:val="00D27A8E"/>
    <w:rsid w:val="00D31C2D"/>
    <w:rsid w:val="00D33D37"/>
    <w:rsid w:val="00D36C9F"/>
    <w:rsid w:val="00D47C05"/>
    <w:rsid w:val="00D535D0"/>
    <w:rsid w:val="00D622BA"/>
    <w:rsid w:val="00D71473"/>
    <w:rsid w:val="00D919F1"/>
    <w:rsid w:val="00DA0A72"/>
    <w:rsid w:val="00DA3AF4"/>
    <w:rsid w:val="00DA3C85"/>
    <w:rsid w:val="00DA3E8D"/>
    <w:rsid w:val="00DB33FB"/>
    <w:rsid w:val="00DD10FA"/>
    <w:rsid w:val="00DF1FCB"/>
    <w:rsid w:val="00DF4999"/>
    <w:rsid w:val="00E01CC0"/>
    <w:rsid w:val="00E32CFF"/>
    <w:rsid w:val="00E5003A"/>
    <w:rsid w:val="00E50186"/>
    <w:rsid w:val="00E502D9"/>
    <w:rsid w:val="00E60451"/>
    <w:rsid w:val="00E76E65"/>
    <w:rsid w:val="00E81EDE"/>
    <w:rsid w:val="00E86508"/>
    <w:rsid w:val="00E92E67"/>
    <w:rsid w:val="00E95346"/>
    <w:rsid w:val="00E95888"/>
    <w:rsid w:val="00EA6C3B"/>
    <w:rsid w:val="00EB2FCC"/>
    <w:rsid w:val="00EB6228"/>
    <w:rsid w:val="00EE0429"/>
    <w:rsid w:val="00EE4066"/>
    <w:rsid w:val="00EE5CC8"/>
    <w:rsid w:val="00EE7A60"/>
    <w:rsid w:val="00EF625A"/>
    <w:rsid w:val="00EF6BD4"/>
    <w:rsid w:val="00EF70D8"/>
    <w:rsid w:val="00F01C7B"/>
    <w:rsid w:val="00F24736"/>
    <w:rsid w:val="00F279E2"/>
    <w:rsid w:val="00F27BF3"/>
    <w:rsid w:val="00F376FB"/>
    <w:rsid w:val="00F44BBC"/>
    <w:rsid w:val="00F46F0E"/>
    <w:rsid w:val="00F51584"/>
    <w:rsid w:val="00F63502"/>
    <w:rsid w:val="00F6796A"/>
    <w:rsid w:val="00F679F8"/>
    <w:rsid w:val="00F8114B"/>
    <w:rsid w:val="00F86864"/>
    <w:rsid w:val="00F94740"/>
    <w:rsid w:val="00F95280"/>
    <w:rsid w:val="00FA0CD1"/>
    <w:rsid w:val="00FA707E"/>
    <w:rsid w:val="00FB4DBE"/>
    <w:rsid w:val="00FB689E"/>
    <w:rsid w:val="00FD0D30"/>
    <w:rsid w:val="00FD2F8B"/>
    <w:rsid w:val="00FE45D6"/>
    <w:rsid w:val="00FF1493"/>
    <w:rsid w:val="00FF34BD"/>
    <w:rsid w:val="00FF6D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unhideWhenUsed="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lsdException w:name="Default Paragraph Font" w:uiPriority="1"/>
    <w:lsdException w:name="Body Text Indent" w:uiPriority="0"/>
    <w:lsdException w:name="Subtitle" w:uiPriority="11" w:unhideWhenUsed="0"/>
    <w:lsdException w:name="Strong" w:uiPriority="22" w:unhideWhenUsed="0" w:qFormat="1"/>
    <w:lsdException w:name="Emphasis" w:uiPriority="20" w:unhideWhenUsed="0"/>
    <w:lsdException w:name="Table Grid" w:semiHidden="0" w:uiPriority="3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a">
    <w:name w:val="Normal"/>
    <w:uiPriority w:val="99"/>
    <w:semiHidden/>
    <w:rsid w:val="00AE39E3"/>
  </w:style>
  <w:style w:type="paragraph" w:styleId="1">
    <w:name w:val="heading 1"/>
    <w:basedOn w:val="a"/>
    <w:next w:val="a"/>
    <w:link w:val="10"/>
    <w:uiPriority w:val="9"/>
    <w:semiHidden/>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customStyle="1" w:styleId="MainHeader">
    <w:name w:val="Main_Header"/>
    <w:basedOn w:val="htmlparentstyle"/>
    <w:link w:val="MainHeader0"/>
    <w:qFormat/>
    <w:rsid w:val="0068614A"/>
    <w:pPr>
      <w:spacing w:before="240" w:after="240"/>
    </w:pPr>
    <w:rPr>
      <w:rFonts w:cs="Arial"/>
      <w:b/>
      <w:sz w:val="28"/>
      <w:szCs w:val="26"/>
      <w:lang w:val="en-US"/>
    </w:rPr>
  </w:style>
  <w:style w:type="paragraph" w:customStyle="1" w:styleId="Affelations">
    <w:name w:val="Affelations"/>
    <w:basedOn w:val="htmlparentstyle"/>
    <w:link w:val="Affelations0"/>
    <w:qFormat/>
    <w:rsid w:val="005827E1"/>
    <w:pPr>
      <w:spacing w:line="240" w:lineRule="auto"/>
      <w:jc w:val="left"/>
    </w:pPr>
    <w:rPr>
      <w:rFonts w:cs="Arial"/>
      <w:i/>
      <w:iCs/>
      <w:lang w:val="en-GB"/>
    </w:rPr>
  </w:style>
  <w:style w:type="character" w:customStyle="1" w:styleId="MainHeader0">
    <w:name w:val="Main_Header Знак"/>
    <w:basedOn w:val="a0"/>
    <w:link w:val="MainHeader"/>
    <w:rsid w:val="005827E1"/>
    <w:rPr>
      <w:rFonts w:ascii="Arial" w:hAnsi="Arial" w:cs="Arial"/>
      <w:b/>
      <w:sz w:val="28"/>
      <w:szCs w:val="26"/>
      <w:lang w:val="en-US"/>
    </w:rPr>
  </w:style>
  <w:style w:type="paragraph" w:customStyle="1" w:styleId="CorrespondingAuthor">
    <w:name w:val="CorrespondingAuthor"/>
    <w:basedOn w:val="htmlparentstyle"/>
    <w:link w:val="CorrespondingAuthor0"/>
    <w:qFormat/>
    <w:rsid w:val="005827E1"/>
    <w:pPr>
      <w:spacing w:after="200"/>
      <w:jc w:val="left"/>
    </w:pPr>
    <w:rPr>
      <w:rFonts w:ascii="Times New Roman" w:hAnsi="Times New Roman" w:cs="Times New Roman"/>
      <w:i/>
      <w:lang w:val="en-US"/>
    </w:rPr>
  </w:style>
  <w:style w:type="character" w:styleId="ab">
    <w:name w:val="line number"/>
    <w:basedOn w:val="a0"/>
    <w:uiPriority w:val="99"/>
    <w:semiHidden/>
    <w:unhideWhenUsed/>
    <w:rsid w:val="007A3351"/>
  </w:style>
  <w:style w:type="character" w:customStyle="1" w:styleId="Affelations0">
    <w:name w:val="Affelations Знак"/>
    <w:basedOn w:val="a0"/>
    <w:link w:val="Affelations"/>
    <w:rsid w:val="005827E1"/>
    <w:rPr>
      <w:rFonts w:ascii="Arial" w:hAnsi="Arial" w:cs="Arial"/>
      <w:i/>
      <w:iCs/>
      <w:lang w:val="en-GB"/>
    </w:rPr>
  </w:style>
  <w:style w:type="paragraph" w:customStyle="1" w:styleId="Text">
    <w:name w:val="Text"/>
    <w:basedOn w:val="htmlparentstyle"/>
    <w:link w:val="Text0"/>
    <w:qFormat/>
    <w:rsid w:val="0068614A"/>
    <w:rPr>
      <w:rFonts w:cs="Arial"/>
    </w:rPr>
  </w:style>
  <w:style w:type="paragraph" w:customStyle="1" w:styleId="ArticleTitle">
    <w:name w:val="ArticleTitle"/>
    <w:basedOn w:val="htmlparentstyle"/>
    <w:link w:val="ArticleTitle0"/>
    <w:qFormat/>
    <w:rsid w:val="00406F12"/>
    <w:pPr>
      <w:spacing w:after="380"/>
      <w:jc w:val="center"/>
    </w:pPr>
    <w:rPr>
      <w:rFonts w:ascii="Times New Roman" w:hAnsi="Times New Roman" w:cs="Times New Roman"/>
      <w:b/>
      <w:i/>
      <w:color w:val="0000FF"/>
      <w:sz w:val="36"/>
      <w:szCs w:val="36"/>
      <w:lang w:val="en-US"/>
    </w:rPr>
  </w:style>
  <w:style w:type="character" w:customStyle="1" w:styleId="CorrespondingAuthor0">
    <w:name w:val="CorrespondingAuthor Знак"/>
    <w:basedOn w:val="a0"/>
    <w:link w:val="CorrespondingAuthor"/>
    <w:rsid w:val="005827E1"/>
    <w:rPr>
      <w:rFonts w:ascii="Times New Roman" w:hAnsi="Times New Roman" w:cs="Times New Roman"/>
      <w:i/>
      <w:lang w:val="en-US"/>
    </w:rPr>
  </w:style>
  <w:style w:type="paragraph" w:customStyle="1" w:styleId="Authors">
    <w:name w:val="Authors"/>
    <w:basedOn w:val="htmlparentstyle"/>
    <w:link w:val="Authors0"/>
    <w:qFormat/>
    <w:rsid w:val="00756335"/>
    <w:pPr>
      <w:spacing w:line="240" w:lineRule="auto"/>
      <w:jc w:val="center"/>
    </w:pPr>
    <w:rPr>
      <w:rFonts w:ascii="Times New Roman" w:hAnsi="Times New Roman" w:cs="Times New Roman"/>
      <w:b/>
      <w:noProof/>
      <w:color w:val="000066"/>
      <w:sz w:val="26"/>
      <w:szCs w:val="26"/>
      <w:lang w:val="en-US"/>
    </w:rPr>
  </w:style>
  <w:style w:type="paragraph" w:customStyle="1" w:styleId="IllustrationDescription">
    <w:name w:val="IllustrationDescription"/>
    <w:basedOn w:val="htmlparentstyle"/>
    <w:link w:val="IllustrationDescription0"/>
    <w:qFormat/>
    <w:rsid w:val="005827E1"/>
    <w:pPr>
      <w:spacing w:before="120" w:after="200"/>
      <w:jc w:val="center"/>
    </w:pPr>
    <w:rPr>
      <w:rFonts w:cs="Arial"/>
      <w:bCs/>
      <w:sz w:val="20"/>
      <w:szCs w:val="16"/>
      <w:lang w:val="en-US"/>
    </w:rPr>
  </w:style>
  <w:style w:type="character" w:customStyle="1" w:styleId="Text0">
    <w:name w:val="Text Знак"/>
    <w:basedOn w:val="a0"/>
    <w:link w:val="Text"/>
    <w:rsid w:val="005827E1"/>
    <w:rPr>
      <w:rFonts w:ascii="Arial" w:hAnsi="Arial" w:cs="Arial"/>
    </w:rPr>
  </w:style>
  <w:style w:type="paragraph" w:customStyle="1" w:styleId="Illustration">
    <w:name w:val="Illustration"/>
    <w:basedOn w:val="htmlparentstyle"/>
    <w:link w:val="Illustration0"/>
    <w:qFormat/>
    <w:rsid w:val="005827E1"/>
    <w:pPr>
      <w:widowControl w:val="0"/>
      <w:spacing w:before="200" w:after="120"/>
      <w:jc w:val="center"/>
    </w:pPr>
    <w:rPr>
      <w:rFonts w:cs="Arial"/>
      <w:noProof/>
      <w:szCs w:val="18"/>
      <w:lang w:eastAsia="ru-RU"/>
    </w:rPr>
  </w:style>
  <w:style w:type="character" w:customStyle="1" w:styleId="IllustrationDescription0">
    <w:name w:val="IllustrationDescription Знак"/>
    <w:basedOn w:val="a0"/>
    <w:link w:val="IllustrationDescription"/>
    <w:rsid w:val="005827E1"/>
    <w:rPr>
      <w:rFonts w:ascii="Arial" w:hAnsi="Arial" w:cs="Arial"/>
      <w:bCs/>
      <w:sz w:val="20"/>
      <w:szCs w:val="16"/>
      <w:lang w:val="en-US"/>
    </w:rPr>
  </w:style>
  <w:style w:type="paragraph" w:customStyle="1" w:styleId="References">
    <w:name w:val="References"/>
    <w:basedOn w:val="htmlparentstyle"/>
    <w:link w:val="References0"/>
    <w:qFormat/>
    <w:rsid w:val="00A0672F"/>
    <w:pPr>
      <w:spacing w:line="240" w:lineRule="auto"/>
    </w:pPr>
    <w:rPr>
      <w:rFonts w:cs="Arial"/>
    </w:rPr>
  </w:style>
  <w:style w:type="character" w:customStyle="1" w:styleId="Illustration0">
    <w:name w:val="Illustration Знак"/>
    <w:basedOn w:val="a0"/>
    <w:link w:val="Illustration"/>
    <w:rsid w:val="005827E1"/>
    <w:rPr>
      <w:rFonts w:ascii="Arial" w:hAnsi="Arial" w:cs="Arial"/>
      <w:noProof/>
      <w:szCs w:val="18"/>
      <w:lang w:eastAsia="ru-RU"/>
    </w:rPr>
  </w:style>
  <w:style w:type="character" w:customStyle="1" w:styleId="References0">
    <w:name w:val="References Знак"/>
    <w:basedOn w:val="a0"/>
    <w:link w:val="References"/>
    <w:rsid w:val="00AE39E3"/>
    <w:rPr>
      <w:rFonts w:ascii="Arial" w:hAnsi="Arial" w:cs="Arial"/>
    </w:rPr>
  </w:style>
  <w:style w:type="table" w:styleId="ac">
    <w:name w:val="Table Grid"/>
    <w:basedOn w:val="a1"/>
    <w:uiPriority w:val="39"/>
    <w:rsid w:val="00CD6F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1">
    <w:name w:val="Светлая заливка1"/>
    <w:basedOn w:val="a1"/>
    <w:uiPriority w:val="60"/>
    <w:rsid w:val="00052C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10">
    <w:name w:val="Заголовок 1 Знак"/>
    <w:basedOn w:val="a0"/>
    <w:link w:val="1"/>
    <w:uiPriority w:val="9"/>
    <w:semiHidden/>
    <w:rsid w:val="00AE39E3"/>
    <w:rPr>
      <w:rFonts w:asciiTheme="majorHAnsi" w:eastAsiaTheme="majorEastAsia" w:hAnsiTheme="majorHAnsi" w:cstheme="majorBidi"/>
      <w:b/>
      <w:bCs/>
      <w:color w:val="365F91" w:themeColor="accent1" w:themeShade="BF"/>
      <w:sz w:val="28"/>
      <w:szCs w:val="28"/>
    </w:rPr>
  </w:style>
  <w:style w:type="character" w:customStyle="1" w:styleId="ArticleTitle0">
    <w:name w:val="ArticleTitle Знак"/>
    <w:basedOn w:val="a0"/>
    <w:link w:val="ArticleTitle"/>
    <w:rsid w:val="005827E1"/>
    <w:rPr>
      <w:rFonts w:ascii="Times New Roman" w:hAnsi="Times New Roman" w:cs="Times New Roman"/>
      <w:b/>
      <w:i/>
      <w:color w:val="0000FF"/>
      <w:sz w:val="36"/>
      <w:szCs w:val="36"/>
      <w:lang w:val="en-US"/>
    </w:rPr>
  </w:style>
  <w:style w:type="table" w:customStyle="1" w:styleId="12">
    <w:name w:val="Сетка таблицы1"/>
    <w:basedOn w:val="a1"/>
    <w:next w:val="a1"/>
    <w:uiPriority w:val="59"/>
    <w:rsid w:val="002C295A"/>
    <w:pPr>
      <w:spacing w:after="0" w:line="240" w:lineRule="auto"/>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Body Text Indent"/>
    <w:basedOn w:val="a"/>
    <w:link w:val="ae"/>
    <w:semiHidden/>
    <w:rsid w:val="00165A36"/>
    <w:pPr>
      <w:spacing w:after="0" w:line="240" w:lineRule="auto"/>
      <w:ind w:left="540"/>
    </w:pPr>
    <w:rPr>
      <w:rFonts w:ascii="Times New Roman" w:eastAsia="Times New Roman" w:hAnsi="Times New Roman" w:cs="Times New Roman"/>
      <w:sz w:val="24"/>
      <w:szCs w:val="24"/>
      <w:lang w:eastAsia="ru-RU"/>
    </w:rPr>
  </w:style>
  <w:style w:type="character" w:customStyle="1" w:styleId="ae">
    <w:name w:val="Основной текст с отступом Знак"/>
    <w:basedOn w:val="a0"/>
    <w:link w:val="ad"/>
    <w:semiHidden/>
    <w:rsid w:val="00165A36"/>
    <w:rPr>
      <w:rFonts w:ascii="Times New Roman" w:eastAsia="Times New Roman" w:hAnsi="Times New Roman" w:cs="Times New Roman"/>
      <w:sz w:val="24"/>
      <w:szCs w:val="24"/>
      <w:lang w:eastAsia="ru-RU"/>
    </w:rPr>
  </w:style>
  <w:style w:type="paragraph" w:customStyle="1" w:styleId="AbsFig">
    <w:name w:val="AbsFig"/>
    <w:basedOn w:val="htmlparentstyle"/>
    <w:link w:val="AbsFig0"/>
    <w:qFormat/>
    <w:rsid w:val="001704B0"/>
    <w:pPr>
      <w:spacing w:before="200" w:after="200"/>
      <w:ind w:left="147"/>
      <w:jc w:val="center"/>
    </w:pPr>
    <w:rPr>
      <w:rFonts w:cs="Arial"/>
      <w:noProof/>
      <w:spacing w:val="-2"/>
      <w:szCs w:val="20"/>
      <w:lang w:eastAsia="ru-RU"/>
    </w:rPr>
  </w:style>
  <w:style w:type="paragraph" w:customStyle="1" w:styleId="AbsText">
    <w:name w:val="AbsText"/>
    <w:basedOn w:val="htmlparentstyle"/>
    <w:link w:val="AbsText0"/>
    <w:qFormat/>
    <w:rsid w:val="001704B0"/>
    <w:pPr>
      <w:ind w:left="147"/>
    </w:pPr>
    <w:rPr>
      <w:rFonts w:cs="Arial"/>
      <w:szCs w:val="18"/>
      <w:lang w:val="en-US"/>
    </w:rPr>
  </w:style>
  <w:style w:type="character" w:customStyle="1" w:styleId="AbsFig0">
    <w:name w:val="AbsFig Знак"/>
    <w:basedOn w:val="a0"/>
    <w:link w:val="AbsFig"/>
    <w:rsid w:val="001704B0"/>
    <w:rPr>
      <w:rFonts w:ascii="Arial" w:hAnsi="Arial" w:cs="Arial"/>
      <w:noProof/>
      <w:spacing w:val="-2"/>
      <w:szCs w:val="20"/>
      <w:lang w:eastAsia="ru-RU"/>
    </w:rPr>
  </w:style>
  <w:style w:type="paragraph" w:customStyle="1" w:styleId="Keywords">
    <w:name w:val="Keywords"/>
    <w:basedOn w:val="htmlparentstyle"/>
    <w:link w:val="Keywords0"/>
    <w:qFormat/>
    <w:rsid w:val="00EF6BD4"/>
    <w:pPr>
      <w:spacing w:before="120"/>
      <w:ind w:left="147"/>
    </w:pPr>
    <w:rPr>
      <w:rFonts w:cs="Arial"/>
      <w:lang w:val="en-US"/>
    </w:rPr>
  </w:style>
  <w:style w:type="character" w:customStyle="1" w:styleId="AbsText0">
    <w:name w:val="AbsText Знак"/>
    <w:basedOn w:val="a0"/>
    <w:link w:val="AbsText"/>
    <w:rsid w:val="001704B0"/>
    <w:rPr>
      <w:rFonts w:ascii="Arial" w:hAnsi="Arial" w:cs="Arial"/>
      <w:szCs w:val="18"/>
      <w:lang w:val="en-US"/>
    </w:rPr>
  </w:style>
  <w:style w:type="character" w:customStyle="1" w:styleId="Keywords0">
    <w:name w:val="Keywords Знак"/>
    <w:basedOn w:val="a0"/>
    <w:link w:val="Keywords"/>
    <w:rsid w:val="001704B0"/>
    <w:rPr>
      <w:rFonts w:ascii="Arial" w:hAnsi="Arial" w:cs="Arial"/>
      <w:lang w:val="en-US"/>
    </w:rPr>
  </w:style>
  <w:style w:type="character" w:customStyle="1" w:styleId="Authors0">
    <w:name w:val="Authors Знак"/>
    <w:basedOn w:val="a0"/>
    <w:link w:val="Authors"/>
    <w:rsid w:val="005827E1"/>
    <w:rPr>
      <w:rFonts w:ascii="Times New Roman" w:hAnsi="Times New Roman" w:cs="Times New Roman"/>
      <w:b/>
      <w:noProof/>
      <w:color w:val="000066"/>
      <w:sz w:val="26"/>
      <w:szCs w:val="26"/>
      <w:lang w:val="en-US"/>
    </w:rPr>
  </w:style>
  <w:style w:type="character" w:styleId="af">
    <w:name w:val="FollowedHyperlink"/>
    <w:basedOn w:val="a0"/>
    <w:uiPriority w:val="99"/>
    <w:semiHidden/>
    <w:unhideWhenUsed/>
    <w:rsid w:val="00FD0D30"/>
    <w:rPr>
      <w:color w:val="800080" w:themeColor="followedHyperlink"/>
      <w:u w:val="single"/>
    </w:rPr>
  </w:style>
  <w:style w:type="table" w:customStyle="1" w:styleId="21">
    <w:name w:val="Таблица простая 21"/>
    <w:basedOn w:val="a1"/>
    <w:uiPriority w:val="42"/>
    <w:rsid w:val="007659A9"/>
    <w:pPr>
      <w:spacing w:after="0" w:line="240" w:lineRule="auto"/>
    </w:pPr>
    <w:rPr>
      <w:rFonts w:eastAsiaTheme="minorEastAsia"/>
      <w:lang w:eastAsia="ru-RU"/>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Description">
    <w:name w:val="TableDescription"/>
    <w:basedOn w:val="htmlparentstyle"/>
    <w:link w:val="TableDescription0"/>
    <w:qFormat/>
    <w:rsid w:val="005827E1"/>
    <w:pPr>
      <w:spacing w:before="200" w:after="120"/>
      <w:jc w:val="center"/>
    </w:pPr>
    <w:rPr>
      <w:sz w:val="20"/>
    </w:rPr>
  </w:style>
  <w:style w:type="character" w:customStyle="1" w:styleId="TableDescription0">
    <w:name w:val="TableDescription Знак"/>
    <w:basedOn w:val="IllustrationDescription0"/>
    <w:link w:val="TableDescription"/>
    <w:rsid w:val="005827E1"/>
  </w:style>
  <w:style w:type="table" w:customStyle="1" w:styleId="ArticleDefaultTable">
    <w:name w:val="ArticleDefaultTable"/>
    <w:basedOn w:val="a1"/>
    <w:uiPriority w:val="99"/>
    <w:qFormat/>
    <w:rsid w:val="00025448"/>
    <w:pPr>
      <w:spacing w:after="0" w:line="240" w:lineRule="auto"/>
      <w:jc w:val="center"/>
    </w:pPr>
    <w:rPr>
      <w:rFonts w:ascii="Arial" w:hAnsi="Arial"/>
      <w:sz w:val="20"/>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rPr>
        <w:rFonts w:ascii="Arial" w:hAnsi="Arial"/>
        <w:sz w:val="20"/>
      </w:rPr>
      <w:tblPr/>
      <w:tcPr>
        <w:tcBorders>
          <w:top w:val="single" w:sz="4" w:space="0" w:color="auto"/>
          <w:left w:val="nil"/>
          <w:bottom w:val="single" w:sz="4" w:space="0" w:color="auto"/>
          <w:right w:val="nil"/>
          <w:insideH w:val="nil"/>
          <w:insideV w:val="nil"/>
          <w:tl2br w:val="nil"/>
          <w:tr2bl w:val="nil"/>
        </w:tcBorders>
      </w:tcPr>
    </w:tblStylePr>
  </w:style>
  <w:style w:type="paragraph" w:customStyle="1" w:styleId="ArticleTable">
    <w:name w:val="ArticleTable"/>
    <w:basedOn w:val="a"/>
    <w:link w:val="ArticleTable0"/>
    <w:qFormat/>
    <w:rsid w:val="00025448"/>
    <w:pPr>
      <w:autoSpaceDE w:val="0"/>
      <w:autoSpaceDN w:val="0"/>
      <w:adjustRightInd w:val="0"/>
      <w:spacing w:after="0" w:line="240" w:lineRule="auto"/>
      <w:jc w:val="center"/>
    </w:pPr>
    <w:rPr>
      <w:rFonts w:ascii="Arial" w:hAnsi="Arial" w:cs="Arial"/>
      <w:color w:val="000000" w:themeColor="text1"/>
      <w:sz w:val="20"/>
      <w:szCs w:val="16"/>
      <w:lang w:val="en-US"/>
    </w:rPr>
  </w:style>
  <w:style w:type="character" w:customStyle="1" w:styleId="ArticleTable0">
    <w:name w:val="ArticleTable Знак"/>
    <w:basedOn w:val="a0"/>
    <w:link w:val="ArticleTable"/>
    <w:rsid w:val="00025448"/>
    <w:rPr>
      <w:rFonts w:ascii="Arial" w:hAnsi="Arial" w:cs="Arial"/>
      <w:color w:val="000000" w:themeColor="text1"/>
      <w:sz w:val="20"/>
      <w:szCs w:val="16"/>
      <w:lang w:val="en-US"/>
    </w:rPr>
  </w:style>
  <w:style w:type="paragraph" w:customStyle="1" w:styleId="htmlparentstyle">
    <w:name w:val="html_parent_style"/>
    <w:basedOn w:val="a"/>
    <w:rsid w:val="00F24736"/>
    <w:pPr>
      <w:spacing w:after="0"/>
      <w:jc w:val="both"/>
    </w:pPr>
    <w:rPr>
      <w:rFonts w:ascii="Arial" w:hAnsi="Arial"/>
      <w:color w:val="263238"/>
    </w:rPr>
  </w:style>
  <w:style w:type="paragraph" w:customStyle="1" w:styleId="ArticleTableLegend">
    <w:name w:val="ArticleTableLegend"/>
    <w:basedOn w:val="a"/>
    <w:next w:val="htmlparentstyle"/>
    <w:link w:val="ArticleTableLegend0"/>
    <w:qFormat/>
    <w:rsid w:val="005827E1"/>
    <w:pPr>
      <w:spacing w:before="60" w:after="0"/>
    </w:pPr>
    <w:rPr>
      <w:rFonts w:ascii="Arial" w:hAnsi="Arial" w:cs="Times New Roman"/>
      <w:bCs/>
      <w:iCs/>
      <w:sz w:val="20"/>
      <w:szCs w:val="16"/>
      <w:lang w:val="en-US"/>
    </w:rPr>
  </w:style>
  <w:style w:type="character" w:customStyle="1" w:styleId="ArticleTableLegend0">
    <w:name w:val="ArticleTableLegend Знак"/>
    <w:basedOn w:val="a0"/>
    <w:link w:val="ArticleTableLegend"/>
    <w:rsid w:val="005827E1"/>
    <w:rPr>
      <w:rFonts w:ascii="Arial" w:hAnsi="Arial" w:cs="Times New Roman"/>
      <w:bCs/>
      <w:iCs/>
      <w:sz w:val="20"/>
      <w:szCs w:val="16"/>
      <w:lang w:val="en-US"/>
    </w:rPr>
  </w:style>
  <w:style w:type="paragraph" w:customStyle="1" w:styleId="Header1">
    <w:name w:val="Header 1"/>
    <w:basedOn w:val="a"/>
    <w:link w:val="Header10"/>
    <w:qFormat/>
    <w:rsid w:val="0024305F"/>
    <w:pPr>
      <w:spacing w:before="200"/>
    </w:pPr>
    <w:rPr>
      <w:rFonts w:ascii="Arial" w:hAnsi="Arial" w:cs="Arial"/>
      <w:b/>
      <w:lang w:val="en-US"/>
    </w:rPr>
  </w:style>
  <w:style w:type="paragraph" w:customStyle="1" w:styleId="MainText">
    <w:name w:val="Main Text"/>
    <w:basedOn w:val="a"/>
    <w:link w:val="MainText0"/>
    <w:qFormat/>
    <w:rsid w:val="0024305F"/>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24305F"/>
    <w:rPr>
      <w:rFonts w:ascii="Arial" w:hAnsi="Arial" w:cs="Arial"/>
      <w:b/>
      <w:lang w:val="en-US"/>
    </w:rPr>
  </w:style>
  <w:style w:type="character" w:customStyle="1" w:styleId="MainText0">
    <w:name w:val="Main Text Знак"/>
    <w:basedOn w:val="a0"/>
    <w:link w:val="MainText"/>
    <w:rsid w:val="0024305F"/>
    <w:rPr>
      <w:rFonts w:ascii="Times New Roman" w:hAnsi="Times New Roman" w:cs="Times New Roman"/>
      <w:sz w:val="18"/>
      <w:szCs w:val="18"/>
      <w:lang w:val="en-US"/>
    </w:rPr>
  </w:style>
  <w:style w:type="character" w:customStyle="1" w:styleId="react-xocs-alternative-link">
    <w:name w:val="react-xocs-alternative-link"/>
    <w:basedOn w:val="a0"/>
    <w:rsid w:val="0024305F"/>
  </w:style>
  <w:style w:type="character" w:customStyle="1" w:styleId="given-name">
    <w:name w:val="given-name"/>
    <w:basedOn w:val="a0"/>
    <w:rsid w:val="0024305F"/>
  </w:style>
  <w:style w:type="character" w:customStyle="1" w:styleId="text1">
    <w:name w:val="text"/>
    <w:basedOn w:val="a0"/>
    <w:rsid w:val="0024305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32931/io2507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21E5D-D935-4231-949E-570C07DC0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1462</Words>
  <Characters>8337</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VIP_Kafa</cp:lastModifiedBy>
  <cp:revision>32</cp:revision>
  <dcterms:created xsi:type="dcterms:W3CDTF">2025-07-01T17:14:00Z</dcterms:created>
  <dcterms:modified xsi:type="dcterms:W3CDTF">2025-07-31T11:44:00Z</dcterms:modified>
</cp:coreProperties>
</file>