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807BEF">
        <w:rPr>
          <w:rFonts w:ascii="Times New Roman" w:hAnsi="Times New Roman" w:cs="Times New Roman"/>
          <w:sz w:val="36"/>
          <w:szCs w:val="36"/>
          <w:lang w:val="en-US"/>
        </w:rPr>
        <w:t>, 80</w:t>
      </w:r>
      <w:r w:rsidR="00F27BF3" w:rsidRPr="006118F4">
        <w:rPr>
          <w:rFonts w:ascii="Times New Roman" w:hAnsi="Times New Roman" w:cs="Times New Roman"/>
          <w:sz w:val="36"/>
          <w:szCs w:val="36"/>
          <w:lang w:val="en-US"/>
        </w:rPr>
        <w:t>–</w:t>
      </w:r>
      <w:r w:rsidR="00807BEF">
        <w:rPr>
          <w:rFonts w:ascii="Times New Roman" w:hAnsi="Times New Roman" w:cs="Times New Roman"/>
          <w:sz w:val="36"/>
          <w:szCs w:val="36"/>
          <w:lang w:val="en-US"/>
        </w:rPr>
        <w:t>81</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807BEF">
          <w:rPr>
            <w:rFonts w:ascii="Times New Roman" w:hAnsi="Times New Roman" w:cs="Times New Roman"/>
            <w:b/>
            <w:sz w:val="24"/>
            <w:szCs w:val="24"/>
            <w:lang w:val="en-US"/>
          </w:rPr>
          <w:t>10.32931/io2528</w:t>
        </w:r>
        <w:r w:rsidR="0091084F" w:rsidRPr="00FD0D30">
          <w:rPr>
            <w:rFonts w:ascii="Times New Roman" w:hAnsi="Times New Roman" w:cs="Times New Roman"/>
            <w:b/>
            <w:sz w:val="24"/>
            <w:szCs w:val="24"/>
            <w:lang w:val="en-US"/>
          </w:rPr>
          <w:t>a</w:t>
        </w:r>
      </w:hyperlink>
    </w:p>
    <w:p w:rsidR="002801B8" w:rsidRPr="005827E1" w:rsidRDefault="00807BEF" w:rsidP="005827E1">
      <w:pPr>
        <w:pStyle w:val="ArticleTitle"/>
      </w:pPr>
      <w:r>
        <w:t>Rotational Mobility o</w:t>
      </w:r>
      <w:r w:rsidRPr="00AC328F">
        <w:t>f S</w:t>
      </w:r>
      <w:r w:rsidRPr="00AC328F">
        <w:rPr>
          <w:kern w:val="24"/>
        </w:rPr>
        <w:t>c</w:t>
      </w:r>
      <w:r w:rsidRPr="00AC328F">
        <w:rPr>
          <w:vertAlign w:val="subscript"/>
        </w:rPr>
        <w:t>2</w:t>
      </w:r>
      <w:r w:rsidRPr="00AC328F">
        <w:t>@C</w:t>
      </w:r>
      <w:r w:rsidRPr="00AC328F">
        <w:rPr>
          <w:vertAlign w:val="subscript"/>
        </w:rPr>
        <w:t>80</w:t>
      </w:r>
      <w:r>
        <w:t>CH</w:t>
      </w:r>
      <w:r w:rsidRPr="00AC328F">
        <w:rPr>
          <w:vertAlign w:val="subscript"/>
        </w:rPr>
        <w:t>2</w:t>
      </w:r>
      <w:r>
        <w:t>P</w:t>
      </w:r>
      <w:r w:rsidRPr="00AC328F">
        <w:rPr>
          <w:kern w:val="24"/>
        </w:rPr>
        <w:t>h</w:t>
      </w:r>
      <w:r>
        <w:br/>
        <w:t>Studied by EPR</w:t>
      </w:r>
      <w:r w:rsidRPr="00AC328F">
        <w:t xml:space="preserve"> Spectroscopy</w:t>
      </w:r>
    </w:p>
    <w:p w:rsidR="00F46F0E" w:rsidRPr="0091084F" w:rsidRDefault="00807BEF" w:rsidP="002801B8">
      <w:pPr>
        <w:pStyle w:val="Authors"/>
      </w:pPr>
      <w:r>
        <w:t>R. B. Zaripov*</w:t>
      </w:r>
      <w:r w:rsidRPr="00637CDF">
        <w:rPr>
          <w:i/>
        </w:rPr>
        <w:t xml:space="preserve"> </w:t>
      </w:r>
      <w:r>
        <w:t>and Yu. E. Kandrashkin</w:t>
      </w:r>
    </w:p>
    <w:p w:rsidR="008518EA" w:rsidRPr="0091084F" w:rsidRDefault="00807BEF" w:rsidP="004C2362">
      <w:pPr>
        <w:pStyle w:val="Affelations"/>
      </w:pPr>
      <w:proofErr w:type="spellStart"/>
      <w:proofErr w:type="gramStart"/>
      <w:r w:rsidRPr="005C786C">
        <w:rPr>
          <w:rFonts w:eastAsia="Arial"/>
        </w:rPr>
        <w:t>Zavoisky</w:t>
      </w:r>
      <w:proofErr w:type="spellEnd"/>
      <w:r w:rsidRPr="005C786C">
        <w:rPr>
          <w:rFonts w:eastAsia="Arial"/>
        </w:rPr>
        <w:t xml:space="preserve"> Physical-Technical Institute, FRC Kazan Scientific </w:t>
      </w:r>
      <w:proofErr w:type="spellStart"/>
      <w:r w:rsidRPr="005C786C">
        <w:rPr>
          <w:rFonts w:eastAsia="Arial"/>
        </w:rPr>
        <w:t>Center</w:t>
      </w:r>
      <w:proofErr w:type="spellEnd"/>
      <w:r>
        <w:rPr>
          <w:rFonts w:eastAsia="Arial"/>
          <w:lang w:val="en-US"/>
        </w:rPr>
        <w:t xml:space="preserve">, </w:t>
      </w:r>
      <w:r>
        <w:rPr>
          <w:rFonts w:eastAsia="Arial"/>
        </w:rPr>
        <w:t xml:space="preserve">Russian Academy of Sciences, </w:t>
      </w:r>
      <w:proofErr w:type="spellStart"/>
      <w:r>
        <w:rPr>
          <w:rFonts w:eastAsia="Arial"/>
        </w:rPr>
        <w:t>ul</w:t>
      </w:r>
      <w:proofErr w:type="spellEnd"/>
      <w:r>
        <w:rPr>
          <w:rFonts w:eastAsia="Arial"/>
        </w:rPr>
        <w:t>.</w:t>
      </w:r>
      <w:proofErr w:type="gramEnd"/>
      <w:r>
        <w:rPr>
          <w:rFonts w:eastAsia="Arial"/>
        </w:rPr>
        <w:t xml:space="preserve"> </w:t>
      </w:r>
      <w:proofErr w:type="spellStart"/>
      <w:r>
        <w:rPr>
          <w:rFonts w:eastAsia="Arial"/>
        </w:rPr>
        <w:t>Sibirskii</w:t>
      </w:r>
      <w:proofErr w:type="spellEnd"/>
      <w:r>
        <w:rPr>
          <w:rFonts w:eastAsia="Arial"/>
        </w:rPr>
        <w:t xml:space="preserve"> </w:t>
      </w:r>
      <w:proofErr w:type="spellStart"/>
      <w:r>
        <w:rPr>
          <w:rFonts w:eastAsia="Arial"/>
        </w:rPr>
        <w:t>trakt</w:t>
      </w:r>
      <w:proofErr w:type="spellEnd"/>
      <w:r>
        <w:rPr>
          <w:rFonts w:eastAsia="Arial"/>
        </w:rPr>
        <w:t xml:space="preserve"> 10/7, </w:t>
      </w:r>
      <w:r w:rsidRPr="005C786C">
        <w:rPr>
          <w:rFonts w:eastAsia="Arial"/>
        </w:rPr>
        <w:t>Kazan</w:t>
      </w:r>
      <w:r>
        <w:rPr>
          <w:rFonts w:eastAsia="Arial"/>
        </w:rPr>
        <w:t>,</w:t>
      </w:r>
      <w:r w:rsidRPr="005C786C">
        <w:rPr>
          <w:rFonts w:eastAsia="Arial"/>
        </w:rPr>
        <w:t xml:space="preserve"> 420029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807BEF">
        <w:t xml:space="preserve">R. B. </w:t>
      </w:r>
      <w:proofErr w:type="spellStart"/>
      <w:r w:rsidR="00807BEF">
        <w:t>Zaripov</w:t>
      </w:r>
      <w:proofErr w:type="spellEnd"/>
      <w:r w:rsidR="00D31C2D" w:rsidRPr="005827E1">
        <w:t>, e-mail:</w:t>
      </w:r>
      <w:r w:rsidR="00F27BF3" w:rsidRPr="005827E1">
        <w:t xml:space="preserve"> </w:t>
      </w:r>
      <w:r w:rsidR="00807BEF" w:rsidRPr="001728EC">
        <w:rPr>
          <w:rFonts w:eastAsia="Arial" w:cs="Arial"/>
          <w:szCs w:val="20"/>
        </w:rPr>
        <w:t>rb.zaripov@knc.ru</w:t>
      </w:r>
      <w:r w:rsidR="00C01303" w:rsidRPr="005827E1">
        <w:br/>
      </w:r>
      <w:r w:rsidR="00807BEF">
        <w:t xml:space="preserve">Received </w:t>
      </w:r>
      <w:r w:rsidR="001704B0" w:rsidRPr="005827E1">
        <w:t>3</w:t>
      </w:r>
      <w:r w:rsidRPr="005827E1">
        <w:t xml:space="preserve"> </w:t>
      </w:r>
      <w:r w:rsidR="00807BEF">
        <w:t>Nov</w:t>
      </w:r>
      <w:r w:rsidRPr="005827E1">
        <w:t xml:space="preserve">ember 2024; accepted </w:t>
      </w:r>
      <w:r w:rsidR="00807BEF">
        <w:t>8</w:t>
      </w:r>
      <w:r w:rsidR="001704B0" w:rsidRPr="005827E1">
        <w:t xml:space="preserve"> </w:t>
      </w:r>
      <w:r w:rsidR="00807BEF">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807BEF" w:rsidP="001704B0">
      <w:pPr>
        <w:pStyle w:val="AbsText"/>
      </w:pPr>
      <w:r w:rsidRPr="009B74A3">
        <w:t xml:space="preserve">This work summarizes the mobility properties of the </w:t>
      </w:r>
      <w:r w:rsidRPr="004C374B">
        <w:t xml:space="preserve">scandium </w:t>
      </w:r>
      <w:proofErr w:type="spellStart"/>
      <w:r>
        <w:t>d</w:t>
      </w:r>
      <w:r w:rsidRPr="004C374B">
        <w:t>imetal</w:t>
      </w:r>
      <w:proofErr w:type="spellEnd"/>
      <w:r w:rsidRPr="009B74A3">
        <w:t xml:space="preserve"> </w:t>
      </w:r>
      <w:r>
        <w:t>e</w:t>
      </w:r>
      <w:r w:rsidRPr="009B74A3">
        <w:t xml:space="preserve">ncapsulated in </w:t>
      </w:r>
      <w:r>
        <w:t>a</w:t>
      </w:r>
      <w:r w:rsidRPr="009B74A3">
        <w:t xml:space="preserve"> fullerene cage studied in detail in our previous works over a wide temperature range. It </w:t>
      </w:r>
      <w:r>
        <w:t>was shown</w:t>
      </w:r>
      <w:r w:rsidRPr="009B74A3">
        <w:t xml:space="preserve"> that in the liquid phase, the lines of the electron paramagnetic resonance (EPR) spectrum differ in </w:t>
      </w:r>
      <w:r>
        <w:t xml:space="preserve">the </w:t>
      </w:r>
      <w:r w:rsidRPr="009B74A3">
        <w:t>amplitude and width</w:t>
      </w:r>
      <w:r>
        <w:t>,</w:t>
      </w:r>
      <w:r w:rsidRPr="009B74A3">
        <w:t xml:space="preserve"> while low</w:t>
      </w:r>
      <w:r>
        <w:t>-</w:t>
      </w:r>
      <w:r w:rsidRPr="009B74A3">
        <w:t>temperature (20</w:t>
      </w:r>
      <w:r>
        <w:t>–</w:t>
      </w:r>
      <w:r w:rsidRPr="009B74A3">
        <w:t xml:space="preserve">120 K) pulse EPR measurements </w:t>
      </w:r>
      <w:r>
        <w:t>revealed</w:t>
      </w:r>
      <w:r w:rsidRPr="009B74A3">
        <w:t xml:space="preserve"> that the phase relaxation depends on the state of the total spin of scandium nuclei. The observed prope</w:t>
      </w:r>
      <w:r>
        <w:t>r</w:t>
      </w:r>
      <w:r w:rsidRPr="009B74A3">
        <w:t xml:space="preserve">ties are in good agreement with the mobility of both the fullerene and encapsulated </w:t>
      </w:r>
      <w:proofErr w:type="spellStart"/>
      <w:r>
        <w:t>d</w:t>
      </w:r>
      <w:r w:rsidRPr="009B74A3">
        <w:t>imetal</w:t>
      </w:r>
      <w:proofErr w:type="spellEnd"/>
      <w:r w:rsidRPr="009B74A3">
        <w:t xml:space="preserve"> inside.</w:t>
      </w:r>
    </w:p>
    <w:p w:rsidR="00166162" w:rsidRPr="00EF6BD4" w:rsidRDefault="00F46F0E" w:rsidP="00EF6BD4">
      <w:pPr>
        <w:pStyle w:val="Keywords"/>
        <w:rPr>
          <w:szCs w:val="20"/>
        </w:rPr>
      </w:pPr>
      <w:r w:rsidRPr="00EF6BD4">
        <w:rPr>
          <w:b/>
        </w:rPr>
        <w:t>Key words:</w:t>
      </w:r>
      <w:r w:rsidRPr="00EF6BD4">
        <w:t xml:space="preserve"> </w:t>
      </w:r>
      <w:r w:rsidR="00807BEF">
        <w:t xml:space="preserve">EPR, relaxation, </w:t>
      </w:r>
      <w:proofErr w:type="spellStart"/>
      <w:r w:rsidR="00807BEF">
        <w:t>endofullerene</w:t>
      </w:r>
      <w:proofErr w:type="spellEnd"/>
      <w:r w:rsidR="00807BEF">
        <w:t xml:space="preserve">, spin dynamics, electron spin echo, </w:t>
      </w:r>
      <w:proofErr w:type="gramStart"/>
      <w:r w:rsidR="00807BEF">
        <w:t>quantum</w:t>
      </w:r>
      <w:proofErr w:type="gramEnd"/>
      <w:r w:rsidR="00807BEF">
        <w:t xml:space="preserve"> coherence</w:t>
      </w:r>
      <w:r w:rsidR="00807BEF" w:rsidRPr="0065245B">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807BEF" w:rsidRPr="00A26C3F" w:rsidRDefault="00807BEF" w:rsidP="00807BEF">
      <w:pPr>
        <w:pStyle w:val="Text"/>
      </w:pPr>
      <w:r w:rsidRPr="00A26C3F">
        <w:t xml:space="preserve">The motion of molecules and their fragments fundamentally changes the physical and chemical properties of matter, and controlling molecular dynamics has the potential to advance a wide range of </w:t>
      </w:r>
      <w:r>
        <w:t>fields</w:t>
      </w:r>
      <w:r w:rsidRPr="00A26C3F">
        <w:t xml:space="preserve"> </w:t>
      </w:r>
      <w:r>
        <w:t>in s</w:t>
      </w:r>
      <w:r w:rsidRPr="00A26C3F">
        <w:t>cien</w:t>
      </w:r>
      <w:r>
        <w:t xml:space="preserve">ce </w:t>
      </w:r>
      <w:r w:rsidRPr="00A26C3F">
        <w:t>and technolog</w:t>
      </w:r>
      <w:r>
        <w:t>y</w:t>
      </w:r>
      <w:r w:rsidRPr="00A26C3F">
        <w:t xml:space="preserve">, including nanotechnology and quantum information. </w:t>
      </w:r>
      <w:proofErr w:type="spellStart"/>
      <w:r w:rsidRPr="00A26C3F">
        <w:t>Endofullerenes</w:t>
      </w:r>
      <w:proofErr w:type="spellEnd"/>
      <w:r w:rsidRPr="00A26C3F">
        <w:t xml:space="preserve"> have an encapsulated fragment that </w:t>
      </w:r>
      <w:r>
        <w:t>enables</w:t>
      </w:r>
      <w:r w:rsidRPr="00A26C3F">
        <w:t xml:space="preserve"> the </w:t>
      </w:r>
      <w:r>
        <w:t xml:space="preserve">core </w:t>
      </w:r>
      <w:r w:rsidRPr="00A26C3F">
        <w:t>mobility within host fullerenes. Thus, two types of motions can be studied in such molecules</w:t>
      </w:r>
      <w:r>
        <w:t>:</w:t>
      </w:r>
      <w:r w:rsidRPr="00A26C3F">
        <w:t xml:space="preserve"> the </w:t>
      </w:r>
      <w:r>
        <w:t>motion</w:t>
      </w:r>
      <w:r w:rsidRPr="00A26C3F">
        <w:t xml:space="preserve"> of the molecule as a whole and the rotation of its core. In particular, it </w:t>
      </w:r>
      <w:r>
        <w:t>was</w:t>
      </w:r>
      <w:r w:rsidRPr="00A26C3F">
        <w:t xml:space="preserve"> shown that in some fullerenes the </w:t>
      </w:r>
      <w:proofErr w:type="spellStart"/>
      <w:r w:rsidRPr="00A26C3F">
        <w:t>endohedral</w:t>
      </w:r>
      <w:proofErr w:type="spellEnd"/>
      <w:r w:rsidRPr="00A26C3F">
        <w:t xml:space="preserve"> fragment rotates inside the fullerene even when the carbon cage is frozen </w:t>
      </w:r>
      <w:r>
        <w:t>[1, 2]</w:t>
      </w:r>
      <w:r w:rsidRPr="00A26C3F">
        <w:t>.</w:t>
      </w:r>
    </w:p>
    <w:p w:rsidR="00807BEF" w:rsidRPr="00A26C3F" w:rsidRDefault="00807BEF" w:rsidP="00807BEF">
      <w:pPr>
        <w:pStyle w:val="Text"/>
      </w:pPr>
      <w:r w:rsidRPr="00A26C3F">
        <w:t xml:space="preserve">Molecular mobility can have a significant effect on spin dynamics and relaxation. </w:t>
      </w:r>
      <w:r>
        <w:t>E</w:t>
      </w:r>
      <w:r w:rsidRPr="00A26C3F">
        <w:t xml:space="preserve">PR spectroscopy is </w:t>
      </w:r>
      <w:r w:rsidRPr="00C31304">
        <w:t xml:space="preserve">one of the most powerful methods </w:t>
      </w:r>
      <w:r>
        <w:t>for</w:t>
      </w:r>
      <w:r w:rsidRPr="00C31304">
        <w:t xml:space="preserve"> study</w:t>
      </w:r>
      <w:r>
        <w:t>ing</w:t>
      </w:r>
      <w:r w:rsidRPr="00C31304">
        <w:t xml:space="preserve"> molecular dynamics. It is known that the shape</w:t>
      </w:r>
      <w:r w:rsidRPr="00A26C3F">
        <w:t xml:space="preserve"> and width of </w:t>
      </w:r>
      <w:r>
        <w:t>an</w:t>
      </w:r>
      <w:r w:rsidRPr="00A26C3F">
        <w:t xml:space="preserve"> EPR line depend on the molecular mobility. In addition, changes in </w:t>
      </w:r>
      <w:r>
        <w:t xml:space="preserve">the </w:t>
      </w:r>
      <w:r w:rsidRPr="00A26C3F">
        <w:t xml:space="preserve">position and orientation affect spin coherence and relaxation times </w:t>
      </w:r>
      <w:r>
        <w:t>[3–5]</w:t>
      </w:r>
      <w:r w:rsidRPr="00A26C3F">
        <w:t>.</w:t>
      </w:r>
      <w:r>
        <w:t xml:space="preserve"> </w:t>
      </w:r>
      <w:r w:rsidRPr="00A26C3F">
        <w:t xml:space="preserve">In the case of </w:t>
      </w:r>
      <w:proofErr w:type="spellStart"/>
      <w:r w:rsidRPr="00A26C3F">
        <w:t>endofullerenes</w:t>
      </w:r>
      <w:proofErr w:type="spellEnd"/>
      <w:r w:rsidRPr="00A26C3F">
        <w:t>, the spin system is sensitive to the mobility of both the carbon cage and encapsulated fragment.</w:t>
      </w:r>
    </w:p>
    <w:p w:rsidR="00807BEF" w:rsidRPr="00EA7061" w:rsidRDefault="00807BEF" w:rsidP="00807BEF">
      <w:pPr>
        <w:pStyle w:val="Text"/>
      </w:pPr>
      <w:r w:rsidRPr="00A26C3F">
        <w:t>Here</w:t>
      </w:r>
      <w:r>
        <w:t>in,</w:t>
      </w:r>
      <w:r w:rsidRPr="00A26C3F">
        <w:t xml:space="preserve"> we summarize</w:t>
      </w:r>
      <w:r>
        <w:t>d</w:t>
      </w:r>
      <w:r w:rsidRPr="00A26C3F">
        <w:t xml:space="preserve"> our </w:t>
      </w:r>
      <w:r w:rsidRPr="00EA7061">
        <w:t>EPR stud</w:t>
      </w:r>
      <w:r>
        <w:t>ies</w:t>
      </w:r>
      <w:r w:rsidRPr="00EA7061">
        <w:t xml:space="preserve"> </w:t>
      </w:r>
      <w:r>
        <w:t xml:space="preserve">on </w:t>
      </w:r>
      <w:r w:rsidRPr="00EA7061">
        <w:t xml:space="preserve">scandium </w:t>
      </w:r>
      <w:proofErr w:type="spellStart"/>
      <w:r>
        <w:t>d</w:t>
      </w:r>
      <w:r w:rsidRPr="00EA7061">
        <w:t>imetallofullerene</w:t>
      </w:r>
      <w:proofErr w:type="spellEnd"/>
      <w:r w:rsidRPr="00EA7061">
        <w:t xml:space="preserve">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w:t>
      </w:r>
      <w:r>
        <w:t>[4, 5]</w:t>
      </w:r>
      <w:r w:rsidRPr="00EA7061">
        <w:t xml:space="preserve">. The encapsulated fragment consists of two scandium ions sharing a single delocalized electron </w:t>
      </w:r>
      <w:r w:rsidRPr="006E2B70">
        <w:t>(</w:t>
      </w:r>
      <m:oMath>
        <m:r>
          <w:rPr>
            <w:rFonts w:ascii="Cambria Math" w:hAnsi="Cambria Math"/>
          </w:rPr>
          <m:t>S=1/2</m:t>
        </m:r>
      </m:oMath>
      <w:r w:rsidRPr="006E2B70">
        <w:t xml:space="preserve">) [6]. This electron strongly interacts (509 MHz) with two equivalent scandium </w:t>
      </w:r>
      <w:r w:rsidRPr="006E2B70">
        <w:rPr>
          <w:vertAlign w:val="superscript"/>
        </w:rPr>
        <w:t>45</w:t>
      </w:r>
      <w:r w:rsidRPr="006E2B70">
        <w:t>Sc nuclei (</w:t>
      </w:r>
      <m:oMath>
        <m:sSub>
          <m:sSubPr>
            <m:ctrlPr>
              <w:rPr>
                <w:rFonts w:ascii="Cambria Math" w:hAnsi="Cambria Math"/>
                <w:i/>
              </w:rPr>
            </m:ctrlPr>
          </m:sSubPr>
          <m:e>
            <m:r>
              <w:rPr>
                <w:rFonts w:ascii="Cambria Math" w:hAnsi="Cambria Math"/>
              </w:rPr>
              <m:t>I</m:t>
            </m:r>
          </m:e>
          <m:sub>
            <m:r>
              <w:rPr>
                <w:rFonts w:ascii="Cambria Math" w:hAnsi="Cambria Math"/>
                <w:vertAlign w:val="subscript"/>
              </w:rPr>
              <m:t>Sc</m:t>
            </m:r>
          </m:sub>
        </m:sSub>
        <m:r>
          <w:rPr>
            <w:rFonts w:ascii="Cambria Math" w:hAnsi="Cambria Math"/>
          </w:rPr>
          <m:t>=7/2</m:t>
        </m:r>
      </m:oMath>
      <w:r w:rsidRPr="006E2B70">
        <w:t>). As a result</w:t>
      </w:r>
      <w:r w:rsidRPr="00EA7061">
        <w:t xml:space="preserve">, the spin state of the scandium nuclei is characterized by a total spin, which </w:t>
      </w:r>
      <w:r w:rsidRPr="00EA7061">
        <w:lastRenderedPageBreak/>
        <w:t>has one of the possible values</w:t>
      </w:r>
      <w:r>
        <w:t xml:space="preserve"> </w:t>
      </w:r>
      <w:r w:rsidRPr="009B26BA">
        <w:rPr>
          <w:i/>
          <w:iCs/>
        </w:rPr>
        <w:t>I</w:t>
      </w:r>
      <w:r>
        <w:t xml:space="preserve"> = 0–7</w:t>
      </w:r>
      <w:r w:rsidRPr="00EA7061">
        <w:t xml:space="preserve"> and a magnetic quantum number</w:t>
      </w:r>
      <w:r>
        <w:t xml:space="preserve"> </w:t>
      </w:r>
      <w:r w:rsidRPr="009B26BA">
        <w:rPr>
          <w:i/>
          <w:iCs/>
        </w:rPr>
        <w:t>m</w:t>
      </w:r>
      <w:r w:rsidRPr="00EA7061">
        <w:t>. The strong hyperfine interaction (HFI) splits all spin sublevels</w:t>
      </w:r>
      <w:r>
        <w:t>,</w:t>
      </w:r>
      <w:r w:rsidRPr="00EA7061">
        <w:t xml:space="preserve"> and all 64 lines of the EPR spectrum are resolved. The spin structure of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is well known </w:t>
      </w:r>
      <w:r>
        <w:t>[3, 4]</w:t>
      </w:r>
      <w:r w:rsidRPr="00EA7061">
        <w:t>, so that</w:t>
      </w:r>
      <w:r>
        <w:t>,</w:t>
      </w:r>
      <w:r w:rsidRPr="00EA7061">
        <w:t xml:space="preserve"> despite </w:t>
      </w:r>
      <w:r>
        <w:t>the</w:t>
      </w:r>
      <w:r w:rsidRPr="00EA7061">
        <w:t xml:space="preserve"> large number of resonance lines, each of them can be unambiguously assigned to a specific state of the nuclear spin </w:t>
      </w:r>
      <w:r>
        <w:rPr>
          <w:rFonts w:eastAsiaTheme="minorEastAsia"/>
        </w:rPr>
        <w:t>(</w:t>
      </w:r>
      <w:r w:rsidRPr="00415C3D">
        <w:rPr>
          <w:rFonts w:eastAsiaTheme="minorEastAsia"/>
          <w:i/>
          <w:iCs/>
        </w:rPr>
        <w:t>I</w:t>
      </w:r>
      <w:r>
        <w:rPr>
          <w:rFonts w:eastAsiaTheme="minorEastAsia"/>
        </w:rPr>
        <w:t xml:space="preserve">, </w:t>
      </w:r>
      <w:r w:rsidRPr="00415C3D">
        <w:rPr>
          <w:rFonts w:eastAsiaTheme="minorEastAsia"/>
          <w:i/>
          <w:iCs/>
        </w:rPr>
        <w:t>m</w:t>
      </w:r>
      <w:r>
        <w:rPr>
          <w:rFonts w:eastAsiaTheme="minorEastAsia"/>
        </w:rPr>
        <w:t>).</w:t>
      </w:r>
    </w:p>
    <w:p w:rsidR="00807BEF" w:rsidRPr="00EA7061" w:rsidRDefault="00807BEF" w:rsidP="00807BEF">
      <w:pPr>
        <w:pStyle w:val="Text"/>
      </w:pPr>
      <w:r w:rsidRPr="00EA7061">
        <w:t xml:space="preserve">The study of </w:t>
      </w:r>
      <w:r>
        <w:t xml:space="preserve">the </w:t>
      </w:r>
      <w:proofErr w:type="spellStart"/>
      <w:r>
        <w:t>d</w:t>
      </w:r>
      <w:r w:rsidRPr="00EA7061">
        <w:t>imetallofullerene</w:t>
      </w:r>
      <w:proofErr w:type="spellEnd"/>
      <w:r w:rsidRPr="00EA7061">
        <w:t xml:space="preserve"> in a wide temperature range by both steady-state and pulse EPR allow</w:t>
      </w:r>
      <w:r>
        <w:t xml:space="preserve">ed for </w:t>
      </w:r>
      <w:r w:rsidRPr="00EA7061">
        <w:t>observ</w:t>
      </w:r>
      <w:r>
        <w:t xml:space="preserve">ing </w:t>
      </w:r>
      <w:r w:rsidRPr="00EA7061">
        <w:t xml:space="preserve">different regimes of molecular motion. It </w:t>
      </w:r>
      <w:r>
        <w:t>was</w:t>
      </w:r>
      <w:r w:rsidRPr="00EA7061">
        <w:t xml:space="preserve"> shown that the rotational motion of the </w:t>
      </w:r>
      <w:proofErr w:type="spellStart"/>
      <w:r>
        <w:t>d</w:t>
      </w:r>
      <w:r w:rsidRPr="00EA7061">
        <w:t>imetallic</w:t>
      </w:r>
      <w:proofErr w:type="spellEnd"/>
      <w:r w:rsidRPr="00EA7061">
        <w:t xml:space="preserve"> unit</w:t>
      </w:r>
      <w:r w:rsidRPr="00EA7061" w:rsidDel="00586EEE">
        <w:t xml:space="preserve"> </w:t>
      </w:r>
      <w:r w:rsidRPr="00EA7061">
        <w:t>significantly affects the EPR line broadening and phase relaxation time. The variation of these properties, which are specific to the nuclear spin</w:t>
      </w:r>
      <w:r>
        <w:t xml:space="preserve"> </w:t>
      </w:r>
      <w:r>
        <w:rPr>
          <w:rFonts w:eastAsiaTheme="minorEastAsia"/>
        </w:rPr>
        <w:t>(</w:t>
      </w:r>
      <w:r w:rsidRPr="00415C3D">
        <w:rPr>
          <w:rFonts w:eastAsiaTheme="minorEastAsia"/>
          <w:i/>
          <w:iCs/>
        </w:rPr>
        <w:t>I</w:t>
      </w:r>
      <w:r>
        <w:rPr>
          <w:rFonts w:eastAsiaTheme="minorEastAsia"/>
        </w:rPr>
        <w:t xml:space="preserve">, </w:t>
      </w:r>
      <w:r w:rsidRPr="00415C3D">
        <w:rPr>
          <w:rFonts w:eastAsiaTheme="minorEastAsia"/>
          <w:i/>
          <w:iCs/>
        </w:rPr>
        <w:t>m</w:t>
      </w:r>
      <w:r>
        <w:rPr>
          <w:rFonts w:eastAsiaTheme="minorEastAsia"/>
        </w:rPr>
        <w:t>)</w:t>
      </w:r>
      <w:r w:rsidRPr="00EA7061">
        <w:t xml:space="preserve">, indicates that the motion of the </w:t>
      </w:r>
      <w:proofErr w:type="spellStart"/>
      <w:r>
        <w:t>d</w:t>
      </w:r>
      <w:r w:rsidRPr="00EA7061">
        <w:t>imetallic</w:t>
      </w:r>
      <w:proofErr w:type="spellEnd"/>
      <w:r w:rsidRPr="00EA7061">
        <w:t xml:space="preserve"> unit within the fullerene cage persists down to 100 K </w:t>
      </w:r>
      <w:r>
        <w:t>[5]</w:t>
      </w:r>
      <w:r w:rsidRPr="00EA7061">
        <w:t>.</w:t>
      </w:r>
    </w:p>
    <w:p w:rsidR="00807BEF" w:rsidRPr="00EA7061" w:rsidRDefault="00807BEF" w:rsidP="00807BEF">
      <w:pPr>
        <w:pStyle w:val="MainHeader"/>
      </w:pPr>
      <w:r w:rsidRPr="003B304C">
        <w:t xml:space="preserve">Molecular mobility of </w:t>
      </w:r>
      <w:r>
        <w:t xml:space="preserve">the </w:t>
      </w:r>
      <w:proofErr w:type="spellStart"/>
      <w:r>
        <w:t>d</w:t>
      </w:r>
      <w:r w:rsidRPr="003B304C">
        <w:t>imetallofullerene</w:t>
      </w:r>
      <w:proofErr w:type="spellEnd"/>
    </w:p>
    <w:p w:rsidR="00807BEF" w:rsidRPr="002D5546" w:rsidRDefault="00807BEF" w:rsidP="00807BEF">
      <w:pPr>
        <w:pStyle w:val="Text"/>
        <w:rPr>
          <w:lang w:val="en-US"/>
        </w:rPr>
      </w:pPr>
      <w:r w:rsidRPr="00EA7061">
        <w:rPr>
          <w:lang w:val="en-US"/>
        </w:rPr>
        <w:t>The high-temperature spectra of Sc</w:t>
      </w:r>
      <w:r w:rsidRPr="00EA7061">
        <w:rPr>
          <w:vertAlign w:val="subscript"/>
          <w:lang w:val="en-US"/>
        </w:rPr>
        <w:t>2</w:t>
      </w:r>
      <w:r w:rsidRPr="00EA7061">
        <w:rPr>
          <w:lang w:val="en-US"/>
        </w:rPr>
        <w:t>@C</w:t>
      </w:r>
      <w:r w:rsidRPr="00EA7061">
        <w:rPr>
          <w:vertAlign w:val="subscript"/>
          <w:lang w:val="en-US"/>
        </w:rPr>
        <w:t>80</w:t>
      </w:r>
      <w:r w:rsidRPr="00EA7061">
        <w:rPr>
          <w:lang w:val="en-US"/>
        </w:rPr>
        <w:t>CH</w:t>
      </w:r>
      <w:r w:rsidRPr="00EA7061">
        <w:rPr>
          <w:vertAlign w:val="subscript"/>
          <w:lang w:val="en-US"/>
        </w:rPr>
        <w:t>2</w:t>
      </w:r>
      <w:r w:rsidRPr="00EA7061">
        <w:rPr>
          <w:lang w:val="en-US"/>
        </w:rPr>
        <w:t>Ph were studied by continuous wave EPR</w:t>
      </w:r>
      <w:r>
        <w:rPr>
          <w:lang w:val="en-US"/>
        </w:rPr>
        <w:t xml:space="preserve"> spectroscopy</w:t>
      </w:r>
      <w:r w:rsidRPr="00EA7061">
        <w:rPr>
          <w:lang w:val="en-US"/>
        </w:rPr>
        <w:t>. The resonance positions of the EPR lines at temperatures 230</w:t>
      </w:r>
      <w:r>
        <w:rPr>
          <w:lang w:val="en-US"/>
        </w:rPr>
        <w:t>–</w:t>
      </w:r>
      <w:r w:rsidRPr="00EA7061">
        <w:rPr>
          <w:lang w:val="en-US"/>
        </w:rPr>
        <w:t xml:space="preserve">300 K are determined by </w:t>
      </w:r>
      <w:r>
        <w:rPr>
          <w:lang w:val="en-US"/>
        </w:rPr>
        <w:t xml:space="preserve">the </w:t>
      </w:r>
      <w:r w:rsidRPr="00EA7061">
        <w:rPr>
          <w:lang w:val="en-US"/>
        </w:rPr>
        <w:t>isotropic Zeeman (</w:t>
      </w:r>
      <m:oMath>
        <m:r>
          <w:rPr>
            <w:rFonts w:ascii="Cambria Math" w:hAnsi="Cambria Math"/>
            <w:lang w:val="en-US"/>
          </w:rPr>
          <m:t>ω</m:t>
        </m:r>
      </m:oMath>
      <w:r w:rsidRPr="00EA7061">
        <w:rPr>
          <w:rFonts w:eastAsiaTheme="minorEastAsia"/>
          <w:lang w:val="en-US"/>
        </w:rPr>
        <w:t>)</w:t>
      </w:r>
      <w:r w:rsidRPr="00EA7061">
        <w:rPr>
          <w:lang w:val="en-US"/>
        </w:rPr>
        <w:t xml:space="preserve"> and hyperfine (</w:t>
      </w:r>
      <m:oMath>
        <m:r>
          <w:rPr>
            <w:rFonts w:ascii="Cambria Math" w:hAnsi="Cambria Math"/>
            <w:lang w:val="en-US"/>
          </w:rPr>
          <m:t>a</m:t>
        </m:r>
      </m:oMath>
      <w:r w:rsidRPr="00EA7061">
        <w:rPr>
          <w:rFonts w:eastAsiaTheme="minorEastAsia"/>
          <w:lang w:val="en-US"/>
        </w:rPr>
        <w:t xml:space="preserve">) </w:t>
      </w:r>
      <w:r w:rsidRPr="00EA7061">
        <w:rPr>
          <w:lang w:val="en-US"/>
        </w:rPr>
        <w:t>interactions. Due to the large HFI</w:t>
      </w:r>
      <w:r>
        <w:rPr>
          <w:lang w:val="en-US"/>
        </w:rPr>
        <w:t>,</w:t>
      </w:r>
      <w:r w:rsidRPr="00EA7061">
        <w:rPr>
          <w:lang w:val="en-US"/>
        </w:rPr>
        <w:t xml:space="preserve"> the flip-flop terms of the HFI Hamiltonian </w:t>
      </w:r>
      <w:r>
        <w:rPr>
          <w:lang w:val="en-US"/>
        </w:rPr>
        <w:t>affect</w:t>
      </w:r>
      <w:r w:rsidRPr="00EA7061">
        <w:rPr>
          <w:lang w:val="en-US"/>
        </w:rPr>
        <w:t xml:space="preserve"> the resonance conditions</w:t>
      </w:r>
      <w:r>
        <w:rPr>
          <w:lang w:val="en-US"/>
        </w:rPr>
        <w:t>. T</w:t>
      </w:r>
      <w:r w:rsidRPr="00EA7061">
        <w:rPr>
          <w:lang w:val="en-US"/>
        </w:rPr>
        <w:t>hus</w:t>
      </w:r>
      <w:r>
        <w:rPr>
          <w:lang w:val="en-US"/>
        </w:rPr>
        <w:t>,</w:t>
      </w:r>
      <w:r w:rsidRPr="00EA7061">
        <w:rPr>
          <w:lang w:val="en-US"/>
        </w:rPr>
        <w:t xml:space="preserve"> the higher order terms in the expansion of resonance fields over the factor (</w:t>
      </w:r>
      <m:oMath>
        <m:r>
          <w:rPr>
            <w:rFonts w:ascii="Cambria Math" w:hAnsi="Cambria Math"/>
            <w:lang w:val="en-US"/>
          </w:rPr>
          <m:t>ma/ω</m:t>
        </m:r>
      </m:oMath>
      <w:r w:rsidRPr="00EA7061">
        <w:rPr>
          <w:lang w:val="en-US"/>
        </w:rPr>
        <w:t xml:space="preserve">) are significant. Due to this property, the </w:t>
      </w:r>
      <w:proofErr w:type="spellStart"/>
      <w:r>
        <w:rPr>
          <w:lang w:val="en-US"/>
        </w:rPr>
        <w:t>d</w:t>
      </w:r>
      <w:r w:rsidRPr="00EA7061">
        <w:rPr>
          <w:lang w:val="en-US"/>
        </w:rPr>
        <w:t>imetallofullerenes</w:t>
      </w:r>
      <w:proofErr w:type="spellEnd"/>
      <w:r w:rsidRPr="00EA7061">
        <w:rPr>
          <w:lang w:val="en-US"/>
        </w:rPr>
        <w:t xml:space="preserve"> with the same </w:t>
      </w:r>
      <m:oMath>
        <m:r>
          <w:rPr>
            <w:rFonts w:ascii="Cambria Math" w:hAnsi="Cambria Math"/>
          </w:rPr>
          <m:t>m</m:t>
        </m:r>
      </m:oMath>
      <w:r w:rsidRPr="00EA7061">
        <w:rPr>
          <w:lang w:val="en-US"/>
        </w:rPr>
        <w:t>-value but differ</w:t>
      </w:r>
      <w:proofErr w:type="spellStart"/>
      <w:r>
        <w:rPr>
          <w:lang w:val="en-US"/>
        </w:rPr>
        <w:t>ing</w:t>
      </w:r>
      <w:proofErr w:type="spellEnd"/>
      <w:r>
        <w:rPr>
          <w:lang w:val="en-US"/>
        </w:rPr>
        <w:t xml:space="preserve"> in the </w:t>
      </w:r>
      <m:oMath>
        <m:r>
          <w:rPr>
            <w:rFonts w:ascii="Cambria Math" w:hAnsi="Cambria Math"/>
          </w:rPr>
          <m:t>I</m:t>
        </m:r>
      </m:oMath>
      <w:r w:rsidRPr="00EA7061">
        <w:rPr>
          <w:rFonts w:eastAsiaTheme="minorEastAsia"/>
          <w:lang w:val="en-US"/>
        </w:rPr>
        <w:t>-</w:t>
      </w:r>
      <w:r w:rsidRPr="00EA7061">
        <w:rPr>
          <w:lang w:val="en-US"/>
        </w:rPr>
        <w:t xml:space="preserve">values have different resonance positions. All 64 EPR lines are resolved and have a </w:t>
      </w:r>
      <w:proofErr w:type="spellStart"/>
      <w:r w:rsidRPr="00EA7061">
        <w:rPr>
          <w:lang w:val="en-US"/>
        </w:rPr>
        <w:t>Lorentzian</w:t>
      </w:r>
      <w:proofErr w:type="spellEnd"/>
      <w:r w:rsidRPr="00EA7061">
        <w:rPr>
          <w:lang w:val="en-US"/>
        </w:rPr>
        <w:t xml:space="preserve"> shape. The lines are broadened by incomplete averaging of the anisotropic part of the HFI (</w:t>
      </w:r>
      <m:oMath>
        <m:r>
          <w:rPr>
            <w:rFonts w:ascii="Cambria Math" w:hAnsi="Cambria Math"/>
            <w:lang w:val="en-US"/>
          </w:rPr>
          <m:t>Δa=61.4 MHz</m:t>
        </m:r>
      </m:oMath>
      <w:r w:rsidRPr="00EA7061">
        <w:rPr>
          <w:lang w:val="en-US"/>
        </w:rPr>
        <w:t xml:space="preserve">) and their widths are specific to the spin </w:t>
      </w:r>
      <w:proofErr w:type="gramStart"/>
      <w:r w:rsidRPr="00EA7061">
        <w:rPr>
          <w:lang w:val="en-US"/>
        </w:rPr>
        <w:t xml:space="preserve">state </w:t>
      </w:r>
      <m:oMath>
        <w:proofErr w:type="gramEnd"/>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m</m:t>
        </m:r>
        <m:r>
          <w:rPr>
            <w:rFonts w:ascii="Cambria Math" w:hAnsi="Cambria Math"/>
            <w:lang w:val="en-US"/>
          </w:rPr>
          <m:t>)</m:t>
        </m:r>
      </m:oMath>
      <w:r w:rsidRPr="00EA7061">
        <w:rPr>
          <w:lang w:val="en-US"/>
        </w:rPr>
        <w:t xml:space="preserve">. </w:t>
      </w:r>
      <w:r>
        <w:rPr>
          <w:lang w:val="en-US"/>
        </w:rPr>
        <w:t xml:space="preserve">The </w:t>
      </w:r>
      <w:r w:rsidRPr="00EA7061">
        <w:rPr>
          <w:lang w:val="en-US"/>
        </w:rPr>
        <w:t xml:space="preserve">EPR spectra below the melting point of the solvent (178 K) remain well resolved, although significant changes in the shape of the EPR lines are observed. In this region, the carbon cage of the fullerene is frozen and the shape of the EPR spectra is determined by the motion of the </w:t>
      </w:r>
      <w:proofErr w:type="spellStart"/>
      <w:r>
        <w:rPr>
          <w:lang w:val="en-US"/>
        </w:rPr>
        <w:t>d</w:t>
      </w:r>
      <w:r w:rsidRPr="00EA7061">
        <w:rPr>
          <w:lang w:val="en-US"/>
        </w:rPr>
        <w:t>imetallic</w:t>
      </w:r>
      <w:proofErr w:type="spellEnd"/>
      <w:r w:rsidRPr="00EA7061">
        <w:rPr>
          <w:lang w:val="en-US"/>
        </w:rPr>
        <w:t xml:space="preserve"> unit. This</w:t>
      </w:r>
      <w:r w:rsidRPr="002D5546">
        <w:rPr>
          <w:lang w:val="en-US"/>
        </w:rPr>
        <w:t xml:space="preserve"> motion partially reduces the anisotropic part of the </w:t>
      </w:r>
      <w:r w:rsidRPr="00003233">
        <w:rPr>
          <w:lang w:val="en-US"/>
        </w:rPr>
        <w:t>HFI (</w:t>
      </w:r>
      <m:oMath>
        <m:r>
          <w:rPr>
            <w:rFonts w:ascii="Cambria Math" w:hAnsi="Cambria Math"/>
            <w:lang w:val="en-US"/>
          </w:rPr>
          <m:t>Δa</m:t>
        </m:r>
      </m:oMath>
      <w:r w:rsidRPr="00003233">
        <w:rPr>
          <w:lang w:val="en-US"/>
        </w:rPr>
        <w:t>), which</w:t>
      </w:r>
      <w:r w:rsidRPr="002D5546">
        <w:rPr>
          <w:lang w:val="en-US"/>
        </w:rPr>
        <w:t xml:space="preserve"> is manifested by a change in the inhomogeneous line broadening and in the resonance conditions (the maxima of the EPR line</w:t>
      </w:r>
      <w:r>
        <w:rPr>
          <w:lang w:val="en-US"/>
        </w:rPr>
        <w:t>s</w:t>
      </w:r>
      <w:r w:rsidRPr="002D5546">
        <w:rPr>
          <w:lang w:val="en-US"/>
        </w:rPr>
        <w:t>) [4].</w:t>
      </w:r>
    </w:p>
    <w:p w:rsidR="00807BEF" w:rsidRPr="00EA7061" w:rsidRDefault="00807BEF" w:rsidP="00807BEF">
      <w:pPr>
        <w:pStyle w:val="Text"/>
        <w:rPr>
          <w:lang w:val="en-US"/>
        </w:rPr>
      </w:pPr>
      <w:r w:rsidRPr="002D5546">
        <w:rPr>
          <w:lang w:val="en-US"/>
        </w:rPr>
        <w:t xml:space="preserve">In general, the changes of the EPR lines with temperature are much smaller compared to the total </w:t>
      </w:r>
      <w:r>
        <w:rPr>
          <w:lang w:val="en-US"/>
        </w:rPr>
        <w:t xml:space="preserve">width of the </w:t>
      </w:r>
      <w:r w:rsidRPr="002D5546">
        <w:rPr>
          <w:lang w:val="en-US"/>
        </w:rPr>
        <w:t xml:space="preserve">spectrum. Therefore, the EPR spectrum of </w:t>
      </w:r>
      <w:r>
        <w:rPr>
          <w:lang w:val="en-US"/>
        </w:rPr>
        <w:t xml:space="preserve">the </w:t>
      </w:r>
      <w:proofErr w:type="spellStart"/>
      <w:r>
        <w:rPr>
          <w:lang w:val="en-US"/>
        </w:rPr>
        <w:t>d</w:t>
      </w:r>
      <w:r w:rsidRPr="009969CB">
        <w:rPr>
          <w:lang w:val="en-US"/>
        </w:rPr>
        <w:t>imetallofullerene</w:t>
      </w:r>
      <w:proofErr w:type="spellEnd"/>
      <w:r w:rsidRPr="009969CB">
        <w:rPr>
          <w:lang w:val="en-US"/>
        </w:rPr>
        <w:t xml:space="preserve"> </w:t>
      </w:r>
      <w:r w:rsidRPr="002D5546">
        <w:rPr>
          <w:lang w:val="en-US"/>
        </w:rPr>
        <w:t>is shown as a stick spectrum in the graphical abstract (</w:t>
      </w:r>
      <w:r w:rsidRPr="00003233">
        <w:rPr>
          <w:lang w:val="en-US"/>
        </w:rPr>
        <w:t xml:space="preserve">panel </w:t>
      </w:r>
      <w:r w:rsidRPr="00003233">
        <w:rPr>
          <w:b/>
          <w:lang w:val="en-US"/>
        </w:rPr>
        <w:t>A</w:t>
      </w:r>
      <w:r w:rsidRPr="00003233">
        <w:rPr>
          <w:lang w:val="en-US"/>
        </w:rPr>
        <w:t>),</w:t>
      </w:r>
      <w:r w:rsidRPr="002D5546">
        <w:rPr>
          <w:lang w:val="en-US"/>
        </w:rPr>
        <w:t xml:space="preserve"> which represents the main </w:t>
      </w:r>
      <w:r>
        <w:rPr>
          <w:lang w:val="en-US"/>
        </w:rPr>
        <w:t>peculiarities observed by the EPR methods.</w:t>
      </w:r>
      <w:r w:rsidRPr="002D5546">
        <w:rPr>
          <w:lang w:val="en-US"/>
        </w:rPr>
        <w:t xml:space="preserve"> The properties of the </w:t>
      </w:r>
      <w:r>
        <w:rPr>
          <w:lang w:val="en-US"/>
        </w:rPr>
        <w:t xml:space="preserve">resonance </w:t>
      </w:r>
      <w:r w:rsidRPr="002D5546">
        <w:rPr>
          <w:lang w:val="en-US"/>
        </w:rPr>
        <w:t xml:space="preserve">transitions presented in </w:t>
      </w:r>
      <w:r>
        <w:rPr>
          <w:lang w:val="en-US"/>
        </w:rPr>
        <w:t xml:space="preserve">the </w:t>
      </w:r>
      <w:r w:rsidRPr="002D5546">
        <w:rPr>
          <w:lang w:val="en-US"/>
        </w:rPr>
        <w:t xml:space="preserve">graphical abstract are highlighted in color. </w:t>
      </w:r>
      <w:r w:rsidRPr="00EA7061">
        <w:rPr>
          <w:lang w:val="en-US"/>
        </w:rPr>
        <w:t xml:space="preserve">The values belonging to the sub-ensembles with </w:t>
      </w:r>
      <m:oMath>
        <m:r>
          <w:rPr>
            <w:rFonts w:ascii="Cambria Math" w:hAnsi="Cambria Math"/>
          </w:rPr>
          <m:t>I</m:t>
        </m:r>
        <m:r>
          <w:rPr>
            <w:rFonts w:ascii="Cambria Math" w:hAnsi="Cambria Math"/>
            <w:lang w:val="en-US"/>
          </w:rPr>
          <m:t>=5</m:t>
        </m:r>
      </m:oMath>
      <w:r w:rsidRPr="00EA7061">
        <w:rPr>
          <w:lang w:val="en-US"/>
        </w:rPr>
        <w:t xml:space="preserve"> are marked in red and those with </w:t>
      </w:r>
      <m:oMath>
        <m:r>
          <w:rPr>
            <w:rFonts w:ascii="Cambria Math" w:hAnsi="Cambria Math"/>
          </w:rPr>
          <m:t>I</m:t>
        </m:r>
        <m:r>
          <w:rPr>
            <w:rFonts w:ascii="Cambria Math" w:hAnsi="Cambria Math"/>
            <w:lang w:val="en-US"/>
          </w:rPr>
          <m:t>=7</m:t>
        </m:r>
      </m:oMath>
      <w:r w:rsidRPr="00EA7061">
        <w:rPr>
          <w:lang w:val="en-US"/>
        </w:rPr>
        <w:t xml:space="preserve"> </w:t>
      </w:r>
      <w:r>
        <w:rPr>
          <w:lang w:val="en-US"/>
        </w:rPr>
        <w:t xml:space="preserve">are marked </w:t>
      </w:r>
      <w:r w:rsidRPr="00EA7061">
        <w:rPr>
          <w:lang w:val="en-US"/>
        </w:rPr>
        <w:t xml:space="preserve">in green. Panels </w:t>
      </w:r>
      <w:r w:rsidRPr="00EA7061">
        <w:rPr>
          <w:b/>
          <w:lang w:val="en-US"/>
        </w:rPr>
        <w:t>B</w:t>
      </w:r>
      <w:r w:rsidRPr="00EA7061">
        <w:rPr>
          <w:lang w:val="en-US"/>
        </w:rPr>
        <w:t xml:space="preserve"> and </w:t>
      </w:r>
      <w:r w:rsidRPr="00EA7061">
        <w:rPr>
          <w:b/>
          <w:lang w:val="en-US"/>
        </w:rPr>
        <w:t>C</w:t>
      </w:r>
      <w:r w:rsidRPr="00EA7061">
        <w:rPr>
          <w:lang w:val="en-US"/>
        </w:rPr>
        <w:t xml:space="preserve"> show the peak-to-peak </w:t>
      </w:r>
      <w:proofErr w:type="spellStart"/>
      <w:r w:rsidRPr="00EA7061">
        <w:rPr>
          <w:lang w:val="en-US"/>
        </w:rPr>
        <w:t>linewidths</w:t>
      </w:r>
      <w:proofErr w:type="spellEnd"/>
      <w:r w:rsidRPr="00EA7061">
        <w:rPr>
          <w:lang w:val="en-US"/>
        </w:rPr>
        <w:t xml:space="preserve"> Δ</w:t>
      </w:r>
      <w:r w:rsidRPr="00EA7061">
        <w:rPr>
          <w:i/>
          <w:lang w:val="en-US"/>
        </w:rPr>
        <w:t xml:space="preserve">B </w:t>
      </w:r>
      <w:r w:rsidRPr="00EA7061">
        <w:rPr>
          <w:lang w:val="en-US"/>
        </w:rPr>
        <w:t>for the given values of the total nuclear spin (</w:t>
      </w:r>
      <m:oMath>
        <m:r>
          <w:rPr>
            <w:rFonts w:ascii="Cambria Math" w:hAnsi="Cambria Math"/>
          </w:rPr>
          <m:t>I</m:t>
        </m:r>
        <m:r>
          <w:rPr>
            <w:rFonts w:ascii="Cambria Math" w:hAnsi="Cambria Math"/>
            <w:lang w:val="en-US"/>
          </w:rPr>
          <m:t>=5</m:t>
        </m:r>
      </m:oMath>
      <w:r w:rsidRPr="00EA7061">
        <w:rPr>
          <w:lang w:val="en-US"/>
        </w:rPr>
        <w:t xml:space="preserve"> </w:t>
      </w:r>
      <w:proofErr w:type="gramStart"/>
      <w:r w:rsidRPr="00EA7061">
        <w:rPr>
          <w:lang w:val="en-US"/>
        </w:rPr>
        <w:t xml:space="preserve">and </w:t>
      </w:r>
      <m:oMath>
        <w:proofErr w:type="gramEnd"/>
        <m:r>
          <w:rPr>
            <w:rFonts w:ascii="Cambria Math" w:hAnsi="Cambria Math"/>
          </w:rPr>
          <m:t>I</m:t>
        </m:r>
        <m:r>
          <w:rPr>
            <w:rFonts w:ascii="Cambria Math" w:hAnsi="Cambria Math"/>
            <w:lang w:val="en-US"/>
          </w:rPr>
          <m:t>=7</m:t>
        </m:r>
      </m:oMath>
      <w:r w:rsidRPr="00EA7061">
        <w:rPr>
          <w:lang w:val="en-US"/>
        </w:rPr>
        <w:t xml:space="preserve">). These data correspond to the experimental data recorded at 300 </w:t>
      </w:r>
      <w:r w:rsidRPr="00EA7061">
        <w:t>К</w:t>
      </w:r>
      <w:r w:rsidRPr="00EA7061">
        <w:rPr>
          <w:lang w:val="en-US"/>
        </w:rPr>
        <w:t xml:space="preserve">. The </w:t>
      </w:r>
      <w:proofErr w:type="spellStart"/>
      <w:r w:rsidRPr="00EA7061">
        <w:rPr>
          <w:lang w:val="en-US"/>
        </w:rPr>
        <w:t>linewidth</w:t>
      </w:r>
      <w:proofErr w:type="spellEnd"/>
      <w:r w:rsidRPr="00EA7061">
        <w:rPr>
          <w:lang w:val="en-US"/>
        </w:rPr>
        <w:t xml:space="preserve"> varies in the range of 1.06</w:t>
      </w:r>
      <w:r>
        <w:rPr>
          <w:lang w:val="en-US"/>
        </w:rPr>
        <w:t>–</w:t>
      </w:r>
      <w:r w:rsidRPr="00EA7061">
        <w:rPr>
          <w:lang w:val="en-US"/>
        </w:rPr>
        <w:t xml:space="preserve">1.55 G for </w:t>
      </w:r>
      <m:oMath>
        <m:r>
          <w:rPr>
            <w:rFonts w:ascii="Cambria Math" w:hAnsi="Cambria Math"/>
          </w:rPr>
          <m:t>I</m:t>
        </m:r>
        <m:r>
          <w:rPr>
            <w:rFonts w:ascii="Cambria Math" w:hAnsi="Cambria Math"/>
            <w:lang w:val="en-US"/>
          </w:rPr>
          <m:t>=7</m:t>
        </m:r>
      </m:oMath>
      <w:r w:rsidRPr="00EA7061">
        <w:rPr>
          <w:lang w:val="en-US"/>
        </w:rPr>
        <w:t xml:space="preserve"> and 0.77</w:t>
      </w:r>
      <w:r>
        <w:rPr>
          <w:lang w:val="en-US"/>
        </w:rPr>
        <w:t>–</w:t>
      </w:r>
      <w:r w:rsidRPr="00EA7061">
        <w:rPr>
          <w:lang w:val="en-US"/>
        </w:rPr>
        <w:t xml:space="preserve">1.07 G </w:t>
      </w:r>
      <w:proofErr w:type="gramStart"/>
      <w:r w:rsidRPr="00EA7061">
        <w:rPr>
          <w:lang w:val="en-US"/>
        </w:rPr>
        <w:t xml:space="preserve">for </w:t>
      </w:r>
      <m:oMath>
        <w:proofErr w:type="gramEnd"/>
        <m:r>
          <w:rPr>
            <w:rFonts w:ascii="Cambria Math" w:hAnsi="Cambria Math"/>
          </w:rPr>
          <m:t>I</m:t>
        </m:r>
        <m:r>
          <w:rPr>
            <w:rFonts w:ascii="Cambria Math" w:hAnsi="Cambria Math"/>
            <w:lang w:val="en-US"/>
          </w:rPr>
          <m:t>=5</m:t>
        </m:r>
      </m:oMath>
      <w:r w:rsidRPr="00EA7061">
        <w:rPr>
          <w:lang w:val="en-US"/>
        </w:rPr>
        <w:t xml:space="preserve">. Note that the peak-to-peak width (PP) and the </w:t>
      </w:r>
      <w:r>
        <w:rPr>
          <w:lang w:val="en-US"/>
        </w:rPr>
        <w:t>f</w:t>
      </w:r>
      <w:r w:rsidRPr="00EA7061">
        <w:rPr>
          <w:lang w:val="en-US"/>
        </w:rPr>
        <w:t xml:space="preserve">ull </w:t>
      </w:r>
      <w:r>
        <w:rPr>
          <w:lang w:val="en-US"/>
        </w:rPr>
        <w:t>w</w:t>
      </w:r>
      <w:r w:rsidRPr="00EA7061">
        <w:rPr>
          <w:lang w:val="en-US"/>
        </w:rPr>
        <w:t xml:space="preserve">idth at </w:t>
      </w:r>
      <w:r>
        <w:rPr>
          <w:lang w:val="en-US"/>
        </w:rPr>
        <w:t>h</w:t>
      </w:r>
      <w:r w:rsidRPr="00EA7061">
        <w:rPr>
          <w:lang w:val="en-US"/>
        </w:rPr>
        <w:t xml:space="preserve">alf </w:t>
      </w:r>
      <w:r>
        <w:rPr>
          <w:lang w:val="en-US"/>
        </w:rPr>
        <w:t>m</w:t>
      </w:r>
      <w:r w:rsidRPr="00EA7061">
        <w:rPr>
          <w:lang w:val="en-US"/>
        </w:rPr>
        <w:t xml:space="preserve">aximum (FWHM) for the </w:t>
      </w:r>
      <w:proofErr w:type="spellStart"/>
      <w:r w:rsidRPr="00EA7061">
        <w:rPr>
          <w:lang w:val="en-US"/>
        </w:rPr>
        <w:t>Lorentzian</w:t>
      </w:r>
      <w:proofErr w:type="spellEnd"/>
      <w:r w:rsidRPr="00EA7061">
        <w:rPr>
          <w:lang w:val="en-US"/>
        </w:rPr>
        <w:t xml:space="preserve"> </w:t>
      </w:r>
      <w:proofErr w:type="spellStart"/>
      <w:r w:rsidRPr="00EA7061">
        <w:rPr>
          <w:lang w:val="en-US"/>
        </w:rPr>
        <w:t>lineshape</w:t>
      </w:r>
      <w:proofErr w:type="spellEnd"/>
      <w:r w:rsidRPr="00EA7061">
        <w:rPr>
          <w:lang w:val="en-US"/>
        </w:rPr>
        <w:t xml:space="preserve"> are related </w:t>
      </w:r>
      <w:proofErr w:type="gramStart"/>
      <w:r w:rsidRPr="00EA7061">
        <w:rPr>
          <w:lang w:val="en-US"/>
        </w:rPr>
        <w:t xml:space="preserve">as </w:t>
      </w:r>
      <m:oMath>
        <w:proofErr w:type="gramEnd"/>
        <m:r>
          <m:rPr>
            <m:sty m:val="p"/>
          </m:rPr>
          <w:rPr>
            <w:rFonts w:ascii="Cambria Math" w:hAnsi="Cambria Math"/>
            <w:lang w:val="en-US"/>
          </w:rPr>
          <m:t>Δ</m:t>
        </m:r>
        <m:r>
          <w:rPr>
            <w:rFonts w:ascii="Cambria Math" w:hAnsi="Cambria Math"/>
            <w:lang w:val="en-US"/>
          </w:rPr>
          <m:t>B(PP)/</m:t>
        </m:r>
        <m:r>
          <m:rPr>
            <m:sty m:val="p"/>
          </m:rPr>
          <w:rPr>
            <w:rFonts w:ascii="Cambria Math" w:hAnsi="Cambria Math"/>
            <w:lang w:val="en-US"/>
          </w:rPr>
          <m:t>Δ</m:t>
        </m:r>
        <m:r>
          <w:rPr>
            <w:rFonts w:ascii="Cambria Math" w:hAnsi="Cambria Math"/>
            <w:lang w:val="en-US"/>
          </w:rPr>
          <m:t>B(FWHM)=</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 xml:space="preserve"> </m:t>
        </m:r>
      </m:oMath>
      <w:r w:rsidRPr="00EA7061">
        <w:rPr>
          <w:lang w:val="en-US"/>
        </w:rPr>
        <w:t xml:space="preserve">. The correlation between the linewidth and the spin state is apparent. The observed </w:t>
      </w:r>
      <w:proofErr w:type="spellStart"/>
      <w:r w:rsidRPr="00EA7061">
        <w:rPr>
          <w:lang w:val="en-US"/>
        </w:rPr>
        <w:t>linewidths</w:t>
      </w:r>
      <w:proofErr w:type="spellEnd"/>
      <w:r w:rsidRPr="00EA7061">
        <w:rPr>
          <w:lang w:val="en-US"/>
        </w:rPr>
        <w:t xml:space="preserve"> are reproduced well by the Wilson</w:t>
      </w:r>
      <w:r>
        <w:rPr>
          <w:lang w:val="en-US"/>
        </w:rPr>
        <w:t>–</w:t>
      </w:r>
      <w:proofErr w:type="spellStart"/>
      <w:r w:rsidRPr="00EA7061">
        <w:rPr>
          <w:lang w:val="en-US"/>
        </w:rPr>
        <w:t>Kivelson</w:t>
      </w:r>
      <w:proofErr w:type="spellEnd"/>
      <w:r w:rsidRPr="00EA7061">
        <w:rPr>
          <w:lang w:val="en-US"/>
        </w:rPr>
        <w:t xml:space="preserve"> series over the powers of (</w:t>
      </w:r>
      <m:oMath>
        <m:r>
          <w:rPr>
            <w:rFonts w:ascii="Cambria Math" w:hAnsi="Cambria Math"/>
            <w:lang w:val="en-US"/>
          </w:rPr>
          <m:t>ma/ω</m:t>
        </m:r>
      </m:oMath>
      <w:r w:rsidRPr="00EA7061">
        <w:rPr>
          <w:lang w:val="en-US"/>
        </w:rPr>
        <w:t xml:space="preserve">). The linewidths increase monotonically with the total </w:t>
      </w:r>
      <w:proofErr w:type="gramStart"/>
      <w:r w:rsidRPr="00EA7061">
        <w:rPr>
          <w:lang w:val="en-US"/>
        </w:rPr>
        <w:t xml:space="preserve">spin </w:t>
      </w:r>
      <m:oMath>
        <w:proofErr w:type="gramEnd"/>
        <m:r>
          <w:rPr>
            <w:rFonts w:ascii="Cambria Math" w:hAnsi="Cambria Math"/>
            <w:lang w:val="en-US"/>
          </w:rPr>
          <m:t>I</m:t>
        </m:r>
      </m:oMath>
      <w:r>
        <w:rPr>
          <w:lang w:val="en-US"/>
        </w:rPr>
        <w:t xml:space="preserve">, </w:t>
      </w:r>
      <w:r w:rsidRPr="00EA7061">
        <w:rPr>
          <w:lang w:val="en-US"/>
        </w:rPr>
        <w:t xml:space="preserve">and there is an obvious dependence on the second order of the </w:t>
      </w:r>
      <m:oMath>
        <m:r>
          <w:rPr>
            <w:rFonts w:ascii="Cambria Math" w:hAnsi="Cambria Math"/>
            <w:lang w:val="en-US"/>
          </w:rPr>
          <m:t>m</m:t>
        </m:r>
      </m:oMath>
      <w:r w:rsidRPr="00EA7061">
        <w:rPr>
          <w:lang w:val="en-US"/>
        </w:rPr>
        <w:t>-value. The presence of the hi</w:t>
      </w:r>
      <w:proofErr w:type="spellStart"/>
      <w:r w:rsidRPr="00EA7061">
        <w:rPr>
          <w:lang w:val="en-US"/>
        </w:rPr>
        <w:t>gher</w:t>
      </w:r>
      <w:proofErr w:type="spellEnd"/>
      <w:r w:rsidRPr="00EA7061">
        <w:rPr>
          <w:lang w:val="en-US"/>
        </w:rPr>
        <w:t xml:space="preserve"> order terms makes this dependence non-quadratic, as can be clearly seen by comparing the </w:t>
      </w:r>
      <w:proofErr w:type="spellStart"/>
      <w:r w:rsidRPr="00EA7061">
        <w:rPr>
          <w:lang w:val="en-US"/>
        </w:rPr>
        <w:t>linewidths</w:t>
      </w:r>
      <w:proofErr w:type="spellEnd"/>
      <w:r w:rsidRPr="00EA7061">
        <w:rPr>
          <w:lang w:val="en-US"/>
        </w:rPr>
        <w:t xml:space="preserve"> corresponding to </w:t>
      </w:r>
      <w:r>
        <w:rPr>
          <w:rFonts w:eastAsiaTheme="minorEastAsia"/>
          <w:lang w:val="en-US"/>
        </w:rPr>
        <w:t xml:space="preserve">the </w:t>
      </w:r>
      <m:oMath>
        <m:r>
          <w:rPr>
            <w:rFonts w:ascii="Cambria Math" w:hAnsi="Cambria Math"/>
            <w:lang w:val="en-US"/>
          </w:rPr>
          <m:t>m</m:t>
        </m:r>
      </m:oMath>
      <w:r w:rsidRPr="00EA7061">
        <w:rPr>
          <w:lang w:val="en-US"/>
        </w:rPr>
        <w:t>-values of opposite sign.</w:t>
      </w:r>
    </w:p>
    <w:p w:rsidR="00807BEF" w:rsidRDefault="00807BEF" w:rsidP="00807BEF">
      <w:pPr>
        <w:pStyle w:val="Text"/>
        <w:rPr>
          <w:lang w:val="en-US"/>
        </w:rPr>
      </w:pPr>
      <w:r w:rsidRPr="00EA7061">
        <w:rPr>
          <w:lang w:val="en-US"/>
        </w:rPr>
        <w:t>The low</w:t>
      </w:r>
      <w:r>
        <w:rPr>
          <w:lang w:val="en-US"/>
        </w:rPr>
        <w:t>-</w:t>
      </w:r>
      <w:r w:rsidRPr="00EA7061">
        <w:rPr>
          <w:lang w:val="en-US"/>
        </w:rPr>
        <w:t>temperature motion broadening is difficult to study by continuous wave EPR due to the poor resolution of spectra in this region. Pulse</w:t>
      </w:r>
      <w:r>
        <w:rPr>
          <w:lang w:val="en-US"/>
        </w:rPr>
        <w:t xml:space="preserve"> methods are more sensitive to </w:t>
      </w:r>
      <w:r w:rsidRPr="00EA7061">
        <w:rPr>
          <w:lang w:val="en-US"/>
        </w:rPr>
        <w:t xml:space="preserve">slow changes in the local environment of the spin system. Therefore, Hahn's spin-echo method was applied to study the molecular motion by observing the spin </w:t>
      </w:r>
      <w:proofErr w:type="spellStart"/>
      <w:r w:rsidRPr="00EA7061">
        <w:rPr>
          <w:lang w:val="en-US"/>
        </w:rPr>
        <w:t>decoherence</w:t>
      </w:r>
      <w:proofErr w:type="spellEnd"/>
      <w:r w:rsidRPr="00EA7061">
        <w:rPr>
          <w:lang w:val="en-US"/>
        </w:rPr>
        <w:t xml:space="preserve"> [5]. Panel </w:t>
      </w:r>
      <w:r w:rsidRPr="00EA7061">
        <w:rPr>
          <w:b/>
          <w:lang w:val="en-US"/>
        </w:rPr>
        <w:t>D</w:t>
      </w:r>
      <w:r w:rsidRPr="00EA7061">
        <w:rPr>
          <w:lang w:val="en-US"/>
        </w:rPr>
        <w:t xml:space="preserve"> of the graphical abstract shows the dependence of the phase relaxation time (380</w:t>
      </w:r>
      <w:r>
        <w:rPr>
          <w:lang w:val="en-US"/>
        </w:rPr>
        <w:t>–</w:t>
      </w:r>
      <w:r w:rsidRPr="00EA7061">
        <w:rPr>
          <w:lang w:val="en-US"/>
        </w:rPr>
        <w:t xml:space="preserve">680 ns) obtained for the total nuclear spin </w:t>
      </w:r>
      <m:oMath>
        <m:r>
          <w:rPr>
            <w:rFonts w:ascii="Cambria Math" w:hAnsi="Cambria Math"/>
          </w:rPr>
          <m:t>I</m:t>
        </m:r>
        <m:r>
          <w:rPr>
            <w:rFonts w:ascii="Cambria Math" w:hAnsi="Cambria Math"/>
            <w:lang w:val="en-US"/>
          </w:rPr>
          <m:t>=5</m:t>
        </m:r>
      </m:oMath>
      <w:r w:rsidRPr="00EA7061">
        <w:rPr>
          <w:lang w:val="en-US"/>
        </w:rPr>
        <w:t xml:space="preserve"> at 120 K. It can be seen that the relaxation time passes through the maximum </w:t>
      </w:r>
      <w:proofErr w:type="gramStart"/>
      <w:r w:rsidRPr="00EA7061">
        <w:rPr>
          <w:lang w:val="en-US"/>
        </w:rPr>
        <w:t xml:space="preserve">at </w:t>
      </w:r>
      <m:oMath>
        <w:proofErr w:type="gramEnd"/>
        <m:r>
          <w:rPr>
            <w:rFonts w:ascii="Cambria Math" w:hAnsi="Cambria Math"/>
            <w:lang w:val="en-US"/>
          </w:rPr>
          <m:t>m=-1</m:t>
        </m:r>
      </m:oMath>
      <w:r w:rsidRPr="00EA7061">
        <w:rPr>
          <w:lang w:val="en-US"/>
        </w:rPr>
        <w:t xml:space="preserve">. These results were explained by the influence of spectral diffusion. The rotational motion </w:t>
      </w:r>
      <w:r w:rsidRPr="00EA7061">
        <w:rPr>
          <w:lang w:val="en-US"/>
        </w:rPr>
        <w:lastRenderedPageBreak/>
        <w:t xml:space="preserve">reorients the </w:t>
      </w:r>
      <w:proofErr w:type="spellStart"/>
      <w:r>
        <w:rPr>
          <w:lang w:val="en-US"/>
        </w:rPr>
        <w:t>d</w:t>
      </w:r>
      <w:r w:rsidRPr="00EA7061">
        <w:rPr>
          <w:lang w:val="en-US"/>
        </w:rPr>
        <w:t>imetallic</w:t>
      </w:r>
      <w:proofErr w:type="spellEnd"/>
      <w:r w:rsidRPr="00EA7061">
        <w:rPr>
          <w:lang w:val="en-US"/>
        </w:rPr>
        <w:t xml:space="preserve"> unit</w:t>
      </w:r>
      <w:r w:rsidRPr="00EA7061" w:rsidDel="00586EEE">
        <w:rPr>
          <w:lang w:val="en-US"/>
        </w:rPr>
        <w:t xml:space="preserve"> </w:t>
      </w:r>
      <w:r w:rsidRPr="00EA7061">
        <w:rPr>
          <w:lang w:val="en-US"/>
        </w:rPr>
        <w:t xml:space="preserve">in </w:t>
      </w:r>
      <w:r>
        <w:rPr>
          <w:lang w:val="en-US"/>
        </w:rPr>
        <w:t>the</w:t>
      </w:r>
      <w:r w:rsidRPr="00EA7061">
        <w:rPr>
          <w:lang w:val="en-US"/>
        </w:rPr>
        <w:t xml:space="preserve"> fullerene cage. This changes the resonance conditions and destroys the spin coherence. As a result, spectral diffusion shortens the phase relaxation time of the transverse magnetization. The inhomogeneous broadening due to the anisotropy of the HFI (</w:t>
      </w:r>
      <m:oMath>
        <m:r>
          <w:rPr>
            <w:rFonts w:ascii="Cambria Math" w:hAnsi="Cambria Math"/>
            <w:lang w:val="en-US"/>
          </w:rPr>
          <m:t>Δa</m:t>
        </m:r>
      </m:oMath>
      <w:r w:rsidRPr="00EA7061">
        <w:rPr>
          <w:lang w:val="en-US"/>
        </w:rPr>
        <w:t>) depends a</w:t>
      </w:r>
      <w:proofErr w:type="spellStart"/>
      <w:r>
        <w:rPr>
          <w:lang w:val="en-US"/>
        </w:rPr>
        <w:t>lmost</w:t>
      </w:r>
      <w:proofErr w:type="spellEnd"/>
      <w:r w:rsidRPr="00EA7061">
        <w:rPr>
          <w:lang w:val="en-US"/>
        </w:rPr>
        <w:t xml:space="preserve"> linearly on the value of the magnetic quantum </w:t>
      </w:r>
      <w:proofErr w:type="gramStart"/>
      <w:r w:rsidRPr="00EA7061">
        <w:rPr>
          <w:lang w:val="en-US"/>
        </w:rPr>
        <w:t xml:space="preserve">number </w:t>
      </w:r>
      <m:oMath>
        <w:proofErr w:type="gramEnd"/>
        <m:r>
          <w:rPr>
            <w:rFonts w:ascii="Cambria Math" w:hAnsi="Cambria Math"/>
            <w:lang w:val="en-US"/>
          </w:rPr>
          <m:t>m</m:t>
        </m:r>
      </m:oMath>
      <w:r w:rsidRPr="00EA7061">
        <w:rPr>
          <w:lang w:val="en-US"/>
        </w:rPr>
        <w:t xml:space="preserve">. It </w:t>
      </w:r>
      <w:r>
        <w:rPr>
          <w:lang w:val="en-US"/>
        </w:rPr>
        <w:t>was</w:t>
      </w:r>
      <w:r w:rsidRPr="00EA7061">
        <w:rPr>
          <w:lang w:val="en-US"/>
        </w:rPr>
        <w:t xml:space="preserve"> shown that</w:t>
      </w:r>
      <w:r>
        <w:rPr>
          <w:lang w:val="en-US"/>
        </w:rPr>
        <w:t>,</w:t>
      </w:r>
      <w:r w:rsidRPr="00EA7061">
        <w:rPr>
          <w:lang w:val="en-US"/>
        </w:rPr>
        <w:t xml:space="preserve"> in the X-band experiment</w:t>
      </w:r>
      <w:r>
        <w:rPr>
          <w:lang w:val="en-US"/>
        </w:rPr>
        <w:t>,</w:t>
      </w:r>
      <w:r w:rsidRPr="00EA7061">
        <w:rPr>
          <w:lang w:val="en-US"/>
        </w:rPr>
        <w:t xml:space="preserve"> the anisotropy of the Zeeman interaction is about </w:t>
      </w:r>
      <m:oMath>
        <m:r>
          <w:rPr>
            <w:rFonts w:ascii="Cambria Math" w:hAnsi="Cambria Math"/>
            <w:lang w:val="en-US"/>
          </w:rPr>
          <m:t>Δa</m:t>
        </m:r>
      </m:oMath>
      <w:r w:rsidRPr="00EA7061">
        <w:rPr>
          <w:rFonts w:eastAsiaTheme="minorEastAsia"/>
          <w:lang w:val="en-US"/>
        </w:rPr>
        <w:t xml:space="preserve"> [5]</w:t>
      </w:r>
      <w:r w:rsidRPr="00EA7061">
        <w:rPr>
          <w:lang w:val="en-US"/>
        </w:rPr>
        <w:t xml:space="preserve">. As a result, the combined contribution of these interactions is canceled </w:t>
      </w:r>
      <w:proofErr w:type="gramStart"/>
      <w:r w:rsidRPr="00EA7061">
        <w:rPr>
          <w:lang w:val="en-US"/>
        </w:rPr>
        <w:t xml:space="preserve">at </w:t>
      </w:r>
      <m:oMath>
        <w:proofErr w:type="gramEnd"/>
        <m:r>
          <w:rPr>
            <w:rFonts w:ascii="Cambria Math" w:hAnsi="Cambria Math"/>
            <w:lang w:val="en-US"/>
          </w:rPr>
          <m:t>m=-1</m:t>
        </m:r>
      </m:oMath>
      <w:r w:rsidRPr="00EA7061">
        <w:rPr>
          <w:lang w:val="en-US"/>
        </w:rPr>
        <w:t>. This leads to a decreas</w:t>
      </w:r>
      <w:r>
        <w:rPr>
          <w:lang w:val="en-US"/>
        </w:rPr>
        <w:t xml:space="preserve">e in </w:t>
      </w:r>
      <w:r w:rsidRPr="00EA7061">
        <w:rPr>
          <w:lang w:val="en-US"/>
        </w:rPr>
        <w:t xml:space="preserve">the </w:t>
      </w:r>
      <w:proofErr w:type="spellStart"/>
      <w:r w:rsidRPr="00EA7061">
        <w:rPr>
          <w:lang w:val="en-US"/>
        </w:rPr>
        <w:t>linewidth</w:t>
      </w:r>
      <w:proofErr w:type="spellEnd"/>
      <w:r w:rsidRPr="00EA7061">
        <w:rPr>
          <w:lang w:val="en-US"/>
        </w:rPr>
        <w:t xml:space="preserve"> of the corresponding EPR line, which in turn reduces the spin diffusion effect on the phase relaxation. Changing the value of </w:t>
      </w:r>
      <m:oMath>
        <m:r>
          <w:rPr>
            <w:rFonts w:ascii="Cambria Math" w:hAnsi="Cambria Math"/>
            <w:lang w:val="en-US"/>
          </w:rPr>
          <m:t>m</m:t>
        </m:r>
      </m:oMath>
      <w:r w:rsidRPr="00EA7061">
        <w:rPr>
          <w:lang w:val="en-US"/>
        </w:rPr>
        <w:t xml:space="preserve"> in any direction from </w:t>
      </w:r>
      <m:oMath>
        <m:r>
          <w:rPr>
            <w:rFonts w:ascii="Cambria Math" w:hAnsi="Cambria Math"/>
            <w:lang w:val="en-US"/>
          </w:rPr>
          <m:t>-1</m:t>
        </m:r>
      </m:oMath>
      <w:r w:rsidRPr="00EA7061">
        <w:rPr>
          <w:lang w:val="en-US"/>
        </w:rPr>
        <w:t xml:space="preserve"> leads to an increase in the linewidth and consequently to a decrease in the spin decoher</w:t>
      </w:r>
      <w:proofErr w:type="spellStart"/>
      <w:r w:rsidRPr="00EA7061">
        <w:rPr>
          <w:lang w:val="en-US"/>
        </w:rPr>
        <w:t>ence</w:t>
      </w:r>
      <w:proofErr w:type="spellEnd"/>
      <w:r w:rsidRPr="00EA7061">
        <w:rPr>
          <w:lang w:val="en-US"/>
        </w:rPr>
        <w:t xml:space="preserve"> time</w:t>
      </w:r>
      <w:r>
        <w:rPr>
          <w:lang w:val="en-US"/>
        </w:rPr>
        <w:t>,</w:t>
      </w:r>
      <w:r w:rsidRPr="00EA7061">
        <w:rPr>
          <w:lang w:val="en-US"/>
        </w:rPr>
        <w:t xml:space="preserve"> as </w:t>
      </w:r>
      <w:r>
        <w:rPr>
          <w:lang w:val="en-US"/>
        </w:rPr>
        <w:t xml:space="preserve">was </w:t>
      </w:r>
      <w:r w:rsidRPr="00EA7061">
        <w:rPr>
          <w:lang w:val="en-US"/>
        </w:rPr>
        <w:t>observed in the experiment.</w:t>
      </w:r>
    </w:p>
    <w:p w:rsidR="00807BEF" w:rsidRDefault="00807BEF" w:rsidP="00807BEF">
      <w:pPr>
        <w:pStyle w:val="Text"/>
        <w:rPr>
          <w:lang w:val="en-US"/>
        </w:rPr>
      </w:pPr>
      <w:r w:rsidRPr="00EA7061">
        <w:rPr>
          <w:lang w:val="en-US"/>
        </w:rPr>
        <w:t xml:space="preserve">As the temperature decreases, the difference becomes less significant and practically disappears at 20 K [5]. The mobility of the </w:t>
      </w:r>
      <w:proofErr w:type="spellStart"/>
      <w:r>
        <w:rPr>
          <w:lang w:val="en-US"/>
        </w:rPr>
        <w:t>d</w:t>
      </w:r>
      <w:r w:rsidRPr="00EA7061">
        <w:rPr>
          <w:lang w:val="en-US"/>
        </w:rPr>
        <w:t>imetallic</w:t>
      </w:r>
      <w:proofErr w:type="spellEnd"/>
      <w:r w:rsidRPr="00EA7061">
        <w:rPr>
          <w:lang w:val="en-US"/>
        </w:rPr>
        <w:t xml:space="preserve"> unit</w:t>
      </w:r>
      <w:r w:rsidRPr="00EA7061" w:rsidDel="00586EEE">
        <w:rPr>
          <w:lang w:val="en-US"/>
        </w:rPr>
        <w:t xml:space="preserve"> </w:t>
      </w:r>
      <w:r w:rsidRPr="00EA7061">
        <w:rPr>
          <w:lang w:val="en-US"/>
        </w:rPr>
        <w:t xml:space="preserve">was shown to be persistent down to very low temperatures and significantly affects the </w:t>
      </w:r>
      <w:proofErr w:type="gramStart"/>
      <w:r w:rsidRPr="00EA7061">
        <w:rPr>
          <w:lang w:val="en-US"/>
        </w:rPr>
        <w:t>spin</w:t>
      </w:r>
      <w:proofErr w:type="gramEnd"/>
      <w:r w:rsidRPr="00EA7061">
        <w:rPr>
          <w:lang w:val="en-US"/>
        </w:rPr>
        <w:t xml:space="preserve"> </w:t>
      </w:r>
      <w:proofErr w:type="spellStart"/>
      <w:r w:rsidRPr="00EA7061">
        <w:rPr>
          <w:lang w:val="en-US"/>
        </w:rPr>
        <w:t>decoherence</w:t>
      </w:r>
      <w:proofErr w:type="spellEnd"/>
      <w:r w:rsidRPr="00EA7061">
        <w:rPr>
          <w:lang w:val="en-US"/>
        </w:rPr>
        <w:t xml:space="preserve"> down to 80</w:t>
      </w:r>
      <w:r>
        <w:rPr>
          <w:lang w:val="en-US"/>
        </w:rPr>
        <w:t>–</w:t>
      </w:r>
      <w:r w:rsidRPr="00EA7061">
        <w:rPr>
          <w:lang w:val="en-US"/>
        </w:rPr>
        <w:t>100 K.</w:t>
      </w:r>
    </w:p>
    <w:p w:rsidR="00807BEF" w:rsidRDefault="00807BEF" w:rsidP="00807BEF">
      <w:pPr>
        <w:pStyle w:val="MainHeader"/>
      </w:pPr>
      <w:r w:rsidRPr="00875175">
        <w:t>Conclusions</w:t>
      </w:r>
    </w:p>
    <w:p w:rsidR="00807BEF" w:rsidRDefault="00807BEF" w:rsidP="00807BEF">
      <w:pPr>
        <w:pStyle w:val="Text"/>
        <w:rPr>
          <w:lang w:val="en-US"/>
        </w:rPr>
      </w:pPr>
      <w:r w:rsidRPr="002D5546">
        <w:rPr>
          <w:lang w:val="en-US"/>
        </w:rPr>
        <w:t xml:space="preserve">The unique properties of </w:t>
      </w:r>
      <w:proofErr w:type="spellStart"/>
      <w:r w:rsidRPr="002D5546">
        <w:rPr>
          <w:lang w:val="en-US"/>
        </w:rPr>
        <w:t>endofullerene</w:t>
      </w:r>
      <w:proofErr w:type="spellEnd"/>
      <w:r w:rsidRPr="002D5546">
        <w:rPr>
          <w:lang w:val="en-US"/>
        </w:rPr>
        <w:t xml:space="preserve"> Sc</w:t>
      </w:r>
      <w:r w:rsidRPr="00AC3D94">
        <w:rPr>
          <w:vertAlign w:val="subscript"/>
          <w:lang w:val="en-US"/>
        </w:rPr>
        <w:t>2</w:t>
      </w:r>
      <w:r w:rsidRPr="002D5546">
        <w:rPr>
          <w:lang w:val="en-US"/>
        </w:rPr>
        <w:t>@C</w:t>
      </w:r>
      <w:r w:rsidRPr="00AC3D94">
        <w:rPr>
          <w:vertAlign w:val="subscript"/>
          <w:lang w:val="en-US"/>
        </w:rPr>
        <w:t>80</w:t>
      </w:r>
      <w:r w:rsidRPr="002D5546">
        <w:rPr>
          <w:lang w:val="en-US"/>
        </w:rPr>
        <w:t>CH</w:t>
      </w:r>
      <w:r w:rsidRPr="00AC3D94">
        <w:rPr>
          <w:vertAlign w:val="subscript"/>
          <w:lang w:val="en-US"/>
        </w:rPr>
        <w:t>2</w:t>
      </w:r>
      <w:r w:rsidRPr="002D5546">
        <w:rPr>
          <w:lang w:val="en-US"/>
        </w:rPr>
        <w:t xml:space="preserve">Ph </w:t>
      </w:r>
      <w:r w:rsidRPr="00002236">
        <w:rPr>
          <w:lang w:val="en-US"/>
        </w:rPr>
        <w:t>allow</w:t>
      </w:r>
      <w:r>
        <w:rPr>
          <w:lang w:val="en-US"/>
        </w:rPr>
        <w:t xml:space="preserve">ed us </w:t>
      </w:r>
      <w:r w:rsidRPr="00002236">
        <w:rPr>
          <w:lang w:val="en-US"/>
        </w:rPr>
        <w:t>to characterize the intra- and intermolecular processes associated with the spin subsystem by</w:t>
      </w:r>
      <w:r>
        <w:rPr>
          <w:lang w:val="en-US"/>
        </w:rPr>
        <w:t xml:space="preserve"> </w:t>
      </w:r>
      <w:r w:rsidRPr="00002236">
        <w:rPr>
          <w:lang w:val="en-US"/>
        </w:rPr>
        <w:t xml:space="preserve">EPR spectroscopy. It </w:t>
      </w:r>
      <w:r>
        <w:rPr>
          <w:lang w:val="en-US"/>
        </w:rPr>
        <w:t>was</w:t>
      </w:r>
      <w:r w:rsidRPr="00002236">
        <w:rPr>
          <w:lang w:val="en-US"/>
        </w:rPr>
        <w:t xml:space="preserve"> shown that the rotational mobility of the </w:t>
      </w:r>
      <w:proofErr w:type="spellStart"/>
      <w:r w:rsidRPr="00002236">
        <w:rPr>
          <w:lang w:val="en-US"/>
        </w:rPr>
        <w:t>endohedral</w:t>
      </w:r>
      <w:proofErr w:type="spellEnd"/>
      <w:r w:rsidRPr="00002236">
        <w:rPr>
          <w:lang w:val="en-US"/>
        </w:rPr>
        <w:t xml:space="preserve"> fragment in Sc</w:t>
      </w:r>
      <w:r w:rsidRPr="00002236">
        <w:rPr>
          <w:vertAlign w:val="subscript"/>
          <w:lang w:val="en-US"/>
        </w:rPr>
        <w:t>2</w:t>
      </w:r>
      <w:r w:rsidRPr="00002236">
        <w:rPr>
          <w:lang w:val="en-US"/>
        </w:rPr>
        <w:t>@C</w:t>
      </w:r>
      <w:r w:rsidRPr="00002236">
        <w:rPr>
          <w:vertAlign w:val="subscript"/>
          <w:lang w:val="en-US"/>
        </w:rPr>
        <w:t>80</w:t>
      </w:r>
      <w:r w:rsidRPr="00002236">
        <w:rPr>
          <w:lang w:val="en-US"/>
        </w:rPr>
        <w:t>CH</w:t>
      </w:r>
      <w:r w:rsidRPr="00002236">
        <w:rPr>
          <w:vertAlign w:val="subscript"/>
          <w:lang w:val="en-US"/>
        </w:rPr>
        <w:t>2</w:t>
      </w:r>
      <w:r w:rsidRPr="00002236">
        <w:rPr>
          <w:lang w:val="en-US"/>
        </w:rPr>
        <w:t>Ph manifests itself down to very low temperatures, well below the melting temperature of the solvent. This statement is based on both the analysis of EPR spectra and</w:t>
      </w:r>
      <w:r w:rsidRPr="009B3D3C">
        <w:rPr>
          <w:lang w:val="en-US"/>
        </w:rPr>
        <w:t xml:space="preserve"> the observation of the dependence of the decay time of the electron spin echo signal envelope on the magnetic quantum number </w:t>
      </w:r>
      <m:oMath>
        <m:r>
          <w:rPr>
            <w:rFonts w:ascii="Cambria Math" w:hAnsi="Cambria Math"/>
          </w:rPr>
          <m:t>m</m:t>
        </m:r>
      </m:oMath>
      <w:r w:rsidRPr="009B3D3C">
        <w:rPr>
          <w:lang w:val="en-US"/>
        </w:rPr>
        <w:t xml:space="preserve"> of the total spin </w:t>
      </w:r>
      <m:oMath>
        <m:r>
          <w:rPr>
            <w:rFonts w:ascii="Cambria Math" w:hAnsi="Cambria Math"/>
          </w:rPr>
          <m:t>I</m:t>
        </m:r>
      </m:oMath>
      <w:r w:rsidRPr="009B3D3C">
        <w:rPr>
          <w:lang w:val="en-US"/>
        </w:rPr>
        <w:t xml:space="preserve"> of two scandium nuclei</w:t>
      </w:r>
      <w:r>
        <w:rPr>
          <w:lang w:val="en-US"/>
        </w:rPr>
        <w:t>.</w:t>
      </w:r>
    </w:p>
    <w:p w:rsidR="00807BEF" w:rsidRPr="00F94740" w:rsidRDefault="00807BEF" w:rsidP="00807BEF">
      <w:pPr>
        <w:pStyle w:val="MainHeader"/>
      </w:pPr>
      <w:r w:rsidRPr="00F94740">
        <w:t>Acknowledgements</w:t>
      </w:r>
    </w:p>
    <w:p w:rsidR="00807BEF" w:rsidRPr="00D17E85" w:rsidRDefault="00807BEF" w:rsidP="00807BEF">
      <w:pPr>
        <w:pStyle w:val="Text"/>
      </w:pPr>
      <w:r w:rsidRPr="009B3D3C">
        <w:t>Th</w:t>
      </w:r>
      <w:r>
        <w:t>is work</w:t>
      </w:r>
      <w:r w:rsidRPr="009B3D3C">
        <w:t xml:space="preserve"> was supported </w:t>
      </w:r>
      <w:r>
        <w:t>by the</w:t>
      </w:r>
      <w:r w:rsidRPr="009B3D3C">
        <w:t xml:space="preserve"> R</w:t>
      </w:r>
      <w:r>
        <w:t xml:space="preserve">ussian </w:t>
      </w:r>
      <w:r w:rsidRPr="009B3D3C">
        <w:t>S</w:t>
      </w:r>
      <w:r>
        <w:t xml:space="preserve">cience </w:t>
      </w:r>
      <w:r w:rsidRPr="009B3D3C">
        <w:t>F</w:t>
      </w:r>
      <w:r>
        <w:t>oundation</w:t>
      </w:r>
      <w:r w:rsidRPr="009B3D3C">
        <w:t xml:space="preserve"> (project </w:t>
      </w:r>
      <w:r>
        <w:t xml:space="preserve">no. </w:t>
      </w:r>
      <w:r w:rsidRPr="009B3D3C">
        <w:t>22-43-04424).</w:t>
      </w:r>
    </w:p>
    <w:p w:rsidR="00807BEF" w:rsidRPr="00F94740" w:rsidRDefault="00807BEF" w:rsidP="00807BEF">
      <w:pPr>
        <w:pStyle w:val="MainHeader"/>
      </w:pPr>
      <w:r w:rsidRPr="00F94740">
        <w:t>References</w:t>
      </w:r>
    </w:p>
    <w:p w:rsidR="00807BEF" w:rsidRPr="00807BEF" w:rsidRDefault="00807BEF" w:rsidP="00807BEF">
      <w:pPr>
        <w:pStyle w:val="References"/>
        <w:rPr>
          <w:szCs w:val="16"/>
          <w:lang w:val="en-US"/>
        </w:rPr>
      </w:pPr>
      <w:r w:rsidRPr="00807BEF">
        <w:rPr>
          <w:szCs w:val="16"/>
          <w:lang w:val="en-US"/>
        </w:rPr>
        <w:t xml:space="preserve">Y. </w:t>
      </w:r>
      <w:proofErr w:type="spellStart"/>
      <w:r w:rsidRPr="00807BEF">
        <w:rPr>
          <w:szCs w:val="16"/>
          <w:lang w:val="en-US"/>
        </w:rPr>
        <w:t>Hao</w:t>
      </w:r>
      <w:proofErr w:type="spellEnd"/>
      <w:r w:rsidRPr="00807BEF">
        <w:rPr>
          <w:szCs w:val="16"/>
          <w:lang w:val="en-US"/>
        </w:rPr>
        <w:t xml:space="preserve">, Y. Wang, L. Spree, F. Liu, </w:t>
      </w:r>
      <w:proofErr w:type="spellStart"/>
      <w:r w:rsidRPr="00807BEF">
        <w:rPr>
          <w:i/>
          <w:szCs w:val="16"/>
          <w:lang w:val="en-US"/>
        </w:rPr>
        <w:t>Inorg</w:t>
      </w:r>
      <w:proofErr w:type="spellEnd"/>
      <w:r w:rsidRPr="00807BEF">
        <w:rPr>
          <w:i/>
          <w:szCs w:val="16"/>
          <w:lang w:val="en-US"/>
        </w:rPr>
        <w:t>. Chem. Front.</w:t>
      </w:r>
      <w:r w:rsidRPr="00807BEF">
        <w:rPr>
          <w:szCs w:val="16"/>
          <w:lang w:val="en-US"/>
        </w:rPr>
        <w:t xml:space="preserve">, </w:t>
      </w:r>
      <w:r w:rsidRPr="00807BEF">
        <w:rPr>
          <w:b/>
          <w:szCs w:val="16"/>
          <w:lang w:val="en-US"/>
        </w:rPr>
        <w:t>2021</w:t>
      </w:r>
      <w:r w:rsidRPr="00807BEF">
        <w:rPr>
          <w:szCs w:val="16"/>
          <w:lang w:val="en-US"/>
        </w:rPr>
        <w:t xml:space="preserve">, </w:t>
      </w:r>
      <w:r w:rsidRPr="00807BEF">
        <w:rPr>
          <w:i/>
          <w:iCs/>
          <w:szCs w:val="16"/>
          <w:lang w:val="en-US"/>
        </w:rPr>
        <w:t>8</w:t>
      </w:r>
      <w:r w:rsidRPr="00807BEF">
        <w:rPr>
          <w:szCs w:val="16"/>
          <w:lang w:val="en-US"/>
        </w:rPr>
        <w:t>, 122–126. DOI: 10.1039/D0QI01101K</w:t>
      </w:r>
    </w:p>
    <w:p w:rsidR="00807BEF" w:rsidRPr="00807BEF" w:rsidRDefault="00807BEF" w:rsidP="00807BEF">
      <w:pPr>
        <w:pStyle w:val="References"/>
        <w:rPr>
          <w:szCs w:val="16"/>
          <w:lang w:val="en-US"/>
        </w:rPr>
      </w:pPr>
      <w:r w:rsidRPr="00807BEF">
        <w:rPr>
          <w:szCs w:val="16"/>
          <w:lang w:val="en-US"/>
        </w:rPr>
        <w:t xml:space="preserve">F. Liu, L. Spree, </w:t>
      </w:r>
      <w:r w:rsidRPr="00807BEF">
        <w:rPr>
          <w:i/>
          <w:szCs w:val="16"/>
          <w:lang w:val="en-US"/>
        </w:rPr>
        <w:t xml:space="preserve">Chem. </w:t>
      </w:r>
      <w:proofErr w:type="spellStart"/>
      <w:r w:rsidRPr="00807BEF">
        <w:rPr>
          <w:i/>
          <w:szCs w:val="16"/>
          <w:lang w:val="en-US"/>
        </w:rPr>
        <w:t>Commun</w:t>
      </w:r>
      <w:proofErr w:type="spellEnd"/>
      <w:r w:rsidRPr="00807BEF">
        <w:rPr>
          <w:i/>
          <w:szCs w:val="16"/>
          <w:lang w:val="en-US"/>
        </w:rPr>
        <w:t>.</w:t>
      </w:r>
      <w:r w:rsidRPr="00807BEF">
        <w:rPr>
          <w:szCs w:val="16"/>
          <w:lang w:val="en-US"/>
        </w:rPr>
        <w:t xml:space="preserve">, </w:t>
      </w:r>
      <w:r w:rsidRPr="00807BEF">
        <w:rPr>
          <w:b/>
          <w:szCs w:val="16"/>
          <w:lang w:val="en-US"/>
        </w:rPr>
        <w:t>2019</w:t>
      </w:r>
      <w:r w:rsidRPr="00807BEF">
        <w:rPr>
          <w:szCs w:val="16"/>
          <w:lang w:val="en-US"/>
        </w:rPr>
        <w:t xml:space="preserve">, </w:t>
      </w:r>
      <w:r w:rsidRPr="00807BEF">
        <w:rPr>
          <w:i/>
          <w:iCs/>
          <w:szCs w:val="16"/>
          <w:lang w:val="en-US"/>
        </w:rPr>
        <w:t>55,</w:t>
      </w:r>
      <w:r w:rsidRPr="00807BEF">
        <w:rPr>
          <w:szCs w:val="16"/>
          <w:lang w:val="en-US"/>
        </w:rPr>
        <w:t xml:space="preserve"> 13000–13003. DOI: 10.1039/C9CC06363C</w:t>
      </w:r>
    </w:p>
    <w:p w:rsidR="00807BEF" w:rsidRPr="00807BEF" w:rsidRDefault="00807BEF" w:rsidP="00807BEF">
      <w:pPr>
        <w:pStyle w:val="References"/>
        <w:rPr>
          <w:sz w:val="32"/>
          <w:lang w:val="en-US"/>
        </w:rPr>
      </w:pPr>
      <w:r w:rsidRPr="00807BEF">
        <w:rPr>
          <w:szCs w:val="16"/>
          <w:lang w:val="en-US"/>
        </w:rPr>
        <w:t xml:space="preserve">R. B. </w:t>
      </w:r>
      <w:proofErr w:type="spellStart"/>
      <w:r w:rsidRPr="00807BEF">
        <w:rPr>
          <w:szCs w:val="16"/>
          <w:lang w:val="en-US"/>
        </w:rPr>
        <w:t>Zaripov</w:t>
      </w:r>
      <w:proofErr w:type="spellEnd"/>
      <w:r w:rsidRPr="00807BEF">
        <w:rPr>
          <w:szCs w:val="16"/>
          <w:lang w:val="en-US"/>
        </w:rPr>
        <w:t xml:space="preserve">, Yu. E. </w:t>
      </w:r>
      <w:proofErr w:type="spellStart"/>
      <w:r w:rsidRPr="00807BEF">
        <w:rPr>
          <w:szCs w:val="16"/>
          <w:lang w:val="en-US"/>
        </w:rPr>
        <w:t>Kandrashkin</w:t>
      </w:r>
      <w:proofErr w:type="spellEnd"/>
      <w:r w:rsidRPr="00807BEF">
        <w:rPr>
          <w:szCs w:val="16"/>
          <w:lang w:val="en-US"/>
        </w:rPr>
        <w:t xml:space="preserve">, K. M. </w:t>
      </w:r>
      <w:proofErr w:type="spellStart"/>
      <w:r w:rsidRPr="00807BEF">
        <w:rPr>
          <w:szCs w:val="16"/>
          <w:lang w:val="en-US"/>
        </w:rPr>
        <w:t>Salikhov</w:t>
      </w:r>
      <w:proofErr w:type="spellEnd"/>
      <w:r w:rsidRPr="00807BEF">
        <w:rPr>
          <w:szCs w:val="16"/>
          <w:lang w:val="en-US"/>
        </w:rPr>
        <w:t xml:space="preserve">, B. </w:t>
      </w:r>
      <w:proofErr w:type="spellStart"/>
      <w:r w:rsidRPr="00807BEF">
        <w:rPr>
          <w:szCs w:val="16"/>
          <w:lang w:val="en-US"/>
        </w:rPr>
        <w:t>Büchner</w:t>
      </w:r>
      <w:proofErr w:type="spellEnd"/>
      <w:r w:rsidRPr="00807BEF">
        <w:rPr>
          <w:szCs w:val="16"/>
          <w:lang w:val="en-US"/>
        </w:rPr>
        <w:t xml:space="preserve">, F. Liu, M. </w:t>
      </w:r>
      <w:proofErr w:type="spellStart"/>
      <w:r w:rsidRPr="00807BEF">
        <w:rPr>
          <w:szCs w:val="16"/>
          <w:lang w:val="en-US"/>
        </w:rPr>
        <w:t>Rosenkranz</w:t>
      </w:r>
      <w:proofErr w:type="spellEnd"/>
      <w:r w:rsidRPr="00807BEF">
        <w:rPr>
          <w:szCs w:val="16"/>
          <w:lang w:val="en-US"/>
        </w:rPr>
        <w:t xml:space="preserve">, A. A. Popov, V. </w:t>
      </w:r>
      <w:proofErr w:type="spellStart"/>
      <w:r w:rsidRPr="00807BEF">
        <w:rPr>
          <w:szCs w:val="16"/>
          <w:lang w:val="en-US"/>
        </w:rPr>
        <w:t>Kataev</w:t>
      </w:r>
      <w:proofErr w:type="spellEnd"/>
      <w:r w:rsidRPr="00807BEF">
        <w:rPr>
          <w:szCs w:val="16"/>
          <w:lang w:val="en-US"/>
        </w:rPr>
        <w:t xml:space="preserve">, </w:t>
      </w:r>
      <w:proofErr w:type="spellStart"/>
      <w:r w:rsidRPr="00807BEF">
        <w:rPr>
          <w:i/>
          <w:szCs w:val="16"/>
          <w:lang w:val="en-US"/>
        </w:rPr>
        <w:t>Nanoscale</w:t>
      </w:r>
      <w:proofErr w:type="spellEnd"/>
      <w:r w:rsidRPr="00807BEF">
        <w:rPr>
          <w:szCs w:val="16"/>
          <w:lang w:val="en-US"/>
        </w:rPr>
        <w:t xml:space="preserve">, </w:t>
      </w:r>
      <w:r w:rsidRPr="00807BEF">
        <w:rPr>
          <w:b/>
          <w:szCs w:val="16"/>
          <w:lang w:val="en-US"/>
        </w:rPr>
        <w:t>2020</w:t>
      </w:r>
      <w:r w:rsidRPr="00807BEF">
        <w:rPr>
          <w:szCs w:val="16"/>
          <w:lang w:val="en-US"/>
        </w:rPr>
        <w:t xml:space="preserve">, </w:t>
      </w:r>
      <w:r w:rsidRPr="00807BEF">
        <w:rPr>
          <w:i/>
          <w:iCs/>
          <w:szCs w:val="16"/>
          <w:lang w:val="en-US"/>
        </w:rPr>
        <w:t>12</w:t>
      </w:r>
      <w:r w:rsidRPr="00807BEF">
        <w:rPr>
          <w:szCs w:val="16"/>
          <w:lang w:val="en-US"/>
        </w:rPr>
        <w:t>, 20513–20521. DOI: 10.1039/d0nr06114j</w:t>
      </w:r>
    </w:p>
    <w:p w:rsidR="00807BEF" w:rsidRPr="00807BEF" w:rsidRDefault="00807BEF" w:rsidP="00807BEF">
      <w:pPr>
        <w:pStyle w:val="References"/>
        <w:rPr>
          <w:sz w:val="32"/>
          <w:lang w:val="en-US"/>
        </w:rPr>
      </w:pPr>
      <w:proofErr w:type="gramStart"/>
      <w:r w:rsidRPr="00807BEF">
        <w:rPr>
          <w:szCs w:val="16"/>
          <w:lang w:val="en-US"/>
        </w:rPr>
        <w:t>Yu.</w:t>
      </w:r>
      <w:proofErr w:type="gramEnd"/>
      <w:r w:rsidRPr="00807BEF">
        <w:rPr>
          <w:szCs w:val="16"/>
          <w:lang w:val="en-US"/>
        </w:rPr>
        <w:t xml:space="preserve"> E. </w:t>
      </w:r>
      <w:proofErr w:type="spellStart"/>
      <w:r w:rsidRPr="00807BEF">
        <w:rPr>
          <w:szCs w:val="16"/>
          <w:lang w:val="en-US"/>
        </w:rPr>
        <w:t>Kandrashkin</w:t>
      </w:r>
      <w:proofErr w:type="spellEnd"/>
      <w:r w:rsidRPr="00807BEF">
        <w:rPr>
          <w:szCs w:val="16"/>
          <w:lang w:val="en-US"/>
        </w:rPr>
        <w:t xml:space="preserve">, R. B. </w:t>
      </w:r>
      <w:proofErr w:type="spellStart"/>
      <w:r w:rsidRPr="00807BEF">
        <w:rPr>
          <w:szCs w:val="16"/>
          <w:lang w:val="en-US"/>
        </w:rPr>
        <w:t>Zaripov</w:t>
      </w:r>
      <w:proofErr w:type="spellEnd"/>
      <w:r w:rsidRPr="00807BEF">
        <w:rPr>
          <w:szCs w:val="16"/>
          <w:lang w:val="en-US"/>
        </w:rPr>
        <w:t xml:space="preserve">, F. Liu, B. </w:t>
      </w:r>
      <w:proofErr w:type="spellStart"/>
      <w:r w:rsidRPr="00807BEF">
        <w:rPr>
          <w:szCs w:val="16"/>
          <w:lang w:val="en-US"/>
        </w:rPr>
        <w:t>Büchner</w:t>
      </w:r>
      <w:proofErr w:type="spellEnd"/>
      <w:r w:rsidRPr="00807BEF">
        <w:rPr>
          <w:szCs w:val="16"/>
          <w:lang w:val="en-US"/>
        </w:rPr>
        <w:t xml:space="preserve">, V. </w:t>
      </w:r>
      <w:proofErr w:type="spellStart"/>
      <w:r w:rsidRPr="00807BEF">
        <w:rPr>
          <w:szCs w:val="16"/>
          <w:lang w:val="en-US"/>
        </w:rPr>
        <w:t>Kataev</w:t>
      </w:r>
      <w:proofErr w:type="spellEnd"/>
      <w:r w:rsidRPr="00807BEF">
        <w:rPr>
          <w:szCs w:val="16"/>
          <w:lang w:val="en-US"/>
        </w:rPr>
        <w:t xml:space="preserve">, A. A. Popov, </w:t>
      </w:r>
      <w:r w:rsidRPr="00807BEF">
        <w:rPr>
          <w:i/>
          <w:szCs w:val="16"/>
          <w:lang w:val="en-US"/>
        </w:rPr>
        <w:t>Phys. Chem. Chem. Phys.</w:t>
      </w:r>
      <w:r w:rsidRPr="00807BEF">
        <w:rPr>
          <w:szCs w:val="16"/>
          <w:lang w:val="en-US"/>
        </w:rPr>
        <w:t xml:space="preserve">, </w:t>
      </w:r>
      <w:r w:rsidRPr="00807BEF">
        <w:rPr>
          <w:b/>
          <w:szCs w:val="16"/>
          <w:lang w:val="en-US"/>
        </w:rPr>
        <w:t>2021</w:t>
      </w:r>
      <w:r w:rsidRPr="00807BEF">
        <w:rPr>
          <w:szCs w:val="16"/>
          <w:lang w:val="en-US"/>
        </w:rPr>
        <w:t xml:space="preserve">, </w:t>
      </w:r>
      <w:r w:rsidRPr="00807BEF">
        <w:rPr>
          <w:i/>
          <w:iCs/>
          <w:szCs w:val="16"/>
          <w:lang w:val="en-US"/>
        </w:rPr>
        <w:t>23</w:t>
      </w:r>
      <w:r w:rsidRPr="00807BEF">
        <w:rPr>
          <w:szCs w:val="16"/>
          <w:lang w:val="en-US"/>
        </w:rPr>
        <w:t>, 18206–18220. DOI: 10.1039/d1cp02237g</w:t>
      </w:r>
    </w:p>
    <w:p w:rsidR="00807BEF" w:rsidRPr="00807BEF" w:rsidRDefault="00807BEF" w:rsidP="00807BEF">
      <w:pPr>
        <w:pStyle w:val="References"/>
        <w:rPr>
          <w:sz w:val="32"/>
          <w:lang w:val="en-US"/>
        </w:rPr>
      </w:pPr>
      <w:proofErr w:type="gramStart"/>
      <w:r w:rsidRPr="00807BEF">
        <w:rPr>
          <w:szCs w:val="16"/>
          <w:lang w:val="en-US"/>
        </w:rPr>
        <w:t>Yu.</w:t>
      </w:r>
      <w:proofErr w:type="gramEnd"/>
      <w:r w:rsidRPr="00807BEF">
        <w:rPr>
          <w:szCs w:val="16"/>
          <w:lang w:val="en-US"/>
        </w:rPr>
        <w:t xml:space="preserve"> E. </w:t>
      </w:r>
      <w:proofErr w:type="spellStart"/>
      <w:r w:rsidRPr="00807BEF">
        <w:rPr>
          <w:szCs w:val="16"/>
          <w:lang w:val="en-US"/>
        </w:rPr>
        <w:t>Kandrashkin</w:t>
      </w:r>
      <w:proofErr w:type="spellEnd"/>
      <w:r w:rsidRPr="00807BEF">
        <w:rPr>
          <w:szCs w:val="16"/>
          <w:lang w:val="en-US"/>
        </w:rPr>
        <w:t xml:space="preserve">, R. B. </w:t>
      </w:r>
      <w:proofErr w:type="spellStart"/>
      <w:r w:rsidRPr="00807BEF">
        <w:rPr>
          <w:szCs w:val="16"/>
          <w:lang w:val="en-US"/>
        </w:rPr>
        <w:t>Zaripov</w:t>
      </w:r>
      <w:proofErr w:type="spellEnd"/>
      <w:r w:rsidRPr="00807BEF">
        <w:rPr>
          <w:szCs w:val="16"/>
          <w:lang w:val="en-US"/>
        </w:rPr>
        <w:t xml:space="preserve">, </w:t>
      </w:r>
      <w:r w:rsidRPr="00807BEF">
        <w:rPr>
          <w:i/>
          <w:szCs w:val="16"/>
          <w:lang w:val="en-US"/>
        </w:rPr>
        <w:t>Phys. Chem. Chem. Phys.</w:t>
      </w:r>
      <w:r w:rsidRPr="00807BEF">
        <w:rPr>
          <w:szCs w:val="16"/>
          <w:lang w:val="en-US"/>
        </w:rPr>
        <w:t xml:space="preserve">, </w:t>
      </w:r>
      <w:r w:rsidRPr="00807BEF">
        <w:rPr>
          <w:b/>
          <w:szCs w:val="16"/>
          <w:lang w:val="en-US"/>
        </w:rPr>
        <w:t>2023</w:t>
      </w:r>
      <w:r w:rsidRPr="00807BEF">
        <w:rPr>
          <w:szCs w:val="16"/>
          <w:lang w:val="en-US"/>
        </w:rPr>
        <w:t xml:space="preserve">, </w:t>
      </w:r>
      <w:r w:rsidRPr="00807BEF">
        <w:rPr>
          <w:i/>
          <w:iCs/>
          <w:szCs w:val="16"/>
          <w:lang w:val="en-US"/>
        </w:rPr>
        <w:t>25</w:t>
      </w:r>
      <w:r w:rsidRPr="00807BEF">
        <w:rPr>
          <w:szCs w:val="16"/>
          <w:lang w:val="en-US"/>
        </w:rPr>
        <w:t>, 31493–31499. DOI:</w:t>
      </w:r>
      <w:r w:rsidRPr="00807BEF">
        <w:rPr>
          <w:sz w:val="32"/>
          <w:lang w:val="en-US"/>
        </w:rPr>
        <w:t xml:space="preserve"> </w:t>
      </w:r>
      <w:r w:rsidRPr="00807BEF">
        <w:rPr>
          <w:szCs w:val="16"/>
          <w:lang w:val="en-US"/>
        </w:rPr>
        <w:t>10.1039/D3CP04335E</w:t>
      </w:r>
    </w:p>
    <w:p w:rsidR="001704B0" w:rsidRPr="00807BEF" w:rsidRDefault="00807BEF" w:rsidP="00807BEF">
      <w:pPr>
        <w:pStyle w:val="References"/>
        <w:rPr>
          <w:bCs/>
          <w:szCs w:val="16"/>
          <w:lang w:val="en-US"/>
        </w:rPr>
      </w:pPr>
      <w:r w:rsidRPr="00807BEF">
        <w:rPr>
          <w:szCs w:val="16"/>
          <w:lang w:val="en-US"/>
        </w:rPr>
        <w:t xml:space="preserve">A. A. Popov, </w:t>
      </w:r>
      <w:proofErr w:type="spellStart"/>
      <w:r w:rsidRPr="00807BEF">
        <w:rPr>
          <w:i/>
          <w:iCs/>
          <w:szCs w:val="16"/>
          <w:lang w:val="en-US"/>
        </w:rPr>
        <w:t>Endohedral</w:t>
      </w:r>
      <w:proofErr w:type="spellEnd"/>
      <w:r w:rsidRPr="00807BEF">
        <w:rPr>
          <w:i/>
          <w:iCs/>
          <w:szCs w:val="16"/>
          <w:lang w:val="en-US"/>
        </w:rPr>
        <w:t xml:space="preserve"> Fullerenes: Electron Transfer and Spin</w:t>
      </w:r>
      <w:r w:rsidRPr="00807BEF">
        <w:rPr>
          <w:szCs w:val="16"/>
          <w:lang w:val="en-US"/>
        </w:rPr>
        <w:t xml:space="preserve">, Springer, Cham, </w:t>
      </w:r>
      <w:r w:rsidRPr="00807BEF">
        <w:rPr>
          <w:b/>
          <w:szCs w:val="16"/>
          <w:lang w:val="en-US"/>
        </w:rPr>
        <w:t>2017</w:t>
      </w:r>
      <w:r w:rsidRPr="00807BEF">
        <w:rPr>
          <w:bCs/>
          <w:szCs w:val="16"/>
          <w:lang w:val="en-US"/>
        </w:rPr>
        <w:t>.</w:t>
      </w:r>
    </w:p>
    <w:sectPr w:rsidR="001704B0" w:rsidRPr="00807BEF"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80C" w:rsidRDefault="003C380C" w:rsidP="00427E5A">
      <w:pPr>
        <w:spacing w:after="0" w:line="240" w:lineRule="auto"/>
      </w:pPr>
      <w:r>
        <w:separator/>
      </w:r>
    </w:p>
    <w:p w:rsidR="003C380C" w:rsidRDefault="003C380C"/>
  </w:endnote>
  <w:endnote w:type="continuationSeparator" w:id="0">
    <w:p w:rsidR="003C380C" w:rsidRDefault="003C380C" w:rsidP="00427E5A">
      <w:pPr>
        <w:spacing w:after="0" w:line="240" w:lineRule="auto"/>
      </w:pPr>
      <w:r>
        <w:continuationSeparator/>
      </w:r>
    </w:p>
    <w:p w:rsidR="003C380C" w:rsidRDefault="003C38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80C" w:rsidRDefault="003C380C" w:rsidP="00427E5A">
      <w:pPr>
        <w:spacing w:after="0" w:line="240" w:lineRule="auto"/>
      </w:pPr>
      <w:r>
        <w:separator/>
      </w:r>
    </w:p>
    <w:p w:rsidR="003C380C" w:rsidRDefault="003C380C"/>
  </w:footnote>
  <w:footnote w:type="continuationSeparator" w:id="0">
    <w:p w:rsidR="003C380C" w:rsidRDefault="003C380C" w:rsidP="00427E5A">
      <w:pPr>
        <w:spacing w:after="0" w:line="240" w:lineRule="auto"/>
      </w:pPr>
      <w:r>
        <w:continuationSeparator/>
      </w:r>
    </w:p>
    <w:p w:rsidR="003C380C" w:rsidRDefault="003C380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B7FFD"/>
    <w:rsid w:val="003C25F2"/>
    <w:rsid w:val="003C380C"/>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07BEF"/>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1D15"/>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807BEF"/>
    <w:pPr>
      <w:spacing w:before="200"/>
    </w:pPr>
    <w:rPr>
      <w:rFonts w:ascii="Arial" w:hAnsi="Arial" w:cs="Arial"/>
      <w:b/>
      <w:lang w:val="en-US"/>
    </w:rPr>
  </w:style>
  <w:style w:type="paragraph" w:customStyle="1" w:styleId="MainText">
    <w:name w:val="Main Text"/>
    <w:basedOn w:val="a"/>
    <w:link w:val="MainText0"/>
    <w:qFormat/>
    <w:rsid w:val="00807BEF"/>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807BEF"/>
    <w:rPr>
      <w:rFonts w:ascii="Arial" w:hAnsi="Arial" w:cs="Arial"/>
      <w:b/>
      <w:lang w:val="en-US"/>
    </w:rPr>
  </w:style>
  <w:style w:type="character" w:customStyle="1" w:styleId="MainText0">
    <w:name w:val="Main Text Знак"/>
    <w:basedOn w:val="a0"/>
    <w:link w:val="MainText"/>
    <w:rsid w:val="00807BEF"/>
    <w:rPr>
      <w:rFonts w:ascii="Times New Roman" w:hAnsi="Times New Roman" w:cs="Times New Roman"/>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FC8AB-3586-47EC-AD5E-C460D97B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1428</Words>
  <Characters>8145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31</cp:revision>
  <dcterms:created xsi:type="dcterms:W3CDTF">2025-07-01T17:14:00Z</dcterms:created>
  <dcterms:modified xsi:type="dcterms:W3CDTF">2025-07-31T17:48:00Z</dcterms:modified>
</cp:coreProperties>
</file>