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6D7F39">
        <w:rPr>
          <w:rFonts w:ascii="Times New Roman" w:hAnsi="Times New Roman" w:cs="Times New Roman"/>
          <w:sz w:val="36"/>
          <w:szCs w:val="36"/>
          <w:lang w:val="en-US"/>
        </w:rPr>
        <w:t>, 84</w:t>
      </w:r>
      <w:r w:rsidR="00F27BF3" w:rsidRPr="006118F4">
        <w:rPr>
          <w:rFonts w:ascii="Times New Roman" w:hAnsi="Times New Roman" w:cs="Times New Roman"/>
          <w:sz w:val="36"/>
          <w:szCs w:val="36"/>
          <w:lang w:val="en-US"/>
        </w:rPr>
        <w:t>–</w:t>
      </w:r>
      <w:r w:rsidR="006D7F39">
        <w:rPr>
          <w:rFonts w:ascii="Times New Roman" w:hAnsi="Times New Roman" w:cs="Times New Roman"/>
          <w:sz w:val="36"/>
          <w:szCs w:val="36"/>
          <w:lang w:val="en-US"/>
        </w:rPr>
        <w:t>86</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6D7F39">
          <w:rPr>
            <w:rFonts w:ascii="Times New Roman" w:hAnsi="Times New Roman" w:cs="Times New Roman"/>
            <w:b/>
            <w:sz w:val="24"/>
            <w:szCs w:val="24"/>
            <w:lang w:val="en-US"/>
          </w:rPr>
          <w:t>10.32931/io2530</w:t>
        </w:r>
        <w:r w:rsidR="0091084F" w:rsidRPr="00FD0D30">
          <w:rPr>
            <w:rFonts w:ascii="Times New Roman" w:hAnsi="Times New Roman" w:cs="Times New Roman"/>
            <w:b/>
            <w:sz w:val="24"/>
            <w:szCs w:val="24"/>
            <w:lang w:val="en-US"/>
          </w:rPr>
          <w:t>a</w:t>
        </w:r>
      </w:hyperlink>
    </w:p>
    <w:p w:rsidR="002801B8" w:rsidRPr="006D7F39" w:rsidRDefault="006D7F39" w:rsidP="006D7F39">
      <w:pPr>
        <w:pStyle w:val="ArticleTitle"/>
      </w:pPr>
      <w:r w:rsidRPr="006D7F39">
        <w:t xml:space="preserve">Study </w:t>
      </w:r>
      <w:r>
        <w:t xml:space="preserve">of </w:t>
      </w:r>
      <w:proofErr w:type="spellStart"/>
      <w:r>
        <w:t>Aminolysis</w:t>
      </w:r>
      <w:proofErr w:type="spellEnd"/>
      <w:r>
        <w:t xml:space="preserve"> o</w:t>
      </w:r>
      <w:r w:rsidRPr="006D7F39">
        <w:t xml:space="preserve">f </w:t>
      </w:r>
      <w:proofErr w:type="spellStart"/>
      <w:r>
        <w:t>Cyclocarbonates</w:t>
      </w:r>
      <w:proofErr w:type="spellEnd"/>
      <w:r>
        <w:t xml:space="preserve"> b</w:t>
      </w:r>
      <w:r w:rsidRPr="006D7F39">
        <w:t xml:space="preserve">y </w:t>
      </w:r>
      <w:proofErr w:type="spellStart"/>
      <w:r w:rsidRPr="006D7F39">
        <w:t>Alkoxysilanes</w:t>
      </w:r>
      <w:proofErr w:type="spellEnd"/>
    </w:p>
    <w:p w:rsidR="00F46F0E" w:rsidRPr="0091084F" w:rsidRDefault="006D7F39" w:rsidP="002801B8">
      <w:pPr>
        <w:pStyle w:val="Authors"/>
      </w:pPr>
      <w:r w:rsidRPr="00C811B7">
        <w:t>A. Yu. Kazantseva,*</w:t>
      </w:r>
      <w:r w:rsidRPr="00C811B7">
        <w:rPr>
          <w:i/>
          <w:iCs/>
          <w:vertAlign w:val="superscript"/>
        </w:rPr>
        <w:t>a,b</w:t>
      </w:r>
      <w:r w:rsidRPr="00C811B7">
        <w:t xml:space="preserve"> E. S. Trankina,</w:t>
      </w:r>
      <w:r w:rsidRPr="00C811B7">
        <w:rPr>
          <w:i/>
          <w:iCs/>
          <w:vertAlign w:val="superscript"/>
        </w:rPr>
        <w:t>b</w:t>
      </w:r>
      <w:r>
        <w:br/>
      </w:r>
      <w:r w:rsidRPr="00C811B7">
        <w:t>E. S. Afanasyev,</w:t>
      </w:r>
      <w:r w:rsidRPr="00C811B7">
        <w:rPr>
          <w:i/>
          <w:iCs/>
          <w:vertAlign w:val="superscript"/>
        </w:rPr>
        <w:t>b</w:t>
      </w:r>
      <w:r>
        <w:rPr>
          <w:i/>
          <w:iCs/>
          <w:vertAlign w:val="superscript"/>
        </w:rPr>
        <w:t xml:space="preserve"> </w:t>
      </w:r>
      <w:r w:rsidRPr="00C811B7">
        <w:t>and A. M. Muzafarov</w:t>
      </w:r>
      <w:r w:rsidRPr="00C811B7">
        <w:rPr>
          <w:i/>
          <w:iCs/>
          <w:vertAlign w:val="superscript"/>
        </w:rPr>
        <w:t>b,c</w:t>
      </w:r>
    </w:p>
    <w:p w:rsidR="008518EA" w:rsidRPr="006D7F39" w:rsidRDefault="006D7F39" w:rsidP="006D7F39">
      <w:pPr>
        <w:pStyle w:val="Affelations"/>
        <w:rPr>
          <w:vertAlign w:val="superscript"/>
        </w:rPr>
      </w:pPr>
      <w:r w:rsidRPr="00C811B7">
        <w:rPr>
          <w:vertAlign w:val="superscript"/>
        </w:rPr>
        <w:t>a</w:t>
      </w:r>
      <w:r w:rsidRPr="00C811B7">
        <w:t xml:space="preserve"> Moscow Institute of Physics and Technology (National Research University),</w:t>
      </w:r>
      <w:r>
        <w:t xml:space="preserve"> </w:t>
      </w:r>
      <w:proofErr w:type="spellStart"/>
      <w:r w:rsidRPr="00C811B7">
        <w:t>Institutskiy</w:t>
      </w:r>
      <w:proofErr w:type="spellEnd"/>
      <w:r w:rsidRPr="00C811B7">
        <w:t xml:space="preserve"> per. 9, Dolgoprudny, Moscow Oblast, 141700 Russia</w:t>
      </w:r>
      <w:r>
        <w:br/>
      </w:r>
      <w:r w:rsidRPr="00C811B7">
        <w:rPr>
          <w:vertAlign w:val="superscript"/>
        </w:rPr>
        <w:t>b</w:t>
      </w:r>
      <w:r w:rsidRPr="00C811B7">
        <w:t xml:space="preserve"> </w:t>
      </w:r>
      <w:proofErr w:type="spellStart"/>
      <w:r w:rsidRPr="00C811B7">
        <w:t>Nesmeyanov</w:t>
      </w:r>
      <w:proofErr w:type="spellEnd"/>
      <w:r w:rsidRPr="00C811B7">
        <w:t xml:space="preserve"> Institute of Organoelement Compounds, Russian Academy of Sciences, ul. Vavilova 28, str. 1, Moscow, 119334 Russia</w:t>
      </w:r>
      <w:r w:rsidRPr="006D7F39">
        <w:br/>
      </w:r>
      <w:r w:rsidRPr="00C811B7">
        <w:rPr>
          <w:vertAlign w:val="superscript"/>
        </w:rPr>
        <w:t>c</w:t>
      </w:r>
      <w:r w:rsidRPr="00C811B7">
        <w:t xml:space="preserve"> </w:t>
      </w:r>
      <w:proofErr w:type="spellStart"/>
      <w:r w:rsidRPr="00C811B7">
        <w:t>Enikolopov</w:t>
      </w:r>
      <w:proofErr w:type="spellEnd"/>
      <w:r w:rsidRPr="00C811B7">
        <w:t xml:space="preserve"> Institute of Synthetic Polymeric Materials, Russian Academy of Sciences, </w:t>
      </w:r>
      <w:proofErr w:type="spellStart"/>
      <w:r w:rsidRPr="00C811B7">
        <w:t>ul</w:t>
      </w:r>
      <w:proofErr w:type="spellEnd"/>
      <w:r w:rsidRPr="00C811B7">
        <w:t xml:space="preserve">. </w:t>
      </w:r>
      <w:proofErr w:type="spellStart"/>
      <w:r w:rsidRPr="00C811B7">
        <w:t>Profsoyuznaya</w:t>
      </w:r>
      <w:proofErr w:type="spellEnd"/>
      <w:r w:rsidRPr="00C811B7">
        <w:t xml:space="preserve"> 70, Moscow, 117393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6D7F39">
        <w:t xml:space="preserve">A. Yu. </w:t>
      </w:r>
      <w:proofErr w:type="spellStart"/>
      <w:r w:rsidR="006D7F39">
        <w:t>Kazantseva</w:t>
      </w:r>
      <w:proofErr w:type="spellEnd"/>
      <w:r w:rsidR="00D31C2D" w:rsidRPr="005827E1">
        <w:t>, e-mail:</w:t>
      </w:r>
      <w:r w:rsidR="00F27BF3" w:rsidRPr="005827E1">
        <w:t xml:space="preserve"> </w:t>
      </w:r>
      <w:r w:rsidR="006D7F39" w:rsidRPr="00C811B7">
        <w:t>kazantseva2132000@yandex.ru</w:t>
      </w:r>
      <w:r w:rsidR="00C01303" w:rsidRPr="005827E1">
        <w:br/>
      </w:r>
      <w:r w:rsidR="006D7F39">
        <w:t xml:space="preserve">Received </w:t>
      </w:r>
      <w:r w:rsidR="001704B0" w:rsidRPr="005827E1">
        <w:t>3</w:t>
      </w:r>
      <w:r w:rsidRPr="005827E1">
        <w:t xml:space="preserve"> </w:t>
      </w:r>
      <w:r w:rsidR="006D7F39">
        <w:t>Nov</w:t>
      </w:r>
      <w:r w:rsidRPr="005827E1">
        <w:t xml:space="preserve">ember 2024; accepted </w:t>
      </w:r>
      <w:r w:rsidR="001704B0" w:rsidRPr="005827E1">
        <w:t xml:space="preserve">1 </w:t>
      </w:r>
      <w:r w:rsidR="006D7F39">
        <w:t>Decem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6D7F39" w:rsidP="001704B0">
      <w:pPr>
        <w:pStyle w:val="AbsText"/>
      </w:pPr>
      <w:r w:rsidRPr="00C811B7">
        <w:t xml:space="preserve">The kinetic regularities of the </w:t>
      </w:r>
      <w:proofErr w:type="spellStart"/>
      <w:r w:rsidRPr="00C811B7">
        <w:t>aminolysis</w:t>
      </w:r>
      <w:proofErr w:type="spellEnd"/>
      <w:r w:rsidRPr="00C811B7">
        <w:t xml:space="preserve"> of </w:t>
      </w:r>
      <w:proofErr w:type="spellStart"/>
      <w:r w:rsidRPr="00C811B7">
        <w:t>cyclocarbonates</w:t>
      </w:r>
      <w:proofErr w:type="spellEnd"/>
      <w:r w:rsidRPr="00C811B7">
        <w:t xml:space="preserve"> by </w:t>
      </w:r>
      <w:proofErr w:type="spellStart"/>
      <w:r w:rsidRPr="00C811B7">
        <w:t>alkoxysilanes</w:t>
      </w:r>
      <w:proofErr w:type="spellEnd"/>
      <w:r w:rsidRPr="00C811B7">
        <w:t xml:space="preserve"> bearing γ-</w:t>
      </w:r>
      <w:proofErr w:type="spellStart"/>
      <w:r w:rsidRPr="00C811B7">
        <w:t>aminopropyl</w:t>
      </w:r>
      <w:proofErr w:type="spellEnd"/>
      <w:r w:rsidRPr="00C811B7">
        <w:t xml:space="preserve"> </w:t>
      </w:r>
      <w:proofErr w:type="spellStart"/>
      <w:r w:rsidRPr="00C811B7">
        <w:t>substituents</w:t>
      </w:r>
      <w:proofErr w:type="spellEnd"/>
      <w:r w:rsidRPr="00C811B7">
        <w:t xml:space="preserve"> have been studied. New </w:t>
      </w:r>
      <w:proofErr w:type="spellStart"/>
      <w:r w:rsidRPr="00C811B7">
        <w:t>silyl</w:t>
      </w:r>
      <w:proofErr w:type="spellEnd"/>
      <w:r w:rsidRPr="00C811B7">
        <w:t xml:space="preserve">-modified urethane </w:t>
      </w:r>
      <w:proofErr w:type="spellStart"/>
      <w:r w:rsidRPr="00C811B7">
        <w:t>oligomers</w:t>
      </w:r>
      <w:proofErr w:type="spellEnd"/>
      <w:r w:rsidRPr="00C811B7">
        <w:t xml:space="preserve"> were obtained that represent promising binding agents; their adhesive properties to various surfaces (glass, metal, wood) were studied. The cross-linked film materials based on them were obtained and their physical, mechanical, and thermal characteristics were studied.</w:t>
      </w:r>
    </w:p>
    <w:p w:rsidR="00166162" w:rsidRPr="00EF6BD4" w:rsidRDefault="00F46F0E" w:rsidP="00EF6BD4">
      <w:pPr>
        <w:pStyle w:val="Keywords"/>
        <w:rPr>
          <w:szCs w:val="20"/>
        </w:rPr>
      </w:pPr>
      <w:r w:rsidRPr="00EF6BD4">
        <w:rPr>
          <w:b/>
        </w:rPr>
        <w:t>Key words:</w:t>
      </w:r>
      <w:r w:rsidR="006D7F39" w:rsidRPr="006D7F39">
        <w:t xml:space="preserve"> </w:t>
      </w:r>
      <w:r w:rsidR="006D7F39" w:rsidRPr="00C811B7">
        <w:t>non-</w:t>
      </w:r>
      <w:proofErr w:type="spellStart"/>
      <w:r w:rsidR="006D7F39" w:rsidRPr="00C811B7">
        <w:t>isocyanate</w:t>
      </w:r>
      <w:proofErr w:type="spellEnd"/>
      <w:r w:rsidR="006D7F39" w:rsidRPr="00C811B7">
        <w:t xml:space="preserve"> </w:t>
      </w:r>
      <w:proofErr w:type="gramStart"/>
      <w:r w:rsidR="006D7F39" w:rsidRPr="00C811B7">
        <w:t>poly(</w:t>
      </w:r>
      <w:proofErr w:type="spellStart"/>
      <w:proofErr w:type="gramEnd"/>
      <w:r w:rsidR="006D7F39" w:rsidRPr="00C811B7">
        <w:t>siloxane</w:t>
      </w:r>
      <w:proofErr w:type="spellEnd"/>
      <w:r w:rsidR="006D7F39" w:rsidRPr="00C811B7">
        <w:t xml:space="preserve">–urethane)s, amino-functionalized </w:t>
      </w:r>
      <w:proofErr w:type="spellStart"/>
      <w:r w:rsidR="006D7F39" w:rsidRPr="00C811B7">
        <w:t>alkoxysilanes</w:t>
      </w:r>
      <w:proofErr w:type="spellEnd"/>
      <w:r w:rsidR="006D7F39" w:rsidRPr="00C811B7">
        <w:t xml:space="preserve">, </w:t>
      </w:r>
      <w:proofErr w:type="spellStart"/>
      <w:r w:rsidR="006D7F39" w:rsidRPr="00C811B7">
        <w:t>aminolysis</w:t>
      </w:r>
      <w:proofErr w:type="spellEnd"/>
      <w:r w:rsidR="006D7F39" w:rsidRPr="00C811B7">
        <w:t xml:space="preserve"> of </w:t>
      </w:r>
      <w:proofErr w:type="spellStart"/>
      <w:r w:rsidR="006D7F39" w:rsidRPr="00C811B7">
        <w:t>cyclocarbonates</w:t>
      </w:r>
      <w:proofErr w:type="spellEnd"/>
      <w:r w:rsidR="006D7F39" w:rsidRPr="00C811B7">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6D7F39" w:rsidRPr="00C811B7" w:rsidRDefault="006D7F39" w:rsidP="006D7F39">
      <w:pPr>
        <w:pStyle w:val="Text"/>
      </w:pPr>
      <w:r w:rsidRPr="00C811B7">
        <w:t xml:space="preserve">Polyurethanes are among the most common and popular polymers. However, their industrial production is very toxic. Therefore, recently the investigations on the development of alternative methods for obtaining these materials have become popular. </w:t>
      </w:r>
      <w:proofErr w:type="gramStart"/>
      <w:r w:rsidRPr="00C811B7">
        <w:t xml:space="preserve">Among the chemical processes described in the literature that lead to the formation of a urethane group without the participation of </w:t>
      </w:r>
      <w:proofErr w:type="spellStart"/>
      <w:r w:rsidRPr="00C811B7">
        <w:t>isocyanates</w:t>
      </w:r>
      <w:proofErr w:type="spellEnd"/>
      <w:r w:rsidRPr="00C811B7">
        <w:t xml:space="preserve"> [1], the </w:t>
      </w:r>
      <w:proofErr w:type="spellStart"/>
      <w:r w:rsidRPr="00C811B7">
        <w:t>aminolysis</w:t>
      </w:r>
      <w:proofErr w:type="spellEnd"/>
      <w:r w:rsidRPr="00C811B7">
        <w:t xml:space="preserve"> of </w:t>
      </w:r>
      <w:proofErr w:type="spellStart"/>
      <w:r w:rsidRPr="00C811B7">
        <w:t>cyclocarbonates</w:t>
      </w:r>
      <w:proofErr w:type="spellEnd"/>
      <w:r w:rsidRPr="00C811B7">
        <w:t xml:space="preserve"> is considered the most promising one, since the reaction is not sensitive to moisture and the initial components do not have the same toxicity as </w:t>
      </w:r>
      <w:proofErr w:type="spellStart"/>
      <w:r w:rsidRPr="00C811B7">
        <w:t>isocyanates</w:t>
      </w:r>
      <w:proofErr w:type="spellEnd"/>
      <w:r w:rsidRPr="00C811B7">
        <w:t xml:space="preserve"> and phosgene.</w:t>
      </w:r>
      <w:proofErr w:type="gramEnd"/>
    </w:p>
    <w:p w:rsidR="006D7F39" w:rsidRPr="00C811B7" w:rsidRDefault="006D7F39" w:rsidP="006D7F39">
      <w:pPr>
        <w:pStyle w:val="Text"/>
      </w:pPr>
      <w:r w:rsidRPr="00C811B7">
        <w:t xml:space="preserve">Many works have been devoted to the investigations on this method [2–4], but the reports on the use of silicon-containing reagents in this process remains relatively scarce. Taking this into account, the goal of this work was to study the kinetic regularities of the </w:t>
      </w:r>
      <w:proofErr w:type="spellStart"/>
      <w:r w:rsidRPr="00C811B7">
        <w:t>aminolysis</w:t>
      </w:r>
      <w:proofErr w:type="spellEnd"/>
      <w:r w:rsidRPr="00C811B7">
        <w:t xml:space="preserve"> of organic </w:t>
      </w:r>
      <w:proofErr w:type="spellStart"/>
      <w:r w:rsidRPr="00C811B7">
        <w:t>cyclocarbonates</w:t>
      </w:r>
      <w:proofErr w:type="spellEnd"/>
      <w:r w:rsidRPr="00C811B7">
        <w:t xml:space="preserve"> by </w:t>
      </w:r>
      <w:proofErr w:type="spellStart"/>
      <w:r w:rsidRPr="00C811B7">
        <w:t>alkoxysilanes</w:t>
      </w:r>
      <w:proofErr w:type="spellEnd"/>
      <w:r w:rsidRPr="00C811B7">
        <w:t xml:space="preserve"> with γ-</w:t>
      </w:r>
      <w:proofErr w:type="spellStart"/>
      <w:r w:rsidRPr="00C811B7">
        <w:t>aminopropyl</w:t>
      </w:r>
      <w:proofErr w:type="spellEnd"/>
      <w:r w:rsidRPr="00C811B7">
        <w:t xml:space="preserve"> </w:t>
      </w:r>
      <w:proofErr w:type="spellStart"/>
      <w:r w:rsidRPr="00C811B7">
        <w:t>substituents</w:t>
      </w:r>
      <w:proofErr w:type="spellEnd"/>
      <w:r w:rsidRPr="00C811B7">
        <w:t xml:space="preserve"> and to explore the </w:t>
      </w:r>
      <w:proofErr w:type="spellStart"/>
      <w:r w:rsidRPr="00C811B7">
        <w:t>physicomechanical</w:t>
      </w:r>
      <w:proofErr w:type="spellEnd"/>
      <w:r w:rsidRPr="00C811B7">
        <w:t xml:space="preserve"> properties of the materials based on the resulting urethane–urea–</w:t>
      </w:r>
      <w:proofErr w:type="spellStart"/>
      <w:r w:rsidRPr="00C811B7">
        <w:t>siloxane</w:t>
      </w:r>
      <w:proofErr w:type="spellEnd"/>
      <w:r w:rsidRPr="00C811B7">
        <w:t xml:space="preserve"> </w:t>
      </w:r>
      <w:proofErr w:type="spellStart"/>
      <w:r w:rsidRPr="00C811B7">
        <w:t>oligomers</w:t>
      </w:r>
      <w:proofErr w:type="spellEnd"/>
      <w:r w:rsidRPr="00C811B7">
        <w:t>.</w:t>
      </w:r>
    </w:p>
    <w:p w:rsidR="006D7F39" w:rsidRPr="00C811B7" w:rsidRDefault="006D7F39" w:rsidP="006D7F39">
      <w:pPr>
        <w:pStyle w:val="MainHeader"/>
      </w:pPr>
      <w:r w:rsidRPr="00C811B7">
        <w:t>Results and discussion</w:t>
      </w:r>
    </w:p>
    <w:p w:rsidR="006D7F39" w:rsidRPr="00C811B7" w:rsidRDefault="006D7F39" w:rsidP="006D7F39">
      <w:pPr>
        <w:pStyle w:val="Text"/>
        <w:rPr>
          <w:lang w:val="en-US"/>
        </w:rPr>
      </w:pPr>
      <w:r w:rsidRPr="00C811B7">
        <w:rPr>
          <w:lang w:val="en-US"/>
        </w:rPr>
        <w:lastRenderedPageBreak/>
        <w:t xml:space="preserve">As the starting components, we selected </w:t>
      </w:r>
      <w:proofErr w:type="spellStart"/>
      <w:r w:rsidRPr="00C811B7">
        <w:rPr>
          <w:lang w:val="en-US"/>
        </w:rPr>
        <w:t>cyclocarbonates</w:t>
      </w:r>
      <w:proofErr w:type="spellEnd"/>
      <w:r w:rsidRPr="00C811B7">
        <w:rPr>
          <w:lang w:val="en-US"/>
        </w:rPr>
        <w:t xml:space="preserve"> of different structures (Fig. 1), namely, linear </w:t>
      </w:r>
      <w:proofErr w:type="spellStart"/>
      <w:r w:rsidRPr="00C811B7">
        <w:rPr>
          <w:lang w:val="en-US"/>
        </w:rPr>
        <w:t>dicyclocarbonate</w:t>
      </w:r>
      <w:proofErr w:type="spellEnd"/>
      <w:r w:rsidRPr="00C811B7">
        <w:rPr>
          <w:lang w:val="en-US"/>
        </w:rPr>
        <w:t xml:space="preserve"> (based on propylene oxide) L-CC, linear-branched </w:t>
      </w:r>
      <w:proofErr w:type="spellStart"/>
      <w:r w:rsidRPr="00C811B7">
        <w:rPr>
          <w:lang w:val="en-US"/>
        </w:rPr>
        <w:t>tricyclocarbonate</w:t>
      </w:r>
      <w:proofErr w:type="spellEnd"/>
      <w:r w:rsidRPr="00C811B7">
        <w:rPr>
          <w:lang w:val="en-US"/>
        </w:rPr>
        <w:t xml:space="preserve"> (based on </w:t>
      </w:r>
      <w:proofErr w:type="spellStart"/>
      <w:r w:rsidRPr="00C811B7">
        <w:rPr>
          <w:lang w:val="en-US"/>
        </w:rPr>
        <w:t>trimethylolpropane</w:t>
      </w:r>
      <w:proofErr w:type="spellEnd"/>
      <w:r w:rsidRPr="00C811B7">
        <w:rPr>
          <w:lang w:val="en-US"/>
        </w:rPr>
        <w:t xml:space="preserve"> and propylene oxide) LB-CC, branched </w:t>
      </w:r>
      <w:proofErr w:type="spellStart"/>
      <w:r w:rsidRPr="00C811B7">
        <w:rPr>
          <w:lang w:val="en-US"/>
        </w:rPr>
        <w:t>tricyclocarbonate</w:t>
      </w:r>
      <w:proofErr w:type="spellEnd"/>
      <w:r w:rsidRPr="00C811B7">
        <w:rPr>
          <w:lang w:val="en-US"/>
        </w:rPr>
        <w:t xml:space="preserve"> (based on </w:t>
      </w:r>
      <w:proofErr w:type="spellStart"/>
      <w:r w:rsidRPr="00C811B7">
        <w:rPr>
          <w:lang w:val="en-US"/>
        </w:rPr>
        <w:t>trimethylolpropane</w:t>
      </w:r>
      <w:proofErr w:type="spellEnd"/>
      <w:r w:rsidRPr="00C811B7">
        <w:rPr>
          <w:lang w:val="en-US"/>
        </w:rPr>
        <w:t xml:space="preserve">) B-CC, aromatic </w:t>
      </w:r>
      <w:proofErr w:type="spellStart"/>
      <w:r w:rsidRPr="00C811B7">
        <w:rPr>
          <w:lang w:val="en-US"/>
        </w:rPr>
        <w:t>dicyclocarbonate</w:t>
      </w:r>
      <w:proofErr w:type="spellEnd"/>
      <w:r w:rsidRPr="00C811B7">
        <w:rPr>
          <w:lang w:val="en-US"/>
        </w:rPr>
        <w:t xml:space="preserve"> (based on </w:t>
      </w:r>
      <w:proofErr w:type="spellStart"/>
      <w:r w:rsidRPr="00C811B7">
        <w:rPr>
          <w:lang w:val="en-US"/>
        </w:rPr>
        <w:t>bisphenol</w:t>
      </w:r>
      <w:proofErr w:type="spellEnd"/>
      <w:r w:rsidRPr="00C811B7">
        <w:rPr>
          <w:lang w:val="en-US"/>
        </w:rPr>
        <w:t xml:space="preserve"> A) A-CC and amines (3-aminop</w:t>
      </w:r>
      <w:r>
        <w:rPr>
          <w:lang w:val="en-US"/>
        </w:rPr>
        <w:t>r</w:t>
      </w:r>
      <w:r w:rsidRPr="00C811B7">
        <w:rPr>
          <w:lang w:val="en-US"/>
        </w:rPr>
        <w:t>opyl</w:t>
      </w:r>
      <w:proofErr w:type="gramStart"/>
      <w:r w:rsidRPr="00C811B7">
        <w:rPr>
          <w:lang w:val="en-US"/>
        </w:rPr>
        <w:t>)</w:t>
      </w:r>
      <w:proofErr w:type="spellStart"/>
      <w:r w:rsidRPr="00C811B7">
        <w:rPr>
          <w:lang w:val="en-US"/>
        </w:rPr>
        <w:t>triethoxysilane</w:t>
      </w:r>
      <w:proofErr w:type="spellEnd"/>
      <w:proofErr w:type="gramEnd"/>
      <w:r w:rsidRPr="00C811B7">
        <w:rPr>
          <w:lang w:val="en-US"/>
        </w:rPr>
        <w:t xml:space="preserve"> (APTES) and (3-aminopropyl)</w:t>
      </w:r>
      <w:proofErr w:type="spellStart"/>
      <w:r w:rsidRPr="00C811B7">
        <w:rPr>
          <w:lang w:val="en-US"/>
        </w:rPr>
        <w:t>diethoxymethylsilane</w:t>
      </w:r>
      <w:proofErr w:type="spellEnd"/>
      <w:r w:rsidRPr="00C811B7">
        <w:rPr>
          <w:lang w:val="en-US"/>
        </w:rPr>
        <w:t xml:space="preserve"> (APDEMS) (Fig. 2). The process was carried out without using solvents. The conversion of the </w:t>
      </w:r>
      <w:proofErr w:type="spellStart"/>
      <w:r w:rsidRPr="00C811B7">
        <w:rPr>
          <w:lang w:val="en-US"/>
        </w:rPr>
        <w:t>cyclocarbonates</w:t>
      </w:r>
      <w:proofErr w:type="spellEnd"/>
      <w:r w:rsidRPr="00C811B7">
        <w:rPr>
          <w:lang w:val="en-US"/>
        </w:rPr>
        <w:t xml:space="preserve"> was determined using IR spectroscopy (Fig. 3).</w:t>
      </w:r>
    </w:p>
    <w:p w:rsidR="006D7F39" w:rsidRPr="00C811B7" w:rsidRDefault="006D7F39" w:rsidP="006D7F39">
      <w:pPr>
        <w:pStyle w:val="Illustration"/>
      </w:pPr>
    </w:p>
    <w:p w:rsidR="006D7F39" w:rsidRPr="00C811B7" w:rsidRDefault="006D7F39" w:rsidP="006D7F39">
      <w:pPr>
        <w:pStyle w:val="IllustrationDescription"/>
      </w:pPr>
      <w:proofErr w:type="gramStart"/>
      <w:r w:rsidRPr="00C811B7">
        <w:rPr>
          <w:b/>
        </w:rPr>
        <w:t>Figure 1.</w:t>
      </w:r>
      <w:proofErr w:type="gramEnd"/>
      <w:r w:rsidRPr="00C811B7">
        <w:rPr>
          <w:b/>
        </w:rPr>
        <w:t xml:space="preserve"> </w:t>
      </w:r>
      <w:r w:rsidRPr="00C811B7">
        <w:t xml:space="preserve">Starting </w:t>
      </w:r>
      <w:proofErr w:type="spellStart"/>
      <w:r w:rsidRPr="00C811B7">
        <w:t>cyclocarbonates</w:t>
      </w:r>
      <w:proofErr w:type="spellEnd"/>
      <w:r w:rsidRPr="00C811B7">
        <w:t xml:space="preserve">: linear </w:t>
      </w:r>
      <w:proofErr w:type="spellStart"/>
      <w:r w:rsidRPr="00C811B7">
        <w:t>dicyclocarbonate</w:t>
      </w:r>
      <w:proofErr w:type="spellEnd"/>
      <w:r w:rsidRPr="00C811B7">
        <w:t xml:space="preserve"> L-CC, linear-branched </w:t>
      </w:r>
      <w:proofErr w:type="spellStart"/>
      <w:r w:rsidRPr="00C811B7">
        <w:t>tricyclocarbonate</w:t>
      </w:r>
      <w:proofErr w:type="spellEnd"/>
      <w:r w:rsidRPr="00C811B7">
        <w:t xml:space="preserve"> LB-CC, aromatic </w:t>
      </w:r>
      <w:proofErr w:type="spellStart"/>
      <w:r w:rsidRPr="00C811B7">
        <w:t>dicyclocarbonate</w:t>
      </w:r>
      <w:proofErr w:type="spellEnd"/>
      <w:r w:rsidRPr="00C811B7">
        <w:t xml:space="preserve"> A-CC, and branched </w:t>
      </w:r>
      <w:proofErr w:type="spellStart"/>
      <w:r w:rsidRPr="00C811B7">
        <w:t>tricyclocarbonate</w:t>
      </w:r>
      <w:proofErr w:type="spellEnd"/>
      <w:r w:rsidRPr="00C811B7">
        <w:t xml:space="preserve"> B-CC.</w:t>
      </w:r>
    </w:p>
    <w:p w:rsidR="006D7F39" w:rsidRPr="00C811B7" w:rsidRDefault="006D7F39" w:rsidP="006D7F39">
      <w:pPr>
        <w:pStyle w:val="Illustration"/>
        <w:rPr>
          <w:b/>
        </w:rPr>
      </w:pPr>
    </w:p>
    <w:p w:rsidR="006D7F39" w:rsidRPr="00C811B7" w:rsidRDefault="006D7F39" w:rsidP="006D7F39">
      <w:pPr>
        <w:pStyle w:val="IllustrationDescription"/>
      </w:pPr>
      <w:proofErr w:type="gramStart"/>
      <w:r w:rsidRPr="00C811B7">
        <w:rPr>
          <w:b/>
        </w:rPr>
        <w:t>Figure 2.</w:t>
      </w:r>
      <w:proofErr w:type="gramEnd"/>
      <w:r w:rsidRPr="00C811B7">
        <w:rPr>
          <w:b/>
        </w:rPr>
        <w:t xml:space="preserve"> </w:t>
      </w:r>
      <w:r w:rsidRPr="00C811B7">
        <w:t>Structures o</w:t>
      </w:r>
      <w:r>
        <w:t>f the starting amines: (3-amino</w:t>
      </w:r>
      <w:r w:rsidRPr="00C811B7">
        <w:t>p</w:t>
      </w:r>
      <w:r>
        <w:t>r</w:t>
      </w:r>
      <w:r w:rsidRPr="00C811B7">
        <w:t>opyl</w:t>
      </w:r>
      <w:proofErr w:type="gramStart"/>
      <w:r w:rsidRPr="00C811B7">
        <w:t>)</w:t>
      </w:r>
      <w:proofErr w:type="spellStart"/>
      <w:r w:rsidRPr="00C811B7">
        <w:t>triethoxysilane</w:t>
      </w:r>
      <w:proofErr w:type="spellEnd"/>
      <w:proofErr w:type="gramEnd"/>
      <w:r w:rsidRPr="00C811B7">
        <w:t xml:space="preserve"> (APTES) and (3-aminopropyl)</w:t>
      </w:r>
      <w:proofErr w:type="spellStart"/>
      <w:r w:rsidRPr="00C811B7">
        <w:t>diethoxymethylsilane</w:t>
      </w:r>
      <w:proofErr w:type="spellEnd"/>
      <w:r w:rsidRPr="00C811B7">
        <w:t xml:space="preserve"> (APDEMS).</w:t>
      </w:r>
    </w:p>
    <w:p w:rsidR="006D7F39" w:rsidRPr="00C811B7" w:rsidRDefault="006D7F39" w:rsidP="006D7F39">
      <w:pPr>
        <w:pStyle w:val="Illustration"/>
      </w:pPr>
    </w:p>
    <w:p w:rsidR="006D7F39" w:rsidRPr="00C811B7" w:rsidRDefault="006D7F39" w:rsidP="006D7F39">
      <w:pPr>
        <w:pStyle w:val="IllustrationDescription"/>
        <w:rPr>
          <w:b/>
        </w:rPr>
      </w:pPr>
      <w:proofErr w:type="gramStart"/>
      <w:r w:rsidRPr="006D7F39">
        <w:rPr>
          <w:b/>
        </w:rPr>
        <w:t>Figure 3.</w:t>
      </w:r>
      <w:proofErr w:type="gramEnd"/>
      <w:r w:rsidRPr="006D7F39">
        <w:rPr>
          <w:b/>
        </w:rPr>
        <w:t xml:space="preserve"> </w:t>
      </w:r>
      <w:proofErr w:type="gramStart"/>
      <w:r w:rsidRPr="00C811B7">
        <w:t>IR spectra (transmission) of the reaction mixture based on L-CC and APTES.</w:t>
      </w:r>
      <w:proofErr w:type="gramEnd"/>
    </w:p>
    <w:p w:rsidR="006D7F39" w:rsidRPr="00C811B7" w:rsidRDefault="006D7F39" w:rsidP="006D7F39">
      <w:pPr>
        <w:pStyle w:val="Text"/>
        <w:rPr>
          <w:lang w:val="en-US"/>
        </w:rPr>
      </w:pPr>
      <w:r w:rsidRPr="00C811B7">
        <w:rPr>
          <w:lang w:val="en-US"/>
        </w:rPr>
        <w:t xml:space="preserve">For correct comparison of the resulting data, the IR spectra were subjected to additional processing and normalization relative to an absorption band of C–H stretches. Based on the changes in the peak areas, the dependence of the </w:t>
      </w:r>
      <w:proofErr w:type="spellStart"/>
      <w:r w:rsidRPr="00C811B7">
        <w:rPr>
          <w:lang w:val="en-US"/>
        </w:rPr>
        <w:t>cyclocarbonate</w:t>
      </w:r>
      <w:proofErr w:type="spellEnd"/>
      <w:r w:rsidRPr="00C811B7">
        <w:rPr>
          <w:lang w:val="en-US"/>
        </w:rPr>
        <w:t xml:space="preserve"> conversion on the reaction time was plotted (Fig. 4). The analysis of the results showed that the </w:t>
      </w:r>
      <w:proofErr w:type="spellStart"/>
      <w:r w:rsidRPr="00C811B7">
        <w:rPr>
          <w:lang w:val="en-US"/>
        </w:rPr>
        <w:t>aminolysis</w:t>
      </w:r>
      <w:proofErr w:type="spellEnd"/>
      <w:r w:rsidRPr="00C811B7">
        <w:rPr>
          <w:lang w:val="en-US"/>
        </w:rPr>
        <w:t xml:space="preserve"> rate is affected by several factors: the structure of the reagents and their ratio, as well as the temperature and catalyst. However, considerable effects were exerted by the temperature and amine excess in the system, which ensure the complete conversion without addition of a catalyst, as was confirmed by the literature data on the reaction mechanism [5]. The number of </w:t>
      </w:r>
      <w:proofErr w:type="spellStart"/>
      <w:r w:rsidRPr="00C811B7">
        <w:rPr>
          <w:lang w:val="en-US"/>
        </w:rPr>
        <w:t>alkoxy</w:t>
      </w:r>
      <w:proofErr w:type="spellEnd"/>
      <w:r w:rsidRPr="00C811B7">
        <w:rPr>
          <w:lang w:val="en-US"/>
        </w:rPr>
        <w:t xml:space="preserve"> groups at the silicon atom in the amine structure did not have a significant effect on the reaction rate: both amino-functionalized </w:t>
      </w:r>
      <w:proofErr w:type="spellStart"/>
      <w:r w:rsidRPr="00C811B7">
        <w:rPr>
          <w:lang w:val="en-US"/>
        </w:rPr>
        <w:t>alkoxysilanes</w:t>
      </w:r>
      <w:proofErr w:type="spellEnd"/>
      <w:r w:rsidRPr="00C811B7">
        <w:rPr>
          <w:lang w:val="en-US"/>
        </w:rPr>
        <w:t xml:space="preserve"> displayed high reactivity. Based on these data, all the </w:t>
      </w:r>
      <w:proofErr w:type="spellStart"/>
      <w:r w:rsidRPr="00C811B7">
        <w:rPr>
          <w:lang w:val="en-US"/>
        </w:rPr>
        <w:t>silyl</w:t>
      </w:r>
      <w:proofErr w:type="spellEnd"/>
      <w:r w:rsidRPr="00C811B7">
        <w:rPr>
          <w:lang w:val="en-US"/>
        </w:rPr>
        <w:t xml:space="preserve">-modified urethane </w:t>
      </w:r>
      <w:proofErr w:type="spellStart"/>
      <w:r w:rsidRPr="00C811B7">
        <w:rPr>
          <w:lang w:val="en-US"/>
        </w:rPr>
        <w:t>oligomers</w:t>
      </w:r>
      <w:proofErr w:type="spellEnd"/>
      <w:r w:rsidRPr="00C811B7">
        <w:rPr>
          <w:lang w:val="en-US"/>
        </w:rPr>
        <w:t xml:space="preserve"> were obtained at 50 °C and different </w:t>
      </w:r>
      <w:proofErr w:type="spellStart"/>
      <w:r w:rsidRPr="00C811B7">
        <w:rPr>
          <w:lang w:val="en-US"/>
        </w:rPr>
        <w:t>carbonate</w:t>
      </w:r>
      <w:proofErr w:type="gramStart"/>
      <w:r w:rsidRPr="00C811B7">
        <w:rPr>
          <w:lang w:val="en-US"/>
        </w:rPr>
        <w:t>:amine</w:t>
      </w:r>
      <w:proofErr w:type="spellEnd"/>
      <w:proofErr w:type="gramEnd"/>
      <w:r w:rsidRPr="00C811B7">
        <w:rPr>
          <w:lang w:val="en-US"/>
        </w:rPr>
        <w:t xml:space="preserve"> ratios.</w:t>
      </w:r>
    </w:p>
    <w:p w:rsidR="006D7F39" w:rsidRPr="00C811B7" w:rsidRDefault="006D7F39" w:rsidP="006D7F39">
      <w:pPr>
        <w:pStyle w:val="Illustration"/>
        <w:rPr>
          <w:lang w:val="en-US"/>
        </w:rPr>
      </w:pPr>
    </w:p>
    <w:p w:rsidR="006D7F39" w:rsidRPr="00C811B7" w:rsidRDefault="006D7F39" w:rsidP="006D7F39">
      <w:pPr>
        <w:pStyle w:val="IllustrationDescription"/>
        <w:rPr>
          <w:b/>
        </w:rPr>
      </w:pPr>
      <w:proofErr w:type="gramStart"/>
      <w:r w:rsidRPr="006D7F39">
        <w:rPr>
          <w:b/>
        </w:rPr>
        <w:t>Figure 4.</w:t>
      </w:r>
      <w:proofErr w:type="gramEnd"/>
      <w:r w:rsidRPr="00C811B7">
        <w:t xml:space="preserve"> </w:t>
      </w:r>
      <w:proofErr w:type="gramStart"/>
      <w:r w:rsidRPr="00C811B7">
        <w:t>Dependence of the conversion of L-CC over time on the temperature and catalyst (</w:t>
      </w:r>
      <w:r w:rsidRPr="006D7F39">
        <w:rPr>
          <w:b/>
          <w:i/>
          <w:iCs/>
        </w:rPr>
        <w:t>a</w:t>
      </w:r>
      <w:r w:rsidRPr="00C811B7">
        <w:t>), molar ratio of the reagents (</w:t>
      </w:r>
      <w:r w:rsidRPr="006D7F39">
        <w:rPr>
          <w:b/>
          <w:i/>
          <w:iCs/>
        </w:rPr>
        <w:t>b</w:t>
      </w:r>
      <w:r w:rsidRPr="00C811B7">
        <w:t>).</w:t>
      </w:r>
      <w:proofErr w:type="gramEnd"/>
    </w:p>
    <w:p w:rsidR="006D7F39" w:rsidRPr="00C811B7" w:rsidRDefault="006D7F39" w:rsidP="006D7F39">
      <w:pPr>
        <w:pStyle w:val="Text"/>
      </w:pPr>
      <w:r w:rsidRPr="00C811B7">
        <w:t xml:space="preserve">The resulting </w:t>
      </w:r>
      <w:proofErr w:type="spellStart"/>
      <w:r w:rsidRPr="00C811B7">
        <w:t>silyl</w:t>
      </w:r>
      <w:proofErr w:type="spellEnd"/>
      <w:r w:rsidRPr="00C811B7">
        <w:t xml:space="preserve">-modified urethane </w:t>
      </w:r>
      <w:proofErr w:type="spellStart"/>
      <w:r w:rsidRPr="00C811B7">
        <w:t>oligomers</w:t>
      </w:r>
      <w:proofErr w:type="spellEnd"/>
      <w:r w:rsidRPr="00C811B7">
        <w:t xml:space="preserve"> were tested as binding agents for metal, wood, and glass (Fig. 5). The bonding strength was determined by the shear loading method. The samples on aluminum substrates exhibited the values in the range of 0.5–2 </w:t>
      </w:r>
      <w:proofErr w:type="spellStart"/>
      <w:r w:rsidRPr="00C811B7">
        <w:t>MPa</w:t>
      </w:r>
      <w:proofErr w:type="spellEnd"/>
      <w:r w:rsidRPr="00C811B7">
        <w:t xml:space="preserve">. The corresponding </w:t>
      </w:r>
      <w:proofErr w:type="gramStart"/>
      <w:r w:rsidRPr="00C811B7">
        <w:t>values for wood was</w:t>
      </w:r>
      <w:proofErr w:type="gramEnd"/>
      <w:r w:rsidRPr="00C811B7">
        <w:t xml:space="preserve"> 0.5–8 </w:t>
      </w:r>
      <w:proofErr w:type="spellStart"/>
      <w:r w:rsidRPr="00C811B7">
        <w:t>MPa</w:t>
      </w:r>
      <w:proofErr w:type="spellEnd"/>
      <w:r w:rsidRPr="00C811B7">
        <w:t xml:space="preserve">; therewith, in the samples based on </w:t>
      </w:r>
      <w:proofErr w:type="spellStart"/>
      <w:r w:rsidRPr="00C811B7">
        <w:t>cyclocarbonates</w:t>
      </w:r>
      <w:proofErr w:type="spellEnd"/>
      <w:r w:rsidRPr="00C811B7">
        <w:t xml:space="preserve"> A-CC and B-CC, the wood was destroyed earlier than the adhesive layer. The bonding strength of glass was not measured, since the shear loading required to destroy the adhesive appeared to be higher than that required to destroy the glass substrate.</w:t>
      </w:r>
    </w:p>
    <w:p w:rsidR="006D7F39" w:rsidRPr="00C811B7" w:rsidRDefault="006D7F39" w:rsidP="006D7F39">
      <w:pPr>
        <w:pStyle w:val="Illustration"/>
      </w:pPr>
    </w:p>
    <w:p w:rsidR="006D7F39" w:rsidRPr="00C811B7" w:rsidRDefault="006D7F39" w:rsidP="006D7F39">
      <w:pPr>
        <w:pStyle w:val="IllustrationDescription"/>
        <w:rPr>
          <w:b/>
        </w:rPr>
      </w:pPr>
      <w:proofErr w:type="gramStart"/>
      <w:r w:rsidRPr="006D7F39">
        <w:rPr>
          <w:b/>
        </w:rPr>
        <w:t>Figure 5.</w:t>
      </w:r>
      <w:proofErr w:type="gramEnd"/>
      <w:r w:rsidRPr="006D7F39">
        <w:rPr>
          <w:b/>
        </w:rPr>
        <w:t xml:space="preserve"> </w:t>
      </w:r>
      <w:proofErr w:type="gramStart"/>
      <w:r w:rsidRPr="00C811B7">
        <w:t>Photographs of the glued samples of glass (</w:t>
      </w:r>
      <w:r w:rsidRPr="006D7F39">
        <w:rPr>
          <w:b/>
          <w:i/>
          <w:iCs/>
        </w:rPr>
        <w:t>a</w:t>
      </w:r>
      <w:r w:rsidRPr="00C811B7">
        <w:t>), wood (</w:t>
      </w:r>
      <w:r w:rsidRPr="006D7F39">
        <w:rPr>
          <w:b/>
          <w:i/>
          <w:iCs/>
        </w:rPr>
        <w:t>b</w:t>
      </w:r>
      <w:r w:rsidRPr="00C811B7">
        <w:t>), and aluminum (</w:t>
      </w:r>
      <w:r w:rsidRPr="006D7F39">
        <w:rPr>
          <w:b/>
          <w:i/>
          <w:iCs/>
        </w:rPr>
        <w:t>c</w:t>
      </w:r>
      <w:r w:rsidRPr="00C811B7">
        <w:t>).</w:t>
      </w:r>
      <w:proofErr w:type="gramEnd"/>
    </w:p>
    <w:p w:rsidR="006D7F39" w:rsidRPr="00C811B7" w:rsidRDefault="006D7F39" w:rsidP="00072D09">
      <w:pPr>
        <w:pStyle w:val="Text"/>
        <w:rPr>
          <w:lang w:val="en-US"/>
        </w:rPr>
      </w:pPr>
      <w:r w:rsidRPr="00C811B7">
        <w:rPr>
          <w:lang w:val="en-US"/>
        </w:rPr>
        <w:t xml:space="preserve">The resulting </w:t>
      </w:r>
      <w:proofErr w:type="spellStart"/>
      <w:r w:rsidRPr="00C811B7">
        <w:rPr>
          <w:lang w:val="en-US"/>
        </w:rPr>
        <w:t>silylurethane</w:t>
      </w:r>
      <w:proofErr w:type="spellEnd"/>
      <w:r w:rsidRPr="00C811B7">
        <w:rPr>
          <w:lang w:val="en-US"/>
        </w:rPr>
        <w:t xml:space="preserve"> </w:t>
      </w:r>
      <w:proofErr w:type="spellStart"/>
      <w:r w:rsidRPr="00C811B7">
        <w:rPr>
          <w:lang w:val="en-US"/>
        </w:rPr>
        <w:t>prepolymers</w:t>
      </w:r>
      <w:proofErr w:type="spellEnd"/>
      <w:r w:rsidRPr="00C811B7">
        <w:rPr>
          <w:lang w:val="en-US"/>
        </w:rPr>
        <w:t xml:space="preserve"> bearing reactive </w:t>
      </w:r>
      <w:proofErr w:type="spellStart"/>
      <w:r w:rsidRPr="00C811B7">
        <w:rPr>
          <w:lang w:val="en-US"/>
        </w:rPr>
        <w:t>alkoxy</w:t>
      </w:r>
      <w:proofErr w:type="spellEnd"/>
      <w:r w:rsidRPr="00C811B7">
        <w:rPr>
          <w:lang w:val="en-US"/>
        </w:rPr>
        <w:t xml:space="preserve"> groups at the silicon atom were used to obtain cross-linked film samples of non-</w:t>
      </w:r>
      <w:proofErr w:type="spellStart"/>
      <w:r w:rsidRPr="00C811B7">
        <w:rPr>
          <w:lang w:val="en-US"/>
        </w:rPr>
        <w:t>isocyanate</w:t>
      </w:r>
      <w:proofErr w:type="spellEnd"/>
      <w:r w:rsidRPr="00C811B7">
        <w:rPr>
          <w:lang w:val="en-US"/>
        </w:rPr>
        <w:t xml:space="preserve"> </w:t>
      </w:r>
      <w:proofErr w:type="gramStart"/>
      <w:r w:rsidRPr="00C811B7">
        <w:rPr>
          <w:lang w:val="en-US"/>
        </w:rPr>
        <w:t>poly(</w:t>
      </w:r>
      <w:proofErr w:type="spellStart"/>
      <w:proofErr w:type="gramEnd"/>
      <w:r w:rsidRPr="00C811B7">
        <w:rPr>
          <w:lang w:val="en-US"/>
        </w:rPr>
        <w:t>siloxane</w:t>
      </w:r>
      <w:proofErr w:type="spellEnd"/>
      <w:r w:rsidRPr="00C811B7">
        <w:rPr>
          <w:lang w:val="en-US"/>
        </w:rPr>
        <w:t>–urethane–urea)s (NIPSUUs). The physical, mechanical (strength, relative elongation, elastic modulus), and thermal characteristics of the explored samples are presented in Table 1.</w:t>
      </w:r>
    </w:p>
    <w:p w:rsidR="006D7F39" w:rsidRPr="00C811B7" w:rsidRDefault="006D7F39" w:rsidP="00072D09">
      <w:pPr>
        <w:pStyle w:val="TableDescription"/>
        <w:rPr>
          <w:b/>
        </w:rPr>
      </w:pPr>
      <w:r w:rsidRPr="00072D09">
        <w:rPr>
          <w:b/>
        </w:rPr>
        <w:lastRenderedPageBreak/>
        <w:t>Table 1.</w:t>
      </w:r>
      <w:r w:rsidRPr="00C811B7">
        <w:rPr>
          <w:bCs/>
        </w:rPr>
        <w:t xml:space="preserve"> NI</w:t>
      </w:r>
      <w:r w:rsidRPr="00C811B7">
        <w:t xml:space="preserve">PSUUs based on APTES and APDEMS and different </w:t>
      </w:r>
      <w:proofErr w:type="spellStart"/>
      <w:r w:rsidRPr="00C811B7">
        <w:t>cyclocarbonates</w:t>
      </w:r>
      <w:proofErr w:type="spellEnd"/>
    </w:p>
    <w:tbl>
      <w:tblPr>
        <w:tblW w:w="0" w:type="auto"/>
        <w:jc w:val="center"/>
        <w:shd w:val="clear" w:color="auto" w:fill="FFFFFF" w:themeFill="background1"/>
        <w:tblLayout w:type="fixed"/>
        <w:tblCellMar>
          <w:left w:w="0" w:type="dxa"/>
          <w:right w:w="0" w:type="dxa"/>
        </w:tblCellMar>
        <w:tblLook w:val="01E0"/>
      </w:tblPr>
      <w:tblGrid>
        <w:gridCol w:w="631"/>
        <w:gridCol w:w="1736"/>
        <w:gridCol w:w="1342"/>
        <w:gridCol w:w="517"/>
        <w:gridCol w:w="1159"/>
        <w:gridCol w:w="673"/>
        <w:gridCol w:w="420"/>
        <w:gridCol w:w="656"/>
      </w:tblGrid>
      <w:tr w:rsidR="006D7F39" w:rsidRPr="00C811B7" w:rsidTr="00072D09">
        <w:trPr>
          <w:trHeight w:val="227"/>
          <w:jc w:val="center"/>
        </w:trPr>
        <w:tc>
          <w:tcPr>
            <w:tcW w:w="631" w:type="dxa"/>
            <w:vMerge w:val="restart"/>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CC</w:t>
            </w:r>
          </w:p>
        </w:tc>
        <w:tc>
          <w:tcPr>
            <w:tcW w:w="1736" w:type="dxa"/>
            <w:vMerge w:val="restart"/>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СС:NH</w:t>
            </w:r>
            <w:r w:rsidRPr="00C811B7">
              <w:rPr>
                <w:vertAlign w:val="subscript"/>
              </w:rPr>
              <w:t>2</w:t>
            </w:r>
            <w:r w:rsidRPr="00C811B7">
              <w:t xml:space="preserve"> molar ratio </w:t>
            </w:r>
          </w:p>
        </w:tc>
        <w:tc>
          <w:tcPr>
            <w:tcW w:w="1342" w:type="dxa"/>
            <w:vMerge w:val="restart"/>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Gel fraction, %</w:t>
            </w:r>
          </w:p>
        </w:tc>
        <w:tc>
          <w:tcPr>
            <w:tcW w:w="517" w:type="dxa"/>
            <w:tcBorders>
              <w:top w:val="single" w:sz="4" w:space="0" w:color="auto"/>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ТМА</w:t>
            </w:r>
          </w:p>
        </w:tc>
        <w:tc>
          <w:tcPr>
            <w:tcW w:w="1159" w:type="dxa"/>
            <w:tcBorders>
              <w:top w:val="single" w:sz="4" w:space="0" w:color="auto"/>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ТGА</w:t>
            </w:r>
          </w:p>
        </w:tc>
        <w:tc>
          <w:tcPr>
            <w:tcW w:w="1749" w:type="dxa"/>
            <w:gridSpan w:val="3"/>
            <w:tcBorders>
              <w:top w:val="single" w:sz="4" w:space="0" w:color="auto"/>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Mechanical tests</w:t>
            </w:r>
          </w:p>
        </w:tc>
      </w:tr>
      <w:tr w:rsidR="006D7F39" w:rsidRPr="00C811B7" w:rsidTr="00072D09">
        <w:trPr>
          <w:trHeight w:val="227"/>
          <w:jc w:val="center"/>
        </w:trPr>
        <w:tc>
          <w:tcPr>
            <w:tcW w:w="631" w:type="dxa"/>
            <w:vMerge/>
            <w:tcBorders>
              <w:bottom w:val="single" w:sz="4" w:space="0" w:color="auto"/>
            </w:tcBorders>
            <w:shd w:val="clear" w:color="auto" w:fill="FFFFFF" w:themeFill="background1"/>
            <w:vAlign w:val="center"/>
            <w:hideMark/>
          </w:tcPr>
          <w:p w:rsidR="006D7F39" w:rsidRPr="00C811B7" w:rsidRDefault="006D7F39" w:rsidP="00072D09">
            <w:pPr>
              <w:pStyle w:val="ArticleTable"/>
              <w:rPr>
                <w:rFonts w:eastAsia="Times New Roman"/>
              </w:rPr>
            </w:pPr>
          </w:p>
        </w:tc>
        <w:tc>
          <w:tcPr>
            <w:tcW w:w="1736" w:type="dxa"/>
            <w:vMerge/>
            <w:tcBorders>
              <w:bottom w:val="single" w:sz="4" w:space="0" w:color="auto"/>
            </w:tcBorders>
            <w:shd w:val="clear" w:color="auto" w:fill="FFFFFF" w:themeFill="background1"/>
            <w:vAlign w:val="center"/>
            <w:hideMark/>
          </w:tcPr>
          <w:p w:rsidR="006D7F39" w:rsidRPr="00C811B7" w:rsidRDefault="006D7F39" w:rsidP="00072D09">
            <w:pPr>
              <w:pStyle w:val="ArticleTable"/>
              <w:rPr>
                <w:rFonts w:eastAsia="Times New Roman"/>
              </w:rPr>
            </w:pPr>
          </w:p>
        </w:tc>
        <w:tc>
          <w:tcPr>
            <w:tcW w:w="1342" w:type="dxa"/>
            <w:vMerge/>
            <w:tcBorders>
              <w:bottom w:val="single" w:sz="4" w:space="0" w:color="auto"/>
            </w:tcBorders>
            <w:shd w:val="clear" w:color="auto" w:fill="FFFFFF" w:themeFill="background1"/>
            <w:vAlign w:val="center"/>
            <w:hideMark/>
          </w:tcPr>
          <w:p w:rsidR="006D7F39" w:rsidRPr="00C811B7" w:rsidRDefault="006D7F39" w:rsidP="00072D09">
            <w:pPr>
              <w:pStyle w:val="ArticleTable"/>
              <w:rPr>
                <w:rFonts w:eastAsia="Times New Roman"/>
              </w:rPr>
            </w:pPr>
          </w:p>
        </w:tc>
        <w:tc>
          <w:tcPr>
            <w:tcW w:w="517" w:type="dxa"/>
            <w:tcBorders>
              <w:top w:val="single" w:sz="4" w:space="0" w:color="auto"/>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i/>
                <w:iCs/>
              </w:rPr>
              <w:t>Т</w:t>
            </w:r>
            <w:r w:rsidRPr="00C811B7">
              <w:rPr>
                <w:vertAlign w:val="subscript"/>
              </w:rPr>
              <w:t>g</w:t>
            </w:r>
            <w:r w:rsidRPr="00C811B7">
              <w:t xml:space="preserve">, </w:t>
            </w:r>
            <w:r w:rsidRPr="00C811B7">
              <w:rPr>
                <w:rFonts w:ascii="Cambria Math" w:hAnsi="Cambria Math" w:cs="Cambria Math"/>
              </w:rPr>
              <w:t>℃</w:t>
            </w:r>
          </w:p>
        </w:tc>
        <w:tc>
          <w:tcPr>
            <w:tcW w:w="1159" w:type="dxa"/>
            <w:tcBorders>
              <w:top w:val="single" w:sz="4" w:space="0" w:color="auto"/>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pPr>
            <w:r w:rsidRPr="00C811B7">
              <w:rPr>
                <w:i/>
                <w:iCs/>
              </w:rPr>
              <w:t>T</w:t>
            </w:r>
            <w:proofErr w:type="spellStart"/>
            <w:r w:rsidRPr="00C811B7">
              <w:rPr>
                <w:vertAlign w:val="subscript"/>
              </w:rPr>
              <w:t>d</w:t>
            </w:r>
            <w:proofErr w:type="spellEnd"/>
            <w:r w:rsidRPr="00C811B7">
              <w:rPr>
                <w:vertAlign w:val="superscript"/>
              </w:rPr>
              <w:t>5%</w:t>
            </w:r>
            <w:r w:rsidRPr="00C811B7">
              <w:t>, °C (air)</w:t>
            </w:r>
          </w:p>
        </w:tc>
        <w:tc>
          <w:tcPr>
            <w:tcW w:w="673" w:type="dxa"/>
            <w:tcBorders>
              <w:top w:val="single" w:sz="4" w:space="0" w:color="auto"/>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i/>
                <w:iCs/>
              </w:rPr>
              <w:t>σ</w:t>
            </w:r>
            <w:r w:rsidRPr="00C811B7">
              <w:t>, МPa</w:t>
            </w:r>
          </w:p>
        </w:tc>
        <w:tc>
          <w:tcPr>
            <w:tcW w:w="420" w:type="dxa"/>
            <w:tcBorders>
              <w:top w:val="single" w:sz="4" w:space="0" w:color="auto"/>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i/>
                <w:iCs/>
              </w:rPr>
              <w:t>ε</w:t>
            </w:r>
            <w:r w:rsidRPr="00C811B7">
              <w:t>, %</w:t>
            </w:r>
          </w:p>
        </w:tc>
        <w:tc>
          <w:tcPr>
            <w:tcW w:w="656" w:type="dxa"/>
            <w:tcBorders>
              <w:top w:val="single" w:sz="4" w:space="0" w:color="auto"/>
              <w:bottom w:val="single" w:sz="4" w:space="0" w:color="auto"/>
            </w:tcBorders>
            <w:shd w:val="clear" w:color="auto" w:fill="FFFFFF" w:themeFill="background1"/>
            <w:tcMar>
              <w:top w:w="0" w:type="dxa"/>
              <w:left w:w="0" w:type="dxa"/>
              <w:bottom w:w="0" w:type="dxa"/>
              <w:right w:w="0" w:type="dxa"/>
            </w:tcMar>
            <w:vAlign w:val="center"/>
            <w:hideMark/>
          </w:tcPr>
          <w:p w:rsidR="006D7F39" w:rsidRPr="00C811B7" w:rsidRDefault="006D7F39" w:rsidP="00072D09">
            <w:pPr>
              <w:pStyle w:val="ArticleTable"/>
              <w:rPr>
                <w:rFonts w:eastAsia="Times New Roman"/>
              </w:rPr>
            </w:pPr>
            <w:r w:rsidRPr="00C811B7">
              <w:rPr>
                <w:rFonts w:eastAsia="Calibri"/>
                <w:i/>
                <w:iCs/>
              </w:rPr>
              <w:t>E</w:t>
            </w:r>
            <w:r w:rsidRPr="00C811B7">
              <w:rPr>
                <w:rFonts w:eastAsia="Calibri"/>
              </w:rPr>
              <w:t xml:space="preserve">, </w:t>
            </w:r>
            <w:proofErr w:type="spellStart"/>
            <w:r w:rsidRPr="00C811B7">
              <w:rPr>
                <w:rFonts w:eastAsia="Calibri"/>
              </w:rPr>
              <w:t>MPa</w:t>
            </w:r>
            <w:proofErr w:type="spellEnd"/>
          </w:p>
        </w:tc>
      </w:tr>
      <w:tr w:rsidR="006D7F39" w:rsidRPr="00C811B7" w:rsidTr="00072D09">
        <w:trPr>
          <w:trHeight w:val="309"/>
          <w:jc w:val="center"/>
        </w:trPr>
        <w:tc>
          <w:tcPr>
            <w:tcW w:w="7134" w:type="dxa"/>
            <w:gridSpan w:val="8"/>
            <w:tcBorders>
              <w:top w:val="single" w:sz="4" w:space="0" w:color="auto"/>
              <w:bottom w:val="single" w:sz="4" w:space="0" w:color="auto"/>
            </w:tcBorders>
            <w:shd w:val="clear" w:color="auto" w:fill="FFFFFF" w:themeFill="background1"/>
            <w:vAlign w:val="center"/>
          </w:tcPr>
          <w:p w:rsidR="006D7F39" w:rsidRPr="00C811B7" w:rsidRDefault="006D7F39" w:rsidP="00072D09">
            <w:pPr>
              <w:pStyle w:val="ArticleTable"/>
              <w:rPr>
                <w:rFonts w:eastAsia="Times New Roman"/>
              </w:rPr>
            </w:pPr>
            <w:r w:rsidRPr="00C811B7">
              <w:t>APTES</w:t>
            </w:r>
          </w:p>
        </w:tc>
      </w:tr>
      <w:tr w:rsidR="006D7F39" w:rsidRPr="00C811B7" w:rsidTr="00072D09">
        <w:trPr>
          <w:trHeight w:val="227"/>
          <w:jc w:val="center"/>
        </w:trPr>
        <w:tc>
          <w:tcPr>
            <w:tcW w:w="631" w:type="dxa"/>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L-CC</w:t>
            </w:r>
          </w:p>
        </w:tc>
        <w:tc>
          <w:tcPr>
            <w:tcW w:w="1736" w:type="dxa"/>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1:1</w:t>
            </w:r>
          </w:p>
        </w:tc>
        <w:tc>
          <w:tcPr>
            <w:tcW w:w="1342" w:type="dxa"/>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98.7</w:t>
            </w:r>
          </w:p>
        </w:tc>
        <w:tc>
          <w:tcPr>
            <w:tcW w:w="517" w:type="dxa"/>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–46</w:t>
            </w:r>
          </w:p>
        </w:tc>
        <w:tc>
          <w:tcPr>
            <w:tcW w:w="1159" w:type="dxa"/>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237</w:t>
            </w:r>
          </w:p>
        </w:tc>
        <w:tc>
          <w:tcPr>
            <w:tcW w:w="673" w:type="dxa"/>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1.8</w:t>
            </w:r>
          </w:p>
        </w:tc>
        <w:tc>
          <w:tcPr>
            <w:tcW w:w="420" w:type="dxa"/>
            <w:tcBorders>
              <w:top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10.9</w:t>
            </w:r>
          </w:p>
        </w:tc>
        <w:tc>
          <w:tcPr>
            <w:tcW w:w="656" w:type="dxa"/>
            <w:tcBorders>
              <w:top w:val="single" w:sz="4" w:space="0" w:color="auto"/>
            </w:tcBorders>
            <w:shd w:val="clear" w:color="auto" w:fill="FFFFFF" w:themeFill="background1"/>
            <w:tcMar>
              <w:top w:w="0" w:type="dxa"/>
              <w:left w:w="0" w:type="dxa"/>
              <w:bottom w:w="0" w:type="dxa"/>
              <w:right w:w="0" w:type="dxa"/>
            </w:tcMar>
            <w:vAlign w:val="center"/>
            <w:hideMark/>
          </w:tcPr>
          <w:p w:rsidR="006D7F39" w:rsidRPr="00C811B7" w:rsidRDefault="006D7F39" w:rsidP="00072D09">
            <w:pPr>
              <w:pStyle w:val="ArticleTable"/>
              <w:rPr>
                <w:rFonts w:eastAsia="Times New Roman"/>
              </w:rPr>
            </w:pPr>
            <w:r w:rsidRPr="00C811B7">
              <w:rPr>
                <w:rFonts w:eastAsia="Calibri"/>
              </w:rPr>
              <w:t>18</w:t>
            </w:r>
          </w:p>
        </w:tc>
      </w:tr>
      <w:tr w:rsidR="006D7F39" w:rsidRPr="00C811B7" w:rsidTr="00072D09">
        <w:trPr>
          <w:trHeight w:val="227"/>
          <w:jc w:val="center"/>
        </w:trPr>
        <w:tc>
          <w:tcPr>
            <w:tcW w:w="631" w:type="dxa"/>
            <w:shd w:val="clear" w:color="auto" w:fill="FFFFFF" w:themeFill="background1"/>
            <w:vAlign w:val="center"/>
            <w:hideMark/>
          </w:tcPr>
          <w:p w:rsidR="006D7F39" w:rsidRPr="00C811B7" w:rsidRDefault="006D7F39" w:rsidP="00072D09">
            <w:pPr>
              <w:pStyle w:val="ArticleTable"/>
              <w:rPr>
                <w:rFonts w:eastAsia="Times New Roman"/>
              </w:rPr>
            </w:pPr>
          </w:p>
        </w:tc>
        <w:tc>
          <w:tcPr>
            <w:tcW w:w="1736"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1:1.5</w:t>
            </w:r>
          </w:p>
        </w:tc>
        <w:tc>
          <w:tcPr>
            <w:tcW w:w="1342"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98.6</w:t>
            </w:r>
          </w:p>
        </w:tc>
        <w:tc>
          <w:tcPr>
            <w:tcW w:w="517"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–30</w:t>
            </w:r>
          </w:p>
        </w:tc>
        <w:tc>
          <w:tcPr>
            <w:tcW w:w="1159"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233</w:t>
            </w:r>
          </w:p>
        </w:tc>
        <w:tc>
          <w:tcPr>
            <w:tcW w:w="673"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3.1</w:t>
            </w:r>
          </w:p>
        </w:tc>
        <w:tc>
          <w:tcPr>
            <w:tcW w:w="420"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10.3</w:t>
            </w:r>
          </w:p>
        </w:tc>
        <w:tc>
          <w:tcPr>
            <w:tcW w:w="656" w:type="dxa"/>
            <w:shd w:val="clear" w:color="auto" w:fill="FFFFFF" w:themeFill="background1"/>
            <w:tcMar>
              <w:top w:w="0" w:type="dxa"/>
              <w:left w:w="0" w:type="dxa"/>
              <w:bottom w:w="0" w:type="dxa"/>
              <w:right w:w="0" w:type="dxa"/>
            </w:tcMar>
            <w:vAlign w:val="center"/>
            <w:hideMark/>
          </w:tcPr>
          <w:p w:rsidR="006D7F39" w:rsidRPr="00C811B7" w:rsidRDefault="006D7F39" w:rsidP="00072D09">
            <w:pPr>
              <w:pStyle w:val="ArticleTable"/>
              <w:rPr>
                <w:rFonts w:eastAsia="Times New Roman"/>
              </w:rPr>
            </w:pPr>
            <w:r w:rsidRPr="00C811B7">
              <w:rPr>
                <w:rFonts w:eastAsia="Calibri"/>
              </w:rPr>
              <w:t>32</w:t>
            </w:r>
          </w:p>
        </w:tc>
      </w:tr>
      <w:tr w:rsidR="006D7F39" w:rsidRPr="00C811B7" w:rsidTr="00072D09">
        <w:trPr>
          <w:trHeight w:val="227"/>
          <w:jc w:val="center"/>
        </w:trPr>
        <w:tc>
          <w:tcPr>
            <w:tcW w:w="631"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LB-CC</w:t>
            </w:r>
          </w:p>
        </w:tc>
        <w:tc>
          <w:tcPr>
            <w:tcW w:w="1736"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1:1</w:t>
            </w:r>
          </w:p>
        </w:tc>
        <w:tc>
          <w:tcPr>
            <w:tcW w:w="1342"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85.5</w:t>
            </w:r>
          </w:p>
        </w:tc>
        <w:tc>
          <w:tcPr>
            <w:tcW w:w="517"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–1.9</w:t>
            </w:r>
          </w:p>
        </w:tc>
        <w:tc>
          <w:tcPr>
            <w:tcW w:w="1159"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231</w:t>
            </w:r>
          </w:p>
        </w:tc>
        <w:tc>
          <w:tcPr>
            <w:tcW w:w="673"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1.2</w:t>
            </w:r>
          </w:p>
        </w:tc>
        <w:tc>
          <w:tcPr>
            <w:tcW w:w="420"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10.5</w:t>
            </w:r>
          </w:p>
        </w:tc>
        <w:tc>
          <w:tcPr>
            <w:tcW w:w="656" w:type="dxa"/>
            <w:shd w:val="clear" w:color="auto" w:fill="FFFFFF" w:themeFill="background1"/>
            <w:tcMar>
              <w:top w:w="0" w:type="dxa"/>
              <w:left w:w="0" w:type="dxa"/>
              <w:bottom w:w="0" w:type="dxa"/>
              <w:right w:w="0" w:type="dxa"/>
            </w:tcMar>
            <w:vAlign w:val="center"/>
            <w:hideMark/>
          </w:tcPr>
          <w:p w:rsidR="006D7F39" w:rsidRPr="00C811B7" w:rsidRDefault="006D7F39" w:rsidP="00072D09">
            <w:pPr>
              <w:pStyle w:val="ArticleTable"/>
              <w:rPr>
                <w:rFonts w:eastAsia="Times New Roman"/>
              </w:rPr>
            </w:pPr>
            <w:r w:rsidRPr="00C811B7">
              <w:t>11</w:t>
            </w:r>
          </w:p>
        </w:tc>
      </w:tr>
      <w:tr w:rsidR="006D7F39" w:rsidRPr="00C811B7" w:rsidTr="00072D09">
        <w:trPr>
          <w:trHeight w:val="227"/>
          <w:jc w:val="center"/>
        </w:trPr>
        <w:tc>
          <w:tcPr>
            <w:tcW w:w="631" w:type="dxa"/>
            <w:shd w:val="clear" w:color="auto" w:fill="FFFFFF" w:themeFill="background1"/>
            <w:vAlign w:val="center"/>
            <w:hideMark/>
          </w:tcPr>
          <w:p w:rsidR="006D7F39" w:rsidRPr="00C811B7" w:rsidRDefault="006D7F39" w:rsidP="00072D09">
            <w:pPr>
              <w:pStyle w:val="ArticleTable"/>
              <w:rPr>
                <w:rFonts w:eastAsia="Times New Roman"/>
              </w:rPr>
            </w:pPr>
          </w:p>
        </w:tc>
        <w:tc>
          <w:tcPr>
            <w:tcW w:w="1736"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1:1.5</w:t>
            </w:r>
          </w:p>
        </w:tc>
        <w:tc>
          <w:tcPr>
            <w:tcW w:w="1342"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99.1</w:t>
            </w:r>
          </w:p>
        </w:tc>
        <w:tc>
          <w:tcPr>
            <w:tcW w:w="517"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–2.4</w:t>
            </w:r>
          </w:p>
        </w:tc>
        <w:tc>
          <w:tcPr>
            <w:tcW w:w="1159"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230</w:t>
            </w:r>
          </w:p>
        </w:tc>
        <w:tc>
          <w:tcPr>
            <w:tcW w:w="673"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8.4</w:t>
            </w:r>
          </w:p>
        </w:tc>
        <w:tc>
          <w:tcPr>
            <w:tcW w:w="420"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10.1</w:t>
            </w:r>
          </w:p>
        </w:tc>
        <w:tc>
          <w:tcPr>
            <w:tcW w:w="656" w:type="dxa"/>
            <w:shd w:val="clear" w:color="auto" w:fill="FFFFFF" w:themeFill="background1"/>
            <w:tcMar>
              <w:top w:w="0" w:type="dxa"/>
              <w:left w:w="0" w:type="dxa"/>
              <w:bottom w:w="0" w:type="dxa"/>
              <w:right w:w="0" w:type="dxa"/>
            </w:tcMar>
            <w:vAlign w:val="center"/>
            <w:hideMark/>
          </w:tcPr>
          <w:p w:rsidR="006D7F39" w:rsidRPr="00C811B7" w:rsidRDefault="006D7F39" w:rsidP="00072D09">
            <w:pPr>
              <w:pStyle w:val="ArticleTable"/>
              <w:rPr>
                <w:rFonts w:eastAsia="Times New Roman"/>
              </w:rPr>
            </w:pPr>
            <w:r w:rsidRPr="00C811B7">
              <w:rPr>
                <w:rFonts w:eastAsia="Calibri"/>
              </w:rPr>
              <w:t>101</w:t>
            </w:r>
          </w:p>
        </w:tc>
      </w:tr>
      <w:tr w:rsidR="006D7F39" w:rsidRPr="00C811B7" w:rsidTr="00072D09">
        <w:trPr>
          <w:trHeight w:val="227"/>
          <w:jc w:val="center"/>
        </w:trPr>
        <w:tc>
          <w:tcPr>
            <w:tcW w:w="631"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B-CC</w:t>
            </w:r>
          </w:p>
        </w:tc>
        <w:tc>
          <w:tcPr>
            <w:tcW w:w="1736"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1:1</w:t>
            </w:r>
          </w:p>
        </w:tc>
        <w:tc>
          <w:tcPr>
            <w:tcW w:w="1342"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98.2</w:t>
            </w:r>
          </w:p>
        </w:tc>
        <w:tc>
          <w:tcPr>
            <w:tcW w:w="517"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70</w:t>
            </w:r>
          </w:p>
        </w:tc>
        <w:tc>
          <w:tcPr>
            <w:tcW w:w="1159"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213</w:t>
            </w:r>
          </w:p>
        </w:tc>
        <w:tc>
          <w:tcPr>
            <w:tcW w:w="673"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5.4</w:t>
            </w:r>
          </w:p>
        </w:tc>
        <w:tc>
          <w:tcPr>
            <w:tcW w:w="420"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11.4</w:t>
            </w:r>
          </w:p>
        </w:tc>
        <w:tc>
          <w:tcPr>
            <w:tcW w:w="656" w:type="dxa"/>
            <w:shd w:val="clear" w:color="auto" w:fill="FFFFFF" w:themeFill="background1"/>
            <w:tcMar>
              <w:top w:w="0" w:type="dxa"/>
              <w:left w:w="0" w:type="dxa"/>
              <w:bottom w:w="0" w:type="dxa"/>
              <w:right w:w="0" w:type="dxa"/>
            </w:tcMar>
            <w:vAlign w:val="center"/>
            <w:hideMark/>
          </w:tcPr>
          <w:p w:rsidR="006D7F39" w:rsidRPr="00C811B7" w:rsidRDefault="006D7F39" w:rsidP="00072D09">
            <w:pPr>
              <w:pStyle w:val="ArticleTable"/>
              <w:rPr>
                <w:rFonts w:eastAsia="Times New Roman"/>
              </w:rPr>
            </w:pPr>
            <w:r w:rsidRPr="00C811B7">
              <w:rPr>
                <w:rFonts w:eastAsia="Calibri"/>
              </w:rPr>
              <w:t>83</w:t>
            </w:r>
          </w:p>
        </w:tc>
      </w:tr>
      <w:tr w:rsidR="006D7F39" w:rsidRPr="00C811B7" w:rsidTr="00072D09">
        <w:trPr>
          <w:trHeight w:val="227"/>
          <w:jc w:val="center"/>
        </w:trPr>
        <w:tc>
          <w:tcPr>
            <w:tcW w:w="631" w:type="dxa"/>
            <w:shd w:val="clear" w:color="auto" w:fill="FFFFFF" w:themeFill="background1"/>
            <w:vAlign w:val="center"/>
            <w:hideMark/>
          </w:tcPr>
          <w:p w:rsidR="006D7F39" w:rsidRPr="00C811B7" w:rsidRDefault="006D7F39" w:rsidP="00072D09">
            <w:pPr>
              <w:pStyle w:val="ArticleTable"/>
              <w:rPr>
                <w:rFonts w:eastAsia="Times New Roman"/>
              </w:rPr>
            </w:pPr>
          </w:p>
        </w:tc>
        <w:tc>
          <w:tcPr>
            <w:tcW w:w="1736"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1:1.5</w:t>
            </w:r>
          </w:p>
        </w:tc>
        <w:tc>
          <w:tcPr>
            <w:tcW w:w="1342"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97.8</w:t>
            </w:r>
          </w:p>
        </w:tc>
        <w:tc>
          <w:tcPr>
            <w:tcW w:w="517"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38</w:t>
            </w:r>
          </w:p>
        </w:tc>
        <w:tc>
          <w:tcPr>
            <w:tcW w:w="1159"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172</w:t>
            </w:r>
          </w:p>
        </w:tc>
        <w:tc>
          <w:tcPr>
            <w:tcW w:w="673"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20.9</w:t>
            </w:r>
          </w:p>
        </w:tc>
        <w:tc>
          <w:tcPr>
            <w:tcW w:w="420"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2.6</w:t>
            </w:r>
          </w:p>
        </w:tc>
        <w:tc>
          <w:tcPr>
            <w:tcW w:w="656" w:type="dxa"/>
            <w:shd w:val="clear" w:color="auto" w:fill="FFFFFF" w:themeFill="background1"/>
            <w:tcMar>
              <w:top w:w="0" w:type="dxa"/>
              <w:left w:w="0" w:type="dxa"/>
              <w:bottom w:w="0" w:type="dxa"/>
              <w:right w:w="0" w:type="dxa"/>
            </w:tcMar>
            <w:vAlign w:val="center"/>
            <w:hideMark/>
          </w:tcPr>
          <w:p w:rsidR="006D7F39" w:rsidRPr="00C811B7" w:rsidRDefault="006D7F39" w:rsidP="00072D09">
            <w:pPr>
              <w:pStyle w:val="ArticleTable"/>
              <w:rPr>
                <w:rFonts w:eastAsia="Times New Roman"/>
              </w:rPr>
            </w:pPr>
            <w:r w:rsidRPr="00C811B7">
              <w:rPr>
                <w:rFonts w:eastAsia="Calibri"/>
              </w:rPr>
              <w:t>983</w:t>
            </w:r>
          </w:p>
        </w:tc>
      </w:tr>
      <w:tr w:rsidR="006D7F39" w:rsidRPr="00C811B7" w:rsidTr="00072D09">
        <w:trPr>
          <w:trHeight w:val="227"/>
          <w:jc w:val="center"/>
        </w:trPr>
        <w:tc>
          <w:tcPr>
            <w:tcW w:w="631"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А-CC</w:t>
            </w:r>
          </w:p>
        </w:tc>
        <w:tc>
          <w:tcPr>
            <w:tcW w:w="1736"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1:1</w:t>
            </w:r>
          </w:p>
        </w:tc>
        <w:tc>
          <w:tcPr>
            <w:tcW w:w="1342"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96.1</w:t>
            </w:r>
          </w:p>
        </w:tc>
        <w:tc>
          <w:tcPr>
            <w:tcW w:w="517"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78</w:t>
            </w:r>
          </w:p>
        </w:tc>
        <w:tc>
          <w:tcPr>
            <w:tcW w:w="1159"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152</w:t>
            </w:r>
          </w:p>
        </w:tc>
        <w:tc>
          <w:tcPr>
            <w:tcW w:w="673"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26.2</w:t>
            </w:r>
          </w:p>
        </w:tc>
        <w:tc>
          <w:tcPr>
            <w:tcW w:w="420" w:type="dxa"/>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1.6</w:t>
            </w:r>
          </w:p>
        </w:tc>
        <w:tc>
          <w:tcPr>
            <w:tcW w:w="656" w:type="dxa"/>
            <w:shd w:val="clear" w:color="auto" w:fill="FFFFFF" w:themeFill="background1"/>
            <w:tcMar>
              <w:top w:w="0" w:type="dxa"/>
              <w:left w:w="0" w:type="dxa"/>
              <w:bottom w:w="0" w:type="dxa"/>
              <w:right w:w="0" w:type="dxa"/>
            </w:tcMar>
            <w:vAlign w:val="center"/>
            <w:hideMark/>
          </w:tcPr>
          <w:p w:rsidR="006D7F39" w:rsidRPr="00C811B7" w:rsidRDefault="006D7F39" w:rsidP="00072D09">
            <w:pPr>
              <w:pStyle w:val="ArticleTable"/>
              <w:rPr>
                <w:rFonts w:eastAsia="Times New Roman"/>
              </w:rPr>
            </w:pPr>
            <w:r w:rsidRPr="00C811B7">
              <w:rPr>
                <w:rFonts w:eastAsia="Calibri"/>
              </w:rPr>
              <w:t>1720</w:t>
            </w:r>
          </w:p>
        </w:tc>
      </w:tr>
      <w:tr w:rsidR="006D7F39" w:rsidRPr="00C811B7" w:rsidTr="00072D09">
        <w:trPr>
          <w:trHeight w:val="227"/>
          <w:jc w:val="center"/>
        </w:trPr>
        <w:tc>
          <w:tcPr>
            <w:tcW w:w="631" w:type="dxa"/>
            <w:tcBorders>
              <w:bottom w:val="single" w:sz="4" w:space="0" w:color="auto"/>
            </w:tcBorders>
            <w:shd w:val="clear" w:color="auto" w:fill="FFFFFF" w:themeFill="background1"/>
            <w:vAlign w:val="center"/>
            <w:hideMark/>
          </w:tcPr>
          <w:p w:rsidR="006D7F39" w:rsidRPr="00C811B7" w:rsidRDefault="006D7F39" w:rsidP="00072D09">
            <w:pPr>
              <w:pStyle w:val="ArticleTable"/>
              <w:rPr>
                <w:rFonts w:eastAsia="Times New Roman"/>
              </w:rPr>
            </w:pPr>
          </w:p>
        </w:tc>
        <w:tc>
          <w:tcPr>
            <w:tcW w:w="1736" w:type="dxa"/>
            <w:tcBorders>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1:1.5</w:t>
            </w:r>
          </w:p>
        </w:tc>
        <w:tc>
          <w:tcPr>
            <w:tcW w:w="1342" w:type="dxa"/>
            <w:tcBorders>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98.5</w:t>
            </w:r>
          </w:p>
        </w:tc>
        <w:tc>
          <w:tcPr>
            <w:tcW w:w="517" w:type="dxa"/>
            <w:tcBorders>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rPr>
                <w:rFonts w:eastAsia="Calibri"/>
              </w:rPr>
              <w:t>73</w:t>
            </w:r>
          </w:p>
        </w:tc>
        <w:tc>
          <w:tcPr>
            <w:tcW w:w="1159" w:type="dxa"/>
            <w:tcBorders>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173</w:t>
            </w:r>
          </w:p>
        </w:tc>
        <w:tc>
          <w:tcPr>
            <w:tcW w:w="673" w:type="dxa"/>
            <w:tcBorders>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65.6</w:t>
            </w:r>
          </w:p>
        </w:tc>
        <w:tc>
          <w:tcPr>
            <w:tcW w:w="420" w:type="dxa"/>
            <w:tcBorders>
              <w:bottom w:val="single" w:sz="4" w:space="0" w:color="auto"/>
            </w:tcBorders>
            <w:shd w:val="clear" w:color="auto" w:fill="FFFFFF" w:themeFill="background1"/>
            <w:tcMar>
              <w:top w:w="15" w:type="dxa"/>
              <w:left w:w="15" w:type="dxa"/>
              <w:bottom w:w="0" w:type="dxa"/>
              <w:right w:w="15" w:type="dxa"/>
            </w:tcMar>
            <w:vAlign w:val="center"/>
            <w:hideMark/>
          </w:tcPr>
          <w:p w:rsidR="006D7F39" w:rsidRPr="00C811B7" w:rsidRDefault="006D7F39" w:rsidP="00072D09">
            <w:pPr>
              <w:pStyle w:val="ArticleTable"/>
              <w:rPr>
                <w:rFonts w:eastAsia="Times New Roman"/>
              </w:rPr>
            </w:pPr>
            <w:r w:rsidRPr="00C811B7">
              <w:t>5.2</w:t>
            </w:r>
          </w:p>
        </w:tc>
        <w:tc>
          <w:tcPr>
            <w:tcW w:w="656" w:type="dxa"/>
            <w:tcBorders>
              <w:bottom w:val="single" w:sz="4" w:space="0" w:color="auto"/>
            </w:tcBorders>
            <w:shd w:val="clear" w:color="auto" w:fill="FFFFFF" w:themeFill="background1"/>
            <w:tcMar>
              <w:top w:w="0" w:type="dxa"/>
              <w:left w:w="0" w:type="dxa"/>
              <w:bottom w:w="0" w:type="dxa"/>
              <w:right w:w="0" w:type="dxa"/>
            </w:tcMar>
            <w:vAlign w:val="center"/>
            <w:hideMark/>
          </w:tcPr>
          <w:p w:rsidR="006D7F39" w:rsidRPr="00C811B7" w:rsidRDefault="006D7F39" w:rsidP="00072D09">
            <w:pPr>
              <w:pStyle w:val="ArticleTable"/>
              <w:rPr>
                <w:rFonts w:eastAsia="Times New Roman"/>
              </w:rPr>
            </w:pPr>
            <w:r w:rsidRPr="00C811B7">
              <w:t>2750</w:t>
            </w:r>
          </w:p>
        </w:tc>
      </w:tr>
      <w:tr w:rsidR="006D7F39" w:rsidRPr="00C811B7" w:rsidTr="00072D09">
        <w:trPr>
          <w:trHeight w:val="295"/>
          <w:jc w:val="center"/>
        </w:trPr>
        <w:tc>
          <w:tcPr>
            <w:tcW w:w="7134" w:type="dxa"/>
            <w:gridSpan w:val="8"/>
            <w:tcBorders>
              <w:top w:val="single" w:sz="4" w:space="0" w:color="auto"/>
              <w:bottom w:val="single" w:sz="4" w:space="0" w:color="auto"/>
            </w:tcBorders>
            <w:shd w:val="clear" w:color="auto" w:fill="FFFFFF" w:themeFill="background1"/>
            <w:vAlign w:val="center"/>
          </w:tcPr>
          <w:p w:rsidR="006D7F39" w:rsidRPr="00C811B7" w:rsidRDefault="006D7F39" w:rsidP="00072D09">
            <w:pPr>
              <w:pStyle w:val="ArticleTable"/>
            </w:pPr>
            <w:r w:rsidRPr="00C811B7">
              <w:t>APDEMS</w:t>
            </w:r>
          </w:p>
        </w:tc>
      </w:tr>
      <w:tr w:rsidR="006D7F39" w:rsidRPr="00C811B7" w:rsidTr="00072D09">
        <w:trPr>
          <w:trHeight w:val="227"/>
          <w:jc w:val="center"/>
        </w:trPr>
        <w:tc>
          <w:tcPr>
            <w:tcW w:w="631" w:type="dxa"/>
            <w:tcBorders>
              <w:top w:val="single" w:sz="4" w:space="0" w:color="auto"/>
            </w:tcBorders>
            <w:shd w:val="clear" w:color="auto" w:fill="FFFFFF" w:themeFill="background1"/>
            <w:vAlign w:val="center"/>
          </w:tcPr>
          <w:p w:rsidR="006D7F39" w:rsidRPr="00C811B7" w:rsidRDefault="006D7F39" w:rsidP="00072D09">
            <w:pPr>
              <w:pStyle w:val="ArticleTable"/>
              <w:rPr>
                <w:rFonts w:eastAsia="Times New Roman"/>
              </w:rPr>
            </w:pPr>
            <w:r w:rsidRPr="00C811B7">
              <w:t>L-CC</w:t>
            </w:r>
          </w:p>
        </w:tc>
        <w:tc>
          <w:tcPr>
            <w:tcW w:w="1736" w:type="dxa"/>
            <w:tcBorders>
              <w:top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t>1:1</w:t>
            </w:r>
          </w:p>
        </w:tc>
        <w:tc>
          <w:tcPr>
            <w:tcW w:w="1342" w:type="dxa"/>
            <w:tcBorders>
              <w:top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89.2</w:t>
            </w:r>
          </w:p>
        </w:tc>
        <w:tc>
          <w:tcPr>
            <w:tcW w:w="517" w:type="dxa"/>
            <w:tcBorders>
              <w:top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t>–25</w:t>
            </w:r>
          </w:p>
        </w:tc>
        <w:tc>
          <w:tcPr>
            <w:tcW w:w="1159" w:type="dxa"/>
            <w:tcBorders>
              <w:top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t>228</w:t>
            </w:r>
          </w:p>
        </w:tc>
        <w:tc>
          <w:tcPr>
            <w:tcW w:w="673" w:type="dxa"/>
            <w:tcBorders>
              <w:top w:val="single" w:sz="4" w:space="0" w:color="auto"/>
            </w:tcBorders>
            <w:shd w:val="clear" w:color="auto" w:fill="FFFFFF" w:themeFill="background1"/>
            <w:tcMar>
              <w:top w:w="15" w:type="dxa"/>
              <w:left w:w="15" w:type="dxa"/>
              <w:bottom w:w="0" w:type="dxa"/>
              <w:right w:w="15" w:type="dxa"/>
            </w:tcMar>
          </w:tcPr>
          <w:p w:rsidR="006D7F39" w:rsidRPr="00C811B7" w:rsidRDefault="006D7F39" w:rsidP="00072D09">
            <w:pPr>
              <w:pStyle w:val="ArticleTable"/>
            </w:pPr>
            <w:r w:rsidRPr="00C811B7">
              <w:t>–</w:t>
            </w:r>
          </w:p>
        </w:tc>
        <w:tc>
          <w:tcPr>
            <w:tcW w:w="420" w:type="dxa"/>
            <w:tcBorders>
              <w:top w:val="single" w:sz="4" w:space="0" w:color="auto"/>
            </w:tcBorders>
            <w:shd w:val="clear" w:color="auto" w:fill="FFFFFF" w:themeFill="background1"/>
            <w:tcMar>
              <w:top w:w="15" w:type="dxa"/>
              <w:left w:w="15" w:type="dxa"/>
              <w:bottom w:w="0" w:type="dxa"/>
              <w:right w:w="15" w:type="dxa"/>
            </w:tcMar>
          </w:tcPr>
          <w:p w:rsidR="006D7F39" w:rsidRPr="00C811B7" w:rsidRDefault="006D7F39" w:rsidP="00072D09">
            <w:pPr>
              <w:pStyle w:val="ArticleTable"/>
            </w:pPr>
            <w:r w:rsidRPr="00C811B7">
              <w:t>–</w:t>
            </w:r>
          </w:p>
        </w:tc>
        <w:tc>
          <w:tcPr>
            <w:tcW w:w="656" w:type="dxa"/>
            <w:tcBorders>
              <w:top w:val="single" w:sz="4" w:space="0" w:color="auto"/>
            </w:tcBorders>
            <w:shd w:val="clear" w:color="auto" w:fill="FFFFFF" w:themeFill="background1"/>
            <w:tcMar>
              <w:top w:w="0" w:type="dxa"/>
              <w:left w:w="0" w:type="dxa"/>
              <w:bottom w:w="0" w:type="dxa"/>
              <w:right w:w="0" w:type="dxa"/>
            </w:tcMar>
          </w:tcPr>
          <w:p w:rsidR="006D7F39" w:rsidRPr="00C811B7" w:rsidRDefault="006D7F39" w:rsidP="00072D09">
            <w:pPr>
              <w:pStyle w:val="ArticleTable"/>
            </w:pPr>
            <w:r w:rsidRPr="00C811B7">
              <w:t>–</w:t>
            </w:r>
          </w:p>
        </w:tc>
      </w:tr>
      <w:tr w:rsidR="006D7F39" w:rsidRPr="00C811B7" w:rsidTr="00072D09">
        <w:trPr>
          <w:trHeight w:val="227"/>
          <w:jc w:val="center"/>
        </w:trPr>
        <w:tc>
          <w:tcPr>
            <w:tcW w:w="631" w:type="dxa"/>
            <w:shd w:val="clear" w:color="auto" w:fill="FFFFFF" w:themeFill="background1"/>
            <w:vAlign w:val="center"/>
          </w:tcPr>
          <w:p w:rsidR="006D7F39" w:rsidRPr="00C811B7" w:rsidRDefault="006D7F39" w:rsidP="00072D09">
            <w:pPr>
              <w:pStyle w:val="ArticleTable"/>
              <w:rPr>
                <w:rFonts w:eastAsia="Times New Roman"/>
              </w:rPr>
            </w:pPr>
          </w:p>
        </w:tc>
        <w:tc>
          <w:tcPr>
            <w:tcW w:w="1736"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t>1:1.5</w:t>
            </w:r>
          </w:p>
        </w:tc>
        <w:tc>
          <w:tcPr>
            <w:tcW w:w="1342"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96.6</w:t>
            </w:r>
          </w:p>
        </w:tc>
        <w:tc>
          <w:tcPr>
            <w:tcW w:w="517"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t>–20</w:t>
            </w:r>
          </w:p>
        </w:tc>
        <w:tc>
          <w:tcPr>
            <w:tcW w:w="1159"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Theme="minorEastAsia"/>
                <w:kern w:val="24"/>
              </w:rPr>
              <w:t>223</w:t>
            </w:r>
          </w:p>
        </w:tc>
        <w:tc>
          <w:tcPr>
            <w:tcW w:w="673"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1,9</w:t>
            </w:r>
          </w:p>
        </w:tc>
        <w:tc>
          <w:tcPr>
            <w:tcW w:w="420"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37</w:t>
            </w:r>
          </w:p>
        </w:tc>
        <w:tc>
          <w:tcPr>
            <w:tcW w:w="656" w:type="dxa"/>
            <w:shd w:val="clear" w:color="auto" w:fill="FFFFFF" w:themeFill="background1"/>
            <w:tcMar>
              <w:top w:w="0" w:type="dxa"/>
              <w:left w:w="0" w:type="dxa"/>
              <w:bottom w:w="0" w:type="dxa"/>
              <w:right w:w="0" w:type="dxa"/>
            </w:tcMar>
            <w:vAlign w:val="center"/>
          </w:tcPr>
          <w:p w:rsidR="006D7F39" w:rsidRPr="00C811B7" w:rsidRDefault="006D7F39" w:rsidP="00072D09">
            <w:pPr>
              <w:pStyle w:val="ArticleTable"/>
            </w:pPr>
            <w:r w:rsidRPr="00C811B7">
              <w:rPr>
                <w:rFonts w:eastAsia="Calibri"/>
              </w:rPr>
              <w:t>6</w:t>
            </w:r>
          </w:p>
        </w:tc>
      </w:tr>
      <w:tr w:rsidR="006D7F39" w:rsidRPr="00C811B7" w:rsidTr="00072D09">
        <w:trPr>
          <w:trHeight w:val="227"/>
          <w:jc w:val="center"/>
        </w:trPr>
        <w:tc>
          <w:tcPr>
            <w:tcW w:w="631" w:type="dxa"/>
            <w:shd w:val="clear" w:color="auto" w:fill="FFFFFF" w:themeFill="background1"/>
            <w:vAlign w:val="center"/>
          </w:tcPr>
          <w:p w:rsidR="006D7F39" w:rsidRPr="00C811B7" w:rsidRDefault="006D7F39" w:rsidP="00072D09">
            <w:pPr>
              <w:pStyle w:val="ArticleTable"/>
              <w:rPr>
                <w:rFonts w:eastAsia="Times New Roman"/>
              </w:rPr>
            </w:pPr>
            <w:r w:rsidRPr="00C811B7">
              <w:t>LB-CC</w:t>
            </w:r>
          </w:p>
        </w:tc>
        <w:tc>
          <w:tcPr>
            <w:tcW w:w="1736"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1:1</w:t>
            </w:r>
          </w:p>
        </w:tc>
        <w:tc>
          <w:tcPr>
            <w:tcW w:w="1342"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89.1</w:t>
            </w:r>
          </w:p>
        </w:tc>
        <w:tc>
          <w:tcPr>
            <w:tcW w:w="517"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t>–</w:t>
            </w:r>
            <w:r w:rsidRPr="00C811B7">
              <w:rPr>
                <w:rFonts w:eastAsia="Calibri"/>
              </w:rPr>
              <w:t>4</w:t>
            </w:r>
          </w:p>
        </w:tc>
        <w:tc>
          <w:tcPr>
            <w:tcW w:w="1159"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t>252</w:t>
            </w:r>
          </w:p>
        </w:tc>
        <w:tc>
          <w:tcPr>
            <w:tcW w:w="673"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t>3.1</w:t>
            </w:r>
          </w:p>
        </w:tc>
        <w:tc>
          <w:tcPr>
            <w:tcW w:w="420"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t>29.5</w:t>
            </w:r>
          </w:p>
        </w:tc>
        <w:tc>
          <w:tcPr>
            <w:tcW w:w="656" w:type="dxa"/>
            <w:shd w:val="clear" w:color="auto" w:fill="FFFFFF" w:themeFill="background1"/>
            <w:tcMar>
              <w:top w:w="0" w:type="dxa"/>
              <w:left w:w="0" w:type="dxa"/>
              <w:bottom w:w="0" w:type="dxa"/>
              <w:right w:w="0" w:type="dxa"/>
            </w:tcMar>
            <w:vAlign w:val="center"/>
          </w:tcPr>
          <w:p w:rsidR="006D7F39" w:rsidRPr="00C811B7" w:rsidRDefault="006D7F39" w:rsidP="00072D09">
            <w:pPr>
              <w:pStyle w:val="ArticleTable"/>
            </w:pPr>
            <w:r w:rsidRPr="00C811B7">
              <w:t>11</w:t>
            </w:r>
          </w:p>
        </w:tc>
      </w:tr>
      <w:tr w:rsidR="006D7F39" w:rsidRPr="00C811B7" w:rsidTr="00072D09">
        <w:trPr>
          <w:trHeight w:val="227"/>
          <w:jc w:val="center"/>
        </w:trPr>
        <w:tc>
          <w:tcPr>
            <w:tcW w:w="631" w:type="dxa"/>
            <w:shd w:val="clear" w:color="auto" w:fill="FFFFFF" w:themeFill="background1"/>
            <w:vAlign w:val="center"/>
          </w:tcPr>
          <w:p w:rsidR="006D7F39" w:rsidRPr="00C811B7" w:rsidRDefault="006D7F39" w:rsidP="00072D09">
            <w:pPr>
              <w:pStyle w:val="ArticleTable"/>
              <w:rPr>
                <w:rFonts w:eastAsia="Times New Roman"/>
              </w:rPr>
            </w:pPr>
          </w:p>
        </w:tc>
        <w:tc>
          <w:tcPr>
            <w:tcW w:w="1736"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t>1:1.5</w:t>
            </w:r>
          </w:p>
        </w:tc>
        <w:tc>
          <w:tcPr>
            <w:tcW w:w="1342"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98.2</w:t>
            </w:r>
          </w:p>
        </w:tc>
        <w:tc>
          <w:tcPr>
            <w:tcW w:w="517"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t>–</w:t>
            </w:r>
            <w:r w:rsidRPr="00C811B7">
              <w:rPr>
                <w:rFonts w:eastAsia="Calibri"/>
              </w:rPr>
              <w:t>6</w:t>
            </w:r>
          </w:p>
        </w:tc>
        <w:tc>
          <w:tcPr>
            <w:tcW w:w="1159"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220</w:t>
            </w:r>
          </w:p>
        </w:tc>
        <w:tc>
          <w:tcPr>
            <w:tcW w:w="673"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2.4</w:t>
            </w:r>
          </w:p>
        </w:tc>
        <w:tc>
          <w:tcPr>
            <w:tcW w:w="420"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32.1</w:t>
            </w:r>
          </w:p>
        </w:tc>
        <w:tc>
          <w:tcPr>
            <w:tcW w:w="656" w:type="dxa"/>
            <w:shd w:val="clear" w:color="auto" w:fill="FFFFFF" w:themeFill="background1"/>
            <w:tcMar>
              <w:top w:w="0" w:type="dxa"/>
              <w:left w:w="0" w:type="dxa"/>
              <w:bottom w:w="0" w:type="dxa"/>
              <w:right w:w="0" w:type="dxa"/>
            </w:tcMar>
            <w:vAlign w:val="center"/>
          </w:tcPr>
          <w:p w:rsidR="006D7F39" w:rsidRPr="00C811B7" w:rsidRDefault="006D7F39" w:rsidP="00072D09">
            <w:pPr>
              <w:pStyle w:val="ArticleTable"/>
            </w:pPr>
            <w:r w:rsidRPr="00C811B7">
              <w:rPr>
                <w:rFonts w:eastAsia="Calibri"/>
              </w:rPr>
              <w:t>7</w:t>
            </w:r>
          </w:p>
        </w:tc>
      </w:tr>
      <w:tr w:rsidR="006D7F39" w:rsidRPr="00C811B7" w:rsidTr="00072D09">
        <w:trPr>
          <w:trHeight w:val="227"/>
          <w:jc w:val="center"/>
        </w:trPr>
        <w:tc>
          <w:tcPr>
            <w:tcW w:w="631" w:type="dxa"/>
            <w:shd w:val="clear" w:color="auto" w:fill="FFFFFF" w:themeFill="background1"/>
            <w:vAlign w:val="center"/>
          </w:tcPr>
          <w:p w:rsidR="006D7F39" w:rsidRPr="00C811B7" w:rsidRDefault="006D7F39" w:rsidP="00072D09">
            <w:pPr>
              <w:pStyle w:val="ArticleTable"/>
              <w:rPr>
                <w:rFonts w:eastAsia="Times New Roman"/>
              </w:rPr>
            </w:pPr>
            <w:r w:rsidRPr="00C811B7">
              <w:t>B-CC</w:t>
            </w:r>
          </w:p>
        </w:tc>
        <w:tc>
          <w:tcPr>
            <w:tcW w:w="1736"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1:1</w:t>
            </w:r>
          </w:p>
        </w:tc>
        <w:tc>
          <w:tcPr>
            <w:tcW w:w="1342"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98.9</w:t>
            </w:r>
          </w:p>
        </w:tc>
        <w:tc>
          <w:tcPr>
            <w:tcW w:w="517"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6</w:t>
            </w:r>
          </w:p>
        </w:tc>
        <w:tc>
          <w:tcPr>
            <w:tcW w:w="1159"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159</w:t>
            </w:r>
          </w:p>
        </w:tc>
        <w:tc>
          <w:tcPr>
            <w:tcW w:w="673"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4.9</w:t>
            </w:r>
          </w:p>
        </w:tc>
        <w:tc>
          <w:tcPr>
            <w:tcW w:w="420"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37</w:t>
            </w:r>
          </w:p>
        </w:tc>
        <w:tc>
          <w:tcPr>
            <w:tcW w:w="656" w:type="dxa"/>
            <w:shd w:val="clear" w:color="auto" w:fill="FFFFFF" w:themeFill="background1"/>
            <w:tcMar>
              <w:top w:w="0" w:type="dxa"/>
              <w:left w:w="0" w:type="dxa"/>
              <w:bottom w:w="0" w:type="dxa"/>
              <w:right w:w="0" w:type="dxa"/>
            </w:tcMar>
            <w:vAlign w:val="center"/>
          </w:tcPr>
          <w:p w:rsidR="006D7F39" w:rsidRPr="00C811B7" w:rsidRDefault="006D7F39" w:rsidP="00072D09">
            <w:pPr>
              <w:pStyle w:val="ArticleTable"/>
            </w:pPr>
            <w:r w:rsidRPr="00C811B7">
              <w:rPr>
                <w:rFonts w:eastAsia="Calibri"/>
              </w:rPr>
              <w:t>26</w:t>
            </w:r>
          </w:p>
        </w:tc>
      </w:tr>
      <w:tr w:rsidR="006D7F39" w:rsidRPr="00C811B7" w:rsidTr="00072D09">
        <w:trPr>
          <w:trHeight w:val="227"/>
          <w:jc w:val="center"/>
        </w:trPr>
        <w:tc>
          <w:tcPr>
            <w:tcW w:w="631" w:type="dxa"/>
            <w:shd w:val="clear" w:color="auto" w:fill="FFFFFF" w:themeFill="background1"/>
            <w:vAlign w:val="center"/>
          </w:tcPr>
          <w:p w:rsidR="006D7F39" w:rsidRPr="00C811B7" w:rsidRDefault="006D7F39" w:rsidP="00072D09">
            <w:pPr>
              <w:pStyle w:val="ArticleTable"/>
              <w:rPr>
                <w:rFonts w:eastAsia="Times New Roman"/>
              </w:rPr>
            </w:pPr>
          </w:p>
        </w:tc>
        <w:tc>
          <w:tcPr>
            <w:tcW w:w="1736"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1:1.5</w:t>
            </w:r>
          </w:p>
        </w:tc>
        <w:tc>
          <w:tcPr>
            <w:tcW w:w="1342"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98.1</w:t>
            </w:r>
          </w:p>
        </w:tc>
        <w:tc>
          <w:tcPr>
            <w:tcW w:w="517"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t>11</w:t>
            </w:r>
          </w:p>
        </w:tc>
        <w:tc>
          <w:tcPr>
            <w:tcW w:w="1159"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t>154</w:t>
            </w:r>
          </w:p>
        </w:tc>
        <w:tc>
          <w:tcPr>
            <w:tcW w:w="673"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5.3</w:t>
            </w:r>
          </w:p>
        </w:tc>
        <w:tc>
          <w:tcPr>
            <w:tcW w:w="420"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Calibri"/>
              </w:rPr>
              <w:t>35.7</w:t>
            </w:r>
          </w:p>
        </w:tc>
        <w:tc>
          <w:tcPr>
            <w:tcW w:w="656" w:type="dxa"/>
            <w:shd w:val="clear" w:color="auto" w:fill="FFFFFF" w:themeFill="background1"/>
            <w:tcMar>
              <w:top w:w="0" w:type="dxa"/>
              <w:left w:w="0" w:type="dxa"/>
              <w:bottom w:w="0" w:type="dxa"/>
              <w:right w:w="0" w:type="dxa"/>
            </w:tcMar>
            <w:vAlign w:val="center"/>
          </w:tcPr>
          <w:p w:rsidR="006D7F39" w:rsidRPr="00C811B7" w:rsidRDefault="006D7F39" w:rsidP="00072D09">
            <w:pPr>
              <w:pStyle w:val="ArticleTable"/>
            </w:pPr>
            <w:r w:rsidRPr="00C811B7">
              <w:rPr>
                <w:rFonts w:eastAsia="Calibri"/>
              </w:rPr>
              <w:t>34</w:t>
            </w:r>
          </w:p>
        </w:tc>
      </w:tr>
      <w:tr w:rsidR="006D7F39" w:rsidRPr="00C811B7" w:rsidTr="00072D09">
        <w:trPr>
          <w:trHeight w:val="227"/>
          <w:jc w:val="center"/>
        </w:trPr>
        <w:tc>
          <w:tcPr>
            <w:tcW w:w="631" w:type="dxa"/>
            <w:shd w:val="clear" w:color="auto" w:fill="FFFFFF" w:themeFill="background1"/>
            <w:vAlign w:val="center"/>
          </w:tcPr>
          <w:p w:rsidR="006D7F39" w:rsidRPr="00C811B7" w:rsidRDefault="006D7F39" w:rsidP="00072D09">
            <w:pPr>
              <w:pStyle w:val="ArticleTable"/>
              <w:rPr>
                <w:rFonts w:eastAsia="Times New Roman"/>
              </w:rPr>
            </w:pPr>
            <w:r w:rsidRPr="00C811B7">
              <w:t>А-CC</w:t>
            </w:r>
          </w:p>
        </w:tc>
        <w:tc>
          <w:tcPr>
            <w:tcW w:w="1736"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1:1</w:t>
            </w:r>
          </w:p>
        </w:tc>
        <w:tc>
          <w:tcPr>
            <w:tcW w:w="1342"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92.3</w:t>
            </w:r>
          </w:p>
        </w:tc>
        <w:tc>
          <w:tcPr>
            <w:tcW w:w="517"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42</w:t>
            </w:r>
          </w:p>
        </w:tc>
        <w:tc>
          <w:tcPr>
            <w:tcW w:w="1159"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t>230</w:t>
            </w:r>
          </w:p>
        </w:tc>
        <w:tc>
          <w:tcPr>
            <w:tcW w:w="673"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t>21.8</w:t>
            </w:r>
          </w:p>
        </w:tc>
        <w:tc>
          <w:tcPr>
            <w:tcW w:w="420" w:type="dxa"/>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t>36.3</w:t>
            </w:r>
          </w:p>
        </w:tc>
        <w:tc>
          <w:tcPr>
            <w:tcW w:w="656" w:type="dxa"/>
            <w:shd w:val="clear" w:color="auto" w:fill="FFFFFF" w:themeFill="background1"/>
            <w:tcMar>
              <w:top w:w="0" w:type="dxa"/>
              <w:left w:w="0" w:type="dxa"/>
              <w:bottom w:w="0" w:type="dxa"/>
              <w:right w:w="0" w:type="dxa"/>
            </w:tcMar>
            <w:vAlign w:val="center"/>
          </w:tcPr>
          <w:p w:rsidR="006D7F39" w:rsidRPr="00C811B7" w:rsidRDefault="006D7F39" w:rsidP="00072D09">
            <w:pPr>
              <w:pStyle w:val="ArticleTable"/>
            </w:pPr>
            <w:r w:rsidRPr="00C811B7">
              <w:t>830</w:t>
            </w:r>
          </w:p>
        </w:tc>
      </w:tr>
      <w:tr w:rsidR="00072D09" w:rsidRPr="00C811B7" w:rsidTr="00072D09">
        <w:trPr>
          <w:trHeight w:val="227"/>
          <w:jc w:val="center"/>
        </w:trPr>
        <w:tc>
          <w:tcPr>
            <w:tcW w:w="631" w:type="dxa"/>
            <w:tcBorders>
              <w:bottom w:val="single" w:sz="4" w:space="0" w:color="auto"/>
            </w:tcBorders>
            <w:shd w:val="clear" w:color="auto" w:fill="FFFFFF" w:themeFill="background1"/>
            <w:vAlign w:val="center"/>
          </w:tcPr>
          <w:p w:rsidR="006D7F39" w:rsidRPr="00C811B7" w:rsidRDefault="006D7F39" w:rsidP="00072D09">
            <w:pPr>
              <w:pStyle w:val="ArticleTable"/>
              <w:rPr>
                <w:rFonts w:eastAsia="Times New Roman"/>
              </w:rPr>
            </w:pPr>
          </w:p>
        </w:tc>
        <w:tc>
          <w:tcPr>
            <w:tcW w:w="1736" w:type="dxa"/>
            <w:tcBorders>
              <w:bottom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1:1.5</w:t>
            </w:r>
          </w:p>
        </w:tc>
        <w:tc>
          <w:tcPr>
            <w:tcW w:w="1342" w:type="dxa"/>
            <w:tcBorders>
              <w:bottom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Calibri"/>
              </w:rPr>
              <w:t>99.1</w:t>
            </w:r>
          </w:p>
        </w:tc>
        <w:tc>
          <w:tcPr>
            <w:tcW w:w="517" w:type="dxa"/>
            <w:tcBorders>
              <w:bottom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rPr>
                <w:rFonts w:eastAsia="Calibri"/>
              </w:rPr>
            </w:pPr>
            <w:r w:rsidRPr="00C811B7">
              <w:rPr>
                <w:rFonts w:eastAsiaTheme="minorEastAsia"/>
              </w:rPr>
              <w:t>67</w:t>
            </w:r>
          </w:p>
        </w:tc>
        <w:tc>
          <w:tcPr>
            <w:tcW w:w="1159" w:type="dxa"/>
            <w:tcBorders>
              <w:bottom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Theme="minorEastAsia"/>
              </w:rPr>
              <w:t>135</w:t>
            </w:r>
          </w:p>
        </w:tc>
        <w:tc>
          <w:tcPr>
            <w:tcW w:w="673" w:type="dxa"/>
            <w:tcBorders>
              <w:bottom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Theme="minorEastAsia"/>
              </w:rPr>
              <w:t>52.5</w:t>
            </w:r>
          </w:p>
        </w:tc>
        <w:tc>
          <w:tcPr>
            <w:tcW w:w="420" w:type="dxa"/>
            <w:tcBorders>
              <w:bottom w:val="single" w:sz="4" w:space="0" w:color="auto"/>
            </w:tcBorders>
            <w:shd w:val="clear" w:color="auto" w:fill="FFFFFF" w:themeFill="background1"/>
            <w:tcMar>
              <w:top w:w="15" w:type="dxa"/>
              <w:left w:w="15" w:type="dxa"/>
              <w:bottom w:w="0" w:type="dxa"/>
              <w:right w:w="15" w:type="dxa"/>
            </w:tcMar>
            <w:vAlign w:val="center"/>
          </w:tcPr>
          <w:p w:rsidR="006D7F39" w:rsidRPr="00C811B7" w:rsidRDefault="006D7F39" w:rsidP="00072D09">
            <w:pPr>
              <w:pStyle w:val="ArticleTable"/>
            </w:pPr>
            <w:r w:rsidRPr="00C811B7">
              <w:rPr>
                <w:rFonts w:eastAsiaTheme="minorEastAsia"/>
              </w:rPr>
              <w:t>5.2</w:t>
            </w:r>
          </w:p>
        </w:tc>
        <w:tc>
          <w:tcPr>
            <w:tcW w:w="656" w:type="dxa"/>
            <w:tcBorders>
              <w:bottom w:val="single" w:sz="4" w:space="0" w:color="auto"/>
            </w:tcBorders>
            <w:shd w:val="clear" w:color="auto" w:fill="FFFFFF" w:themeFill="background1"/>
            <w:tcMar>
              <w:top w:w="0" w:type="dxa"/>
              <w:left w:w="0" w:type="dxa"/>
              <w:bottom w:w="0" w:type="dxa"/>
              <w:right w:w="0" w:type="dxa"/>
            </w:tcMar>
            <w:vAlign w:val="center"/>
          </w:tcPr>
          <w:p w:rsidR="006D7F39" w:rsidRPr="00C811B7" w:rsidRDefault="006D7F39" w:rsidP="00072D09">
            <w:pPr>
              <w:pStyle w:val="ArticleTable"/>
            </w:pPr>
            <w:r w:rsidRPr="00C811B7">
              <w:rPr>
                <w:rFonts w:eastAsia="Calibri"/>
              </w:rPr>
              <w:t>2034</w:t>
            </w:r>
          </w:p>
        </w:tc>
      </w:tr>
      <w:tr w:rsidR="00072D09" w:rsidRPr="00072D09" w:rsidTr="00072D09">
        <w:trPr>
          <w:trHeight w:val="227"/>
          <w:jc w:val="center"/>
        </w:trPr>
        <w:tc>
          <w:tcPr>
            <w:tcW w:w="7134" w:type="dxa"/>
            <w:gridSpan w:val="8"/>
            <w:tcBorders>
              <w:top w:val="single" w:sz="4" w:space="0" w:color="auto"/>
            </w:tcBorders>
            <w:shd w:val="clear" w:color="auto" w:fill="FFFFFF" w:themeFill="background1"/>
            <w:vAlign w:val="center"/>
          </w:tcPr>
          <w:p w:rsidR="00072D09" w:rsidRPr="00C811B7" w:rsidRDefault="00072D09" w:rsidP="00AA479C">
            <w:pPr>
              <w:pStyle w:val="ArticleTableLegend"/>
              <w:rPr>
                <w:rFonts w:eastAsia="Calibri"/>
              </w:rPr>
            </w:pPr>
            <w:proofErr w:type="gramStart"/>
            <w:r w:rsidRPr="00C811B7">
              <w:rPr>
                <w:lang w:val="ru-RU"/>
              </w:rPr>
              <w:t>ТМА</w:t>
            </w:r>
            <w:proofErr w:type="gramEnd"/>
            <w:r w:rsidRPr="00C811B7">
              <w:t>—</w:t>
            </w:r>
            <w:proofErr w:type="spellStart"/>
            <w:r w:rsidRPr="00C811B7">
              <w:t>thermomechanical</w:t>
            </w:r>
            <w:proofErr w:type="spellEnd"/>
            <w:r w:rsidRPr="00C811B7">
              <w:t xml:space="preserve"> analysis; TGA—</w:t>
            </w:r>
            <w:proofErr w:type="spellStart"/>
            <w:r w:rsidRPr="00C811B7">
              <w:t>thermogravimetric</w:t>
            </w:r>
            <w:proofErr w:type="spellEnd"/>
            <w:r w:rsidRPr="00C811B7">
              <w:t xml:space="preserve"> analysis; </w:t>
            </w:r>
            <w:proofErr w:type="spellStart"/>
            <w:r w:rsidRPr="00C811B7">
              <w:rPr>
                <w:i/>
              </w:rPr>
              <w:t>T</w:t>
            </w:r>
            <w:r w:rsidRPr="00C811B7">
              <w:rPr>
                <w:vertAlign w:val="subscript"/>
              </w:rPr>
              <w:t>g</w:t>
            </w:r>
            <w:proofErr w:type="spellEnd"/>
            <w:r w:rsidRPr="00C811B7">
              <w:t xml:space="preserve">—glass-transition temperature; </w:t>
            </w:r>
            <w:r w:rsidRPr="00C811B7">
              <w:rPr>
                <w:i/>
              </w:rPr>
              <w:t>T</w:t>
            </w:r>
            <w:r w:rsidRPr="00C811B7">
              <w:rPr>
                <w:vertAlign w:val="subscript"/>
              </w:rPr>
              <w:t>d</w:t>
            </w:r>
            <w:r w:rsidRPr="00C811B7">
              <w:rPr>
                <w:vertAlign w:val="superscript"/>
              </w:rPr>
              <w:t>5%</w:t>
            </w:r>
            <w:r w:rsidRPr="00C811B7">
              <w:t xml:space="preserve">—decomposition temperature corresponding to 5% mass loss; </w:t>
            </w:r>
            <w:r w:rsidRPr="00C811B7">
              <w:rPr>
                <w:i/>
                <w:lang w:val="ru-RU"/>
              </w:rPr>
              <w:t>σ</w:t>
            </w:r>
            <w:r w:rsidRPr="00C811B7">
              <w:rPr>
                <w:i/>
              </w:rPr>
              <w:t>—</w:t>
            </w:r>
            <w:r w:rsidRPr="00C811B7">
              <w:t xml:space="preserve">tensile strength; </w:t>
            </w:r>
            <w:r w:rsidRPr="00C811B7">
              <w:rPr>
                <w:lang w:val="ru-RU"/>
              </w:rPr>
              <w:t>ε</w:t>
            </w:r>
            <w:r w:rsidRPr="00C811B7">
              <w:t xml:space="preserve">—relative elongation; </w:t>
            </w:r>
            <w:r w:rsidRPr="00C811B7">
              <w:rPr>
                <w:i/>
              </w:rPr>
              <w:t>E—</w:t>
            </w:r>
            <w:r w:rsidRPr="00C811B7">
              <w:t>elastic modulus.</w:t>
            </w:r>
          </w:p>
        </w:tc>
      </w:tr>
    </w:tbl>
    <w:p w:rsidR="006D7F39" w:rsidRPr="00C811B7" w:rsidRDefault="006D7F39" w:rsidP="00E42D71">
      <w:pPr>
        <w:pStyle w:val="Text"/>
        <w:spacing w:before="200"/>
        <w:rPr>
          <w:lang w:val="en-US"/>
        </w:rPr>
      </w:pPr>
      <w:r w:rsidRPr="00C811B7">
        <w:rPr>
          <w:lang w:val="en-US"/>
        </w:rPr>
        <w:t>The mechanical tests revealed a significant impact of the organic block structure on the tensile strength. On passing from the linear aliphatic structure of the organic block to the branched and aromatic structures, the value of</w:t>
      </w:r>
      <w:r w:rsidRPr="00C811B7">
        <w:rPr>
          <w:rFonts w:eastAsia="Helvetica Neue Medium"/>
          <w:i/>
          <w:iCs/>
          <w:color w:val="000000"/>
          <w:sz w:val="16"/>
          <w:szCs w:val="16"/>
          <w:lang w:val="en-US"/>
        </w:rPr>
        <w:t xml:space="preserve"> </w:t>
      </w:r>
      <w:r w:rsidRPr="00C811B7">
        <w:rPr>
          <w:rFonts w:eastAsia="Helvetica Neue Medium"/>
          <w:i/>
          <w:iCs/>
          <w:color w:val="000000"/>
        </w:rPr>
        <w:t>σ</w:t>
      </w:r>
      <w:r w:rsidRPr="00C811B7">
        <w:rPr>
          <w:lang w:val="en-US"/>
        </w:rPr>
        <w:t xml:space="preserve"> increased from 1 to 65 </w:t>
      </w:r>
      <w:proofErr w:type="spellStart"/>
      <w:r w:rsidRPr="00C811B7">
        <w:rPr>
          <w:lang w:val="en-US"/>
        </w:rPr>
        <w:t>MPa</w:t>
      </w:r>
      <w:proofErr w:type="spellEnd"/>
      <w:r w:rsidRPr="00C811B7">
        <w:rPr>
          <w:lang w:val="en-US"/>
        </w:rPr>
        <w:t>. The relative elongation was strongly influenced by the structure and amount of amine, or more precisely by the number of cross-links formed during curing; on passing from APTES to APDEMS, the values changed from 5 to 37%.</w:t>
      </w:r>
    </w:p>
    <w:p w:rsidR="006D7F39" w:rsidRPr="00C811B7" w:rsidRDefault="006D7F39" w:rsidP="003947D6">
      <w:pPr>
        <w:pStyle w:val="Text"/>
        <w:rPr>
          <w:lang w:val="en-US"/>
        </w:rPr>
      </w:pPr>
      <w:r w:rsidRPr="00C811B7">
        <w:rPr>
          <w:lang w:val="en-US"/>
        </w:rPr>
        <w:t xml:space="preserve">The A-CC-based samples clearly showed that an excess of the amine leads to the formation of a denser network, thus affording a significant increase in the tensile strength (from 21 to 53 </w:t>
      </w:r>
      <w:proofErr w:type="spellStart"/>
      <w:r w:rsidRPr="00C811B7">
        <w:rPr>
          <w:lang w:val="en-US"/>
        </w:rPr>
        <w:t>MPa</w:t>
      </w:r>
      <w:proofErr w:type="spellEnd"/>
      <w:r w:rsidRPr="00C811B7">
        <w:rPr>
          <w:lang w:val="en-US"/>
        </w:rPr>
        <w:t xml:space="preserve">), a decrease in the relative elongation (from 36 to 5%), and, consequently, a significant increase in the elastic modulus (from 830 to 2034 </w:t>
      </w:r>
      <w:proofErr w:type="spellStart"/>
      <w:r w:rsidRPr="00C811B7">
        <w:rPr>
          <w:lang w:val="en-US"/>
        </w:rPr>
        <w:t>MPa</w:t>
      </w:r>
      <w:proofErr w:type="spellEnd"/>
      <w:r w:rsidRPr="00C811B7">
        <w:rPr>
          <w:lang w:val="en-US"/>
        </w:rPr>
        <w:t>).</w:t>
      </w:r>
    </w:p>
    <w:p w:rsidR="006D7F39" w:rsidRPr="00C811B7" w:rsidRDefault="006D7F39" w:rsidP="006D7F39">
      <w:pPr>
        <w:pStyle w:val="MainHeader"/>
      </w:pPr>
      <w:r w:rsidRPr="00C811B7">
        <w:t>Conclusions</w:t>
      </w:r>
    </w:p>
    <w:p w:rsidR="006D7F39" w:rsidRPr="00C811B7" w:rsidRDefault="006D7F39" w:rsidP="003947D6">
      <w:pPr>
        <w:pStyle w:val="Text"/>
        <w:rPr>
          <w:lang w:val="en-US"/>
        </w:rPr>
      </w:pPr>
      <w:r w:rsidRPr="00C811B7">
        <w:rPr>
          <w:lang w:val="en-US"/>
        </w:rPr>
        <w:t xml:space="preserve">Hence, the </w:t>
      </w:r>
      <w:proofErr w:type="spellStart"/>
      <w:r w:rsidRPr="00C811B7">
        <w:rPr>
          <w:lang w:val="en-US"/>
        </w:rPr>
        <w:t>aminolysis</w:t>
      </w:r>
      <w:proofErr w:type="spellEnd"/>
      <w:r w:rsidRPr="00C811B7">
        <w:rPr>
          <w:lang w:val="en-US"/>
        </w:rPr>
        <w:t xml:space="preserve"> of </w:t>
      </w:r>
      <w:proofErr w:type="spellStart"/>
      <w:r w:rsidRPr="00C811B7">
        <w:rPr>
          <w:lang w:val="en-US"/>
        </w:rPr>
        <w:t>cyclocarbonates</w:t>
      </w:r>
      <w:proofErr w:type="spellEnd"/>
      <w:r w:rsidRPr="00C811B7">
        <w:rPr>
          <w:lang w:val="en-US"/>
        </w:rPr>
        <w:t xml:space="preserve"> of different structures and functionality by </w:t>
      </w:r>
      <w:proofErr w:type="spellStart"/>
      <w:r w:rsidRPr="00C811B7">
        <w:rPr>
          <w:lang w:val="en-US"/>
        </w:rPr>
        <w:t>silanes</w:t>
      </w:r>
      <w:proofErr w:type="spellEnd"/>
      <w:r w:rsidRPr="00C811B7">
        <w:rPr>
          <w:lang w:val="en-US"/>
        </w:rPr>
        <w:t xml:space="preserve"> containing both γ-</w:t>
      </w:r>
      <w:proofErr w:type="spellStart"/>
      <w:r w:rsidRPr="00C811B7">
        <w:rPr>
          <w:lang w:val="en-US"/>
        </w:rPr>
        <w:t>aminopropyl</w:t>
      </w:r>
      <w:proofErr w:type="spellEnd"/>
      <w:r w:rsidRPr="00C811B7">
        <w:rPr>
          <w:lang w:val="en-US"/>
        </w:rPr>
        <w:t xml:space="preserve"> and </w:t>
      </w:r>
      <w:proofErr w:type="spellStart"/>
      <w:r w:rsidRPr="00C811B7">
        <w:rPr>
          <w:lang w:val="en-US"/>
        </w:rPr>
        <w:t>ethoxy</w:t>
      </w:r>
      <w:proofErr w:type="spellEnd"/>
      <w:r w:rsidRPr="00C811B7">
        <w:rPr>
          <w:lang w:val="en-US"/>
        </w:rPr>
        <w:t xml:space="preserve"> </w:t>
      </w:r>
      <w:proofErr w:type="spellStart"/>
      <w:r w:rsidRPr="00C811B7">
        <w:rPr>
          <w:lang w:val="en-US"/>
        </w:rPr>
        <w:t>substituents</w:t>
      </w:r>
      <w:proofErr w:type="spellEnd"/>
      <w:r w:rsidRPr="00C811B7">
        <w:rPr>
          <w:lang w:val="en-US"/>
        </w:rPr>
        <w:t xml:space="preserve"> was studied. The reactive </w:t>
      </w:r>
      <w:proofErr w:type="spellStart"/>
      <w:r w:rsidRPr="00C811B7">
        <w:rPr>
          <w:lang w:val="en-US"/>
        </w:rPr>
        <w:t>ethoxy</w:t>
      </w:r>
      <w:proofErr w:type="spellEnd"/>
      <w:r w:rsidRPr="00C811B7">
        <w:rPr>
          <w:lang w:val="en-US"/>
        </w:rPr>
        <w:t xml:space="preserve"> groups remained intact and their subsequent hydrolysis can ensure the formation of a </w:t>
      </w:r>
      <w:proofErr w:type="spellStart"/>
      <w:r w:rsidRPr="00C811B7">
        <w:rPr>
          <w:lang w:val="en-US"/>
        </w:rPr>
        <w:t>siloxane</w:t>
      </w:r>
      <w:proofErr w:type="spellEnd"/>
      <w:r w:rsidRPr="00C811B7">
        <w:rPr>
          <w:lang w:val="en-US"/>
        </w:rPr>
        <w:t xml:space="preserve"> network in the polymer.</w:t>
      </w:r>
    </w:p>
    <w:p w:rsidR="006D7F39" w:rsidRPr="00C811B7" w:rsidRDefault="006D7F39" w:rsidP="003947D6">
      <w:pPr>
        <w:pStyle w:val="Text"/>
        <w:rPr>
          <w:lang w:val="en-US"/>
        </w:rPr>
      </w:pPr>
      <w:r w:rsidRPr="00C811B7">
        <w:rPr>
          <w:lang w:val="en-US"/>
        </w:rPr>
        <w:t xml:space="preserve">The </w:t>
      </w:r>
      <w:proofErr w:type="spellStart"/>
      <w:r w:rsidRPr="00C811B7">
        <w:rPr>
          <w:lang w:val="en-US"/>
        </w:rPr>
        <w:t>silyl</w:t>
      </w:r>
      <w:proofErr w:type="spellEnd"/>
      <w:r w:rsidRPr="00C811B7">
        <w:rPr>
          <w:lang w:val="en-US"/>
        </w:rPr>
        <w:t xml:space="preserve">-modified urethane </w:t>
      </w:r>
      <w:proofErr w:type="spellStart"/>
      <w:r w:rsidRPr="00C811B7">
        <w:rPr>
          <w:lang w:val="en-US"/>
        </w:rPr>
        <w:t>oligomers</w:t>
      </w:r>
      <w:proofErr w:type="spellEnd"/>
      <w:r w:rsidRPr="00C811B7">
        <w:rPr>
          <w:lang w:val="en-US"/>
        </w:rPr>
        <w:t xml:space="preserve"> based on the </w:t>
      </w:r>
      <w:proofErr w:type="spellStart"/>
      <w:r w:rsidRPr="00C811B7">
        <w:rPr>
          <w:lang w:val="en-US"/>
        </w:rPr>
        <w:t>silanes</w:t>
      </w:r>
      <w:proofErr w:type="spellEnd"/>
      <w:r w:rsidRPr="00C811B7">
        <w:rPr>
          <w:lang w:val="en-US"/>
        </w:rPr>
        <w:t xml:space="preserve"> with γ-</w:t>
      </w:r>
      <w:proofErr w:type="spellStart"/>
      <w:r w:rsidRPr="00C811B7">
        <w:rPr>
          <w:lang w:val="en-US"/>
        </w:rPr>
        <w:t>aminopropyl</w:t>
      </w:r>
      <w:proofErr w:type="spellEnd"/>
      <w:r w:rsidRPr="00C811B7">
        <w:rPr>
          <w:lang w:val="en-US"/>
        </w:rPr>
        <w:t xml:space="preserve"> and </w:t>
      </w:r>
      <w:proofErr w:type="spellStart"/>
      <w:r w:rsidRPr="00C811B7">
        <w:rPr>
          <w:lang w:val="en-US"/>
        </w:rPr>
        <w:t>ethoxy</w:t>
      </w:r>
      <w:proofErr w:type="spellEnd"/>
      <w:r w:rsidRPr="00C811B7">
        <w:rPr>
          <w:lang w:val="en-US"/>
        </w:rPr>
        <w:t xml:space="preserve"> </w:t>
      </w:r>
      <w:proofErr w:type="spellStart"/>
      <w:r w:rsidRPr="00C811B7">
        <w:rPr>
          <w:lang w:val="en-US"/>
        </w:rPr>
        <w:t>substituents</w:t>
      </w:r>
      <w:proofErr w:type="spellEnd"/>
      <w:r w:rsidRPr="00C811B7">
        <w:rPr>
          <w:lang w:val="en-US"/>
        </w:rPr>
        <w:t xml:space="preserve"> at the silicon atom were obtained and used for the synthesis of cross-linked film materials, which were tested for their physical, mechanical, and thermal characteristics. The aromatic </w:t>
      </w:r>
      <w:proofErr w:type="spellStart"/>
      <w:r w:rsidRPr="00C811B7">
        <w:rPr>
          <w:lang w:val="en-US"/>
        </w:rPr>
        <w:t>cyclocarbonate</w:t>
      </w:r>
      <w:proofErr w:type="spellEnd"/>
      <w:r w:rsidRPr="00C811B7">
        <w:rPr>
          <w:lang w:val="en-US"/>
        </w:rPr>
        <w:t xml:space="preserve"> enabled the synthesis of the material with high strength characteristics and elastic modulus of 2750 </w:t>
      </w:r>
      <w:proofErr w:type="spellStart"/>
      <w:r w:rsidRPr="00C811B7">
        <w:rPr>
          <w:lang w:val="en-US"/>
        </w:rPr>
        <w:t>MPa</w:t>
      </w:r>
      <w:proofErr w:type="spellEnd"/>
      <w:r w:rsidRPr="00C811B7">
        <w:rPr>
          <w:lang w:val="en-US"/>
        </w:rPr>
        <w:t>. The thermal decomposition processes in air began at temperatures above 150 °C.</w:t>
      </w:r>
    </w:p>
    <w:p w:rsidR="006D7F39" w:rsidRPr="00C811B7" w:rsidRDefault="006D7F39" w:rsidP="006D7F39">
      <w:pPr>
        <w:pStyle w:val="MainHeader"/>
      </w:pPr>
      <w:r w:rsidRPr="00C811B7">
        <w:t>Acknowledgements</w:t>
      </w:r>
    </w:p>
    <w:p w:rsidR="006D7F39" w:rsidRPr="00C811B7" w:rsidRDefault="006D7F39" w:rsidP="003947D6">
      <w:pPr>
        <w:pStyle w:val="Text"/>
      </w:pPr>
      <w:r w:rsidRPr="00C811B7">
        <w:lastRenderedPageBreak/>
        <w:t>This work was supported by the Ministry of Science and Higher Education of the Russian Federation (agreement no. 075-03-2023-642) using the equipment of the Center f</w:t>
      </w:r>
      <w:r>
        <w:t>or</w:t>
      </w:r>
      <w:r w:rsidRPr="00C811B7">
        <w:t xml:space="preserve"> Collective Use of INEOS RAS.</w:t>
      </w:r>
    </w:p>
    <w:p w:rsidR="006D7F39" w:rsidRPr="00C811B7" w:rsidRDefault="006D7F39" w:rsidP="006D7F39">
      <w:pPr>
        <w:pStyle w:val="MainHeader"/>
      </w:pPr>
      <w:r w:rsidRPr="00C811B7">
        <w:t>References</w:t>
      </w:r>
    </w:p>
    <w:p w:rsidR="006D7F39" w:rsidRPr="003947D6" w:rsidRDefault="006D7F39" w:rsidP="003947D6">
      <w:pPr>
        <w:pStyle w:val="References"/>
        <w:rPr>
          <w:szCs w:val="16"/>
          <w:lang w:val="en-US"/>
        </w:rPr>
      </w:pPr>
      <w:r w:rsidRPr="003947D6">
        <w:rPr>
          <w:szCs w:val="16"/>
          <w:lang w:val="en-US"/>
        </w:rPr>
        <w:t xml:space="preserve">O. </w:t>
      </w:r>
      <w:proofErr w:type="spellStart"/>
      <w:r w:rsidRPr="003947D6">
        <w:rPr>
          <w:szCs w:val="16"/>
          <w:lang w:val="en-US"/>
        </w:rPr>
        <w:t>Kreye</w:t>
      </w:r>
      <w:proofErr w:type="spellEnd"/>
      <w:r w:rsidRPr="003947D6">
        <w:rPr>
          <w:szCs w:val="16"/>
          <w:lang w:val="en-US"/>
        </w:rPr>
        <w:t xml:space="preserve">, H. </w:t>
      </w:r>
      <w:proofErr w:type="spellStart"/>
      <w:r w:rsidRPr="003947D6">
        <w:rPr>
          <w:szCs w:val="16"/>
          <w:lang w:val="en-US"/>
        </w:rPr>
        <w:t>Mutlu</w:t>
      </w:r>
      <w:proofErr w:type="spellEnd"/>
      <w:r w:rsidRPr="003947D6">
        <w:rPr>
          <w:szCs w:val="16"/>
          <w:lang w:val="en-US"/>
        </w:rPr>
        <w:t xml:space="preserve">, M. A. R Meier, </w:t>
      </w:r>
      <w:r w:rsidRPr="003947D6">
        <w:rPr>
          <w:i/>
          <w:iCs/>
          <w:szCs w:val="16"/>
          <w:lang w:val="en-US"/>
        </w:rPr>
        <w:t>Green Chem</w:t>
      </w:r>
      <w:r w:rsidRPr="003947D6">
        <w:rPr>
          <w:szCs w:val="16"/>
          <w:lang w:val="en-US"/>
        </w:rPr>
        <w:t xml:space="preserve">., </w:t>
      </w:r>
      <w:r w:rsidRPr="003947D6">
        <w:rPr>
          <w:b/>
          <w:szCs w:val="16"/>
          <w:lang w:val="en-US"/>
        </w:rPr>
        <w:t>2013</w:t>
      </w:r>
      <w:r w:rsidRPr="003947D6">
        <w:rPr>
          <w:szCs w:val="16"/>
          <w:lang w:val="en-US"/>
        </w:rPr>
        <w:t xml:space="preserve">, </w:t>
      </w:r>
      <w:r w:rsidRPr="003947D6">
        <w:rPr>
          <w:i/>
          <w:iCs/>
          <w:szCs w:val="16"/>
          <w:lang w:val="en-US"/>
        </w:rPr>
        <w:t>15</w:t>
      </w:r>
      <w:r w:rsidRPr="003947D6">
        <w:rPr>
          <w:szCs w:val="16"/>
          <w:lang w:val="en-US"/>
        </w:rPr>
        <w:t>, 1431–1455. DOI: 10.1039/c3gc40440d</w:t>
      </w:r>
    </w:p>
    <w:p w:rsidR="006D7F39" w:rsidRPr="003947D6" w:rsidRDefault="006D7F39" w:rsidP="003947D6">
      <w:pPr>
        <w:pStyle w:val="References"/>
        <w:rPr>
          <w:szCs w:val="16"/>
          <w:lang w:val="en-US"/>
        </w:rPr>
      </w:pPr>
      <w:proofErr w:type="spellStart"/>
      <w:proofErr w:type="gramStart"/>
      <w:r w:rsidRPr="003947D6">
        <w:rPr>
          <w:szCs w:val="16"/>
          <w:lang w:val="en-US"/>
        </w:rPr>
        <w:t>Mhd</w:t>
      </w:r>
      <w:proofErr w:type="spellEnd"/>
      <w:r w:rsidRPr="003947D6">
        <w:rPr>
          <w:szCs w:val="16"/>
          <w:lang w:val="en-US"/>
        </w:rPr>
        <w:t xml:space="preserve">. </w:t>
      </w:r>
      <w:proofErr w:type="spellStart"/>
      <w:r w:rsidRPr="003947D6">
        <w:rPr>
          <w:szCs w:val="16"/>
          <w:lang w:val="en-US"/>
        </w:rPr>
        <w:t>Abd</w:t>
      </w:r>
      <w:proofErr w:type="spellEnd"/>
      <w:r w:rsidRPr="003947D6">
        <w:rPr>
          <w:szCs w:val="16"/>
          <w:lang w:val="en-US"/>
        </w:rPr>
        <w:t>.</w:t>
      </w:r>
      <w:proofErr w:type="gramEnd"/>
      <w:r w:rsidRPr="003947D6">
        <w:rPr>
          <w:szCs w:val="16"/>
          <w:lang w:val="en-US"/>
        </w:rPr>
        <w:t xml:space="preserve"> C. </w:t>
      </w:r>
      <w:proofErr w:type="spellStart"/>
      <w:r w:rsidRPr="003947D6">
        <w:rPr>
          <w:szCs w:val="16"/>
          <w:lang w:val="en-US"/>
        </w:rPr>
        <w:t>Mhd</w:t>
      </w:r>
      <w:proofErr w:type="spellEnd"/>
      <w:r w:rsidRPr="003947D6">
        <w:rPr>
          <w:szCs w:val="16"/>
          <w:lang w:val="en-US"/>
        </w:rPr>
        <w:t xml:space="preserve">. </w:t>
      </w:r>
      <w:proofErr w:type="spellStart"/>
      <w:r w:rsidRPr="003947D6">
        <w:rPr>
          <w:szCs w:val="16"/>
          <w:lang w:val="en-US"/>
        </w:rPr>
        <w:t>Haniffa</w:t>
      </w:r>
      <w:proofErr w:type="spellEnd"/>
      <w:r w:rsidRPr="003947D6">
        <w:rPr>
          <w:szCs w:val="16"/>
          <w:lang w:val="en-US"/>
        </w:rPr>
        <w:t xml:space="preserve">, K. </w:t>
      </w:r>
      <w:proofErr w:type="spellStart"/>
      <w:r w:rsidRPr="003947D6">
        <w:rPr>
          <w:szCs w:val="16"/>
          <w:lang w:val="en-US"/>
        </w:rPr>
        <w:t>Munawar</w:t>
      </w:r>
      <w:proofErr w:type="spellEnd"/>
      <w:r w:rsidRPr="003947D6">
        <w:rPr>
          <w:szCs w:val="16"/>
          <w:lang w:val="en-US"/>
        </w:rPr>
        <w:t xml:space="preserve">, Y. C. </w:t>
      </w:r>
      <w:proofErr w:type="spellStart"/>
      <w:r w:rsidRPr="003947D6">
        <w:rPr>
          <w:szCs w:val="16"/>
          <w:lang w:val="en-US"/>
        </w:rPr>
        <w:t>Ching</w:t>
      </w:r>
      <w:proofErr w:type="spellEnd"/>
      <w:r w:rsidRPr="003947D6">
        <w:rPr>
          <w:szCs w:val="16"/>
          <w:lang w:val="en-US"/>
        </w:rPr>
        <w:t xml:space="preserve">, H. A. </w:t>
      </w:r>
      <w:proofErr w:type="spellStart"/>
      <w:r w:rsidRPr="003947D6">
        <w:rPr>
          <w:szCs w:val="16"/>
          <w:lang w:val="en-US"/>
        </w:rPr>
        <w:t>Illias</w:t>
      </w:r>
      <w:proofErr w:type="spellEnd"/>
      <w:r w:rsidRPr="003947D6">
        <w:rPr>
          <w:szCs w:val="16"/>
          <w:lang w:val="en-US"/>
        </w:rPr>
        <w:t xml:space="preserve">, C. H. </w:t>
      </w:r>
      <w:proofErr w:type="spellStart"/>
      <w:r w:rsidRPr="003947D6">
        <w:rPr>
          <w:szCs w:val="16"/>
          <w:lang w:val="en-US"/>
        </w:rPr>
        <w:t>Chuah</w:t>
      </w:r>
      <w:proofErr w:type="spellEnd"/>
      <w:r w:rsidRPr="003947D6">
        <w:rPr>
          <w:szCs w:val="16"/>
          <w:lang w:val="en-US"/>
        </w:rPr>
        <w:t xml:space="preserve">, </w:t>
      </w:r>
      <w:r w:rsidRPr="003947D6">
        <w:rPr>
          <w:i/>
          <w:iCs/>
          <w:szCs w:val="16"/>
          <w:lang w:val="en-US"/>
        </w:rPr>
        <w:t xml:space="preserve">Chem. </w:t>
      </w:r>
      <w:proofErr w:type="spellStart"/>
      <w:r w:rsidRPr="003947D6">
        <w:rPr>
          <w:i/>
          <w:iCs/>
          <w:szCs w:val="16"/>
        </w:rPr>
        <w:t>Asian</w:t>
      </w:r>
      <w:proofErr w:type="spellEnd"/>
      <w:r w:rsidRPr="003947D6">
        <w:rPr>
          <w:i/>
          <w:iCs/>
          <w:szCs w:val="16"/>
        </w:rPr>
        <w:t xml:space="preserve"> J</w:t>
      </w:r>
      <w:r w:rsidRPr="003947D6">
        <w:rPr>
          <w:szCs w:val="16"/>
        </w:rPr>
        <w:t xml:space="preserve">., </w:t>
      </w:r>
      <w:r w:rsidRPr="003947D6">
        <w:rPr>
          <w:b/>
          <w:szCs w:val="16"/>
        </w:rPr>
        <w:t>2021</w:t>
      </w:r>
      <w:r w:rsidRPr="003947D6">
        <w:rPr>
          <w:szCs w:val="16"/>
        </w:rPr>
        <w:t xml:space="preserve">, </w:t>
      </w:r>
      <w:r w:rsidRPr="003947D6">
        <w:rPr>
          <w:i/>
          <w:iCs/>
          <w:szCs w:val="16"/>
        </w:rPr>
        <w:t>16</w:t>
      </w:r>
      <w:r w:rsidRPr="003947D6">
        <w:rPr>
          <w:szCs w:val="16"/>
        </w:rPr>
        <w:t xml:space="preserve">, 1281–1297. </w:t>
      </w:r>
      <w:r w:rsidRPr="003947D6">
        <w:rPr>
          <w:szCs w:val="16"/>
          <w:lang w:val="en-US"/>
        </w:rPr>
        <w:t>DOI: 10.1002/asia.202100226</w:t>
      </w:r>
    </w:p>
    <w:p w:rsidR="006D7F39" w:rsidRPr="003947D6" w:rsidRDefault="006D7F39" w:rsidP="003947D6">
      <w:pPr>
        <w:spacing w:after="0" w:line="240" w:lineRule="auto"/>
        <w:jc w:val="both"/>
        <w:rPr>
          <w:rFonts w:ascii="Arial" w:hAnsi="Arial" w:cs="Arial"/>
          <w:color w:val="263238"/>
          <w:szCs w:val="16"/>
          <w:lang w:val="en-US"/>
        </w:rPr>
      </w:pPr>
      <w:r w:rsidRPr="003947D6">
        <w:rPr>
          <w:rFonts w:ascii="Arial" w:hAnsi="Arial" w:cs="Arial"/>
          <w:color w:val="263238"/>
          <w:szCs w:val="16"/>
          <w:lang w:val="en-US"/>
        </w:rPr>
        <w:t xml:space="preserve">R. P. Tiger, M. V. </w:t>
      </w:r>
      <w:proofErr w:type="spellStart"/>
      <w:r w:rsidRPr="003947D6">
        <w:rPr>
          <w:rFonts w:ascii="Arial" w:hAnsi="Arial" w:cs="Arial"/>
          <w:color w:val="263238"/>
          <w:szCs w:val="16"/>
          <w:lang w:val="en-US"/>
        </w:rPr>
        <w:t>Zabalov</w:t>
      </w:r>
      <w:proofErr w:type="spellEnd"/>
      <w:r w:rsidRPr="003947D6">
        <w:rPr>
          <w:rFonts w:ascii="Arial" w:hAnsi="Arial" w:cs="Arial"/>
          <w:color w:val="263238"/>
          <w:szCs w:val="16"/>
          <w:lang w:val="en-US"/>
        </w:rPr>
        <w:t xml:space="preserve">, M. A. </w:t>
      </w:r>
      <w:proofErr w:type="spellStart"/>
      <w:r w:rsidRPr="003947D6">
        <w:rPr>
          <w:rFonts w:ascii="Arial" w:hAnsi="Arial" w:cs="Arial"/>
          <w:color w:val="263238"/>
          <w:szCs w:val="16"/>
          <w:lang w:val="en-US"/>
        </w:rPr>
        <w:t>Levina</w:t>
      </w:r>
      <w:proofErr w:type="spellEnd"/>
      <w:r w:rsidRPr="003947D6">
        <w:rPr>
          <w:rFonts w:ascii="Arial" w:hAnsi="Arial" w:cs="Arial"/>
          <w:color w:val="263238"/>
          <w:szCs w:val="16"/>
          <w:lang w:val="en-US"/>
        </w:rPr>
        <w:t xml:space="preserve">, </w:t>
      </w:r>
      <w:proofErr w:type="spellStart"/>
      <w:r w:rsidRPr="003947D6">
        <w:rPr>
          <w:rFonts w:ascii="Arial" w:hAnsi="Arial" w:cs="Arial"/>
          <w:i/>
          <w:iCs/>
          <w:color w:val="263238"/>
          <w:szCs w:val="16"/>
          <w:lang w:val="en-US"/>
        </w:rPr>
        <w:t>Polym</w:t>
      </w:r>
      <w:proofErr w:type="spellEnd"/>
      <w:r w:rsidRPr="003947D6">
        <w:rPr>
          <w:rFonts w:ascii="Arial" w:hAnsi="Arial" w:cs="Arial"/>
          <w:i/>
          <w:iCs/>
          <w:color w:val="263238"/>
          <w:szCs w:val="16"/>
          <w:lang w:val="en-US"/>
        </w:rPr>
        <w:t>. Sci</w:t>
      </w:r>
      <w:r w:rsidRPr="003947D6">
        <w:rPr>
          <w:rFonts w:ascii="Arial" w:hAnsi="Arial" w:cs="Arial"/>
          <w:color w:val="263238"/>
          <w:szCs w:val="16"/>
          <w:lang w:val="en-US"/>
        </w:rPr>
        <w:t xml:space="preserve">., </w:t>
      </w:r>
      <w:r w:rsidRPr="003947D6">
        <w:rPr>
          <w:rFonts w:ascii="Arial" w:hAnsi="Arial" w:cs="Arial"/>
          <w:i/>
          <w:iCs/>
          <w:color w:val="263238"/>
          <w:szCs w:val="16"/>
          <w:lang w:val="en-US"/>
        </w:rPr>
        <w:t>Ser. C</w:t>
      </w:r>
      <w:r w:rsidRPr="003947D6">
        <w:rPr>
          <w:rFonts w:ascii="Arial" w:hAnsi="Arial" w:cs="Arial"/>
          <w:color w:val="263238"/>
          <w:szCs w:val="16"/>
          <w:lang w:val="en-US"/>
        </w:rPr>
        <w:t xml:space="preserve">, </w:t>
      </w:r>
      <w:r w:rsidRPr="003947D6">
        <w:rPr>
          <w:rFonts w:ascii="Arial" w:hAnsi="Arial" w:cs="Arial"/>
          <w:b/>
          <w:color w:val="263238"/>
          <w:szCs w:val="16"/>
          <w:lang w:val="en-US"/>
        </w:rPr>
        <w:t>2021</w:t>
      </w:r>
      <w:r w:rsidRPr="003947D6">
        <w:rPr>
          <w:rFonts w:ascii="Arial" w:hAnsi="Arial" w:cs="Arial"/>
          <w:color w:val="263238"/>
          <w:szCs w:val="16"/>
          <w:lang w:val="en-US"/>
        </w:rPr>
        <w:t xml:space="preserve">, </w:t>
      </w:r>
      <w:r w:rsidRPr="003947D6">
        <w:rPr>
          <w:rFonts w:ascii="Arial" w:hAnsi="Arial" w:cs="Arial"/>
          <w:i/>
          <w:iCs/>
          <w:color w:val="263238"/>
          <w:szCs w:val="16"/>
          <w:lang w:val="en-US"/>
        </w:rPr>
        <w:t>63</w:t>
      </w:r>
      <w:r w:rsidRPr="003947D6">
        <w:rPr>
          <w:rFonts w:ascii="Arial" w:hAnsi="Arial" w:cs="Arial"/>
          <w:color w:val="263238"/>
          <w:szCs w:val="16"/>
          <w:lang w:val="en-US"/>
        </w:rPr>
        <w:t>, 113–125. DOI: 10.1134/S1811238221020090</w:t>
      </w:r>
    </w:p>
    <w:p w:rsidR="006D7F39" w:rsidRPr="003947D6" w:rsidRDefault="006D7F39" w:rsidP="003947D6">
      <w:pPr>
        <w:spacing w:after="0" w:line="240" w:lineRule="auto"/>
        <w:jc w:val="both"/>
        <w:rPr>
          <w:rFonts w:ascii="Arial" w:hAnsi="Arial" w:cs="Arial"/>
          <w:color w:val="263238"/>
          <w:szCs w:val="16"/>
          <w:lang w:val="en-US"/>
        </w:rPr>
      </w:pPr>
      <w:r w:rsidRPr="003947D6">
        <w:rPr>
          <w:rFonts w:ascii="Arial" w:hAnsi="Arial" w:cs="Arial"/>
          <w:color w:val="263238"/>
          <w:szCs w:val="16"/>
          <w:lang w:val="en-US"/>
        </w:rPr>
        <w:t xml:space="preserve">M. </w:t>
      </w:r>
      <w:proofErr w:type="spellStart"/>
      <w:r w:rsidRPr="003947D6">
        <w:rPr>
          <w:rFonts w:ascii="Arial" w:hAnsi="Arial" w:cs="Arial"/>
          <w:color w:val="263238"/>
          <w:szCs w:val="16"/>
          <w:lang w:val="en-US"/>
        </w:rPr>
        <w:t>Rayung</w:t>
      </w:r>
      <w:proofErr w:type="spellEnd"/>
      <w:r w:rsidRPr="003947D6">
        <w:rPr>
          <w:rFonts w:ascii="Arial" w:hAnsi="Arial" w:cs="Arial"/>
          <w:color w:val="263238"/>
          <w:szCs w:val="16"/>
          <w:lang w:val="en-US"/>
        </w:rPr>
        <w:t xml:space="preserve">, N. A. </w:t>
      </w:r>
      <w:proofErr w:type="spellStart"/>
      <w:r w:rsidRPr="003947D6">
        <w:rPr>
          <w:rFonts w:ascii="Arial" w:hAnsi="Arial" w:cs="Arial"/>
          <w:color w:val="263238"/>
          <w:szCs w:val="16"/>
          <w:lang w:val="en-US"/>
        </w:rPr>
        <w:t>Ghani</w:t>
      </w:r>
      <w:proofErr w:type="spellEnd"/>
      <w:r w:rsidRPr="003947D6">
        <w:rPr>
          <w:rFonts w:ascii="Arial" w:hAnsi="Arial" w:cs="Arial"/>
          <w:color w:val="263238"/>
          <w:szCs w:val="16"/>
          <w:lang w:val="en-US"/>
        </w:rPr>
        <w:t xml:space="preserve">, N. </w:t>
      </w:r>
      <w:proofErr w:type="spellStart"/>
      <w:r w:rsidRPr="003947D6">
        <w:rPr>
          <w:rFonts w:ascii="Arial" w:hAnsi="Arial" w:cs="Arial"/>
          <w:color w:val="263238"/>
          <w:szCs w:val="16"/>
          <w:lang w:val="en-US"/>
        </w:rPr>
        <w:t>Hasanudin</w:t>
      </w:r>
      <w:proofErr w:type="spellEnd"/>
      <w:r w:rsidRPr="003947D6">
        <w:rPr>
          <w:rFonts w:ascii="Arial" w:hAnsi="Arial" w:cs="Arial"/>
          <w:color w:val="263238"/>
          <w:szCs w:val="16"/>
          <w:lang w:val="en-US"/>
        </w:rPr>
        <w:t xml:space="preserve">, </w:t>
      </w:r>
      <w:r w:rsidRPr="003947D6">
        <w:rPr>
          <w:rFonts w:ascii="Arial" w:hAnsi="Arial" w:cs="Arial"/>
          <w:i/>
          <w:iCs/>
          <w:color w:val="263238"/>
          <w:szCs w:val="16"/>
          <w:lang w:val="en-US"/>
        </w:rPr>
        <w:t>RSC Adv</w:t>
      </w:r>
      <w:r w:rsidRPr="003947D6">
        <w:rPr>
          <w:rFonts w:ascii="Arial" w:hAnsi="Arial" w:cs="Arial"/>
          <w:color w:val="263238"/>
          <w:szCs w:val="16"/>
          <w:lang w:val="en-US"/>
        </w:rPr>
        <w:t xml:space="preserve">., </w:t>
      </w:r>
      <w:r w:rsidRPr="003947D6">
        <w:rPr>
          <w:rFonts w:ascii="Arial" w:hAnsi="Arial" w:cs="Arial"/>
          <w:b/>
          <w:color w:val="263238"/>
          <w:szCs w:val="16"/>
          <w:lang w:val="en-US"/>
        </w:rPr>
        <w:t>2024</w:t>
      </w:r>
      <w:r w:rsidRPr="003947D6">
        <w:rPr>
          <w:rFonts w:ascii="Arial" w:hAnsi="Arial" w:cs="Arial"/>
          <w:color w:val="263238"/>
          <w:szCs w:val="16"/>
          <w:lang w:val="en-US"/>
        </w:rPr>
        <w:t xml:space="preserve">, </w:t>
      </w:r>
      <w:r w:rsidRPr="003947D6">
        <w:rPr>
          <w:rFonts w:ascii="Arial" w:hAnsi="Arial" w:cs="Arial"/>
          <w:i/>
          <w:iCs/>
          <w:color w:val="263238"/>
          <w:szCs w:val="16"/>
          <w:lang w:val="en-US"/>
        </w:rPr>
        <w:t>14</w:t>
      </w:r>
      <w:r w:rsidRPr="003947D6">
        <w:rPr>
          <w:rFonts w:ascii="Arial" w:hAnsi="Arial" w:cs="Arial"/>
          <w:color w:val="263238"/>
          <w:szCs w:val="16"/>
          <w:lang w:val="en-US"/>
        </w:rPr>
        <w:t>, 9273–9299. DOI: 10.1039/d3ra08684d</w:t>
      </w:r>
    </w:p>
    <w:p w:rsidR="001704B0" w:rsidRPr="003947D6" w:rsidRDefault="006D7F39" w:rsidP="003947D6">
      <w:pPr>
        <w:pStyle w:val="htmlparentstyle"/>
        <w:spacing w:line="240" w:lineRule="auto"/>
        <w:rPr>
          <w:rFonts w:cs="Arial"/>
          <w:sz w:val="32"/>
          <w:lang w:val="en-US"/>
        </w:rPr>
      </w:pPr>
      <w:r w:rsidRPr="003947D6">
        <w:rPr>
          <w:rFonts w:cs="Arial"/>
          <w:bCs/>
          <w:szCs w:val="16"/>
          <w:lang w:val="en-US"/>
        </w:rPr>
        <w:t xml:space="preserve">M. S. </w:t>
      </w:r>
      <w:proofErr w:type="spellStart"/>
      <w:r w:rsidRPr="003947D6">
        <w:rPr>
          <w:rFonts w:cs="Arial"/>
          <w:bCs/>
          <w:szCs w:val="16"/>
          <w:lang w:val="en-US"/>
        </w:rPr>
        <w:t>Kathalewar</w:t>
      </w:r>
      <w:proofErr w:type="spellEnd"/>
      <w:r w:rsidRPr="003947D6">
        <w:rPr>
          <w:rFonts w:cs="Arial"/>
          <w:bCs/>
          <w:szCs w:val="16"/>
          <w:lang w:val="en-US"/>
        </w:rPr>
        <w:t xml:space="preserve">, P. B. Joshi, A. S. </w:t>
      </w:r>
      <w:proofErr w:type="spellStart"/>
      <w:r w:rsidRPr="003947D6">
        <w:rPr>
          <w:rFonts w:cs="Arial"/>
          <w:bCs/>
          <w:szCs w:val="16"/>
          <w:lang w:val="en-US"/>
        </w:rPr>
        <w:t>Sabnis</w:t>
      </w:r>
      <w:proofErr w:type="spellEnd"/>
      <w:r w:rsidRPr="003947D6">
        <w:rPr>
          <w:rFonts w:cs="Arial"/>
          <w:bCs/>
          <w:szCs w:val="16"/>
          <w:lang w:val="en-US"/>
        </w:rPr>
        <w:t xml:space="preserve">, V. C. </w:t>
      </w:r>
      <w:proofErr w:type="spellStart"/>
      <w:r w:rsidRPr="003947D6">
        <w:rPr>
          <w:rFonts w:cs="Arial"/>
          <w:bCs/>
          <w:szCs w:val="16"/>
          <w:lang w:val="en-US"/>
        </w:rPr>
        <w:t>Malshe</w:t>
      </w:r>
      <w:proofErr w:type="spellEnd"/>
      <w:r w:rsidRPr="003947D6">
        <w:rPr>
          <w:rFonts w:cs="Arial"/>
          <w:bCs/>
          <w:szCs w:val="16"/>
          <w:lang w:val="en-US"/>
        </w:rPr>
        <w:t xml:space="preserve">, </w:t>
      </w:r>
      <w:r w:rsidRPr="003947D6">
        <w:rPr>
          <w:rFonts w:cs="Arial"/>
          <w:bCs/>
          <w:i/>
          <w:iCs/>
          <w:szCs w:val="16"/>
          <w:lang w:val="en-US"/>
        </w:rPr>
        <w:t>RSC Adv</w:t>
      </w:r>
      <w:r w:rsidRPr="003947D6">
        <w:rPr>
          <w:rFonts w:cs="Arial"/>
          <w:bCs/>
          <w:szCs w:val="16"/>
          <w:lang w:val="en-US"/>
        </w:rPr>
        <w:t xml:space="preserve">., </w:t>
      </w:r>
      <w:r w:rsidRPr="003947D6">
        <w:rPr>
          <w:rFonts w:cs="Arial"/>
          <w:szCs w:val="16"/>
          <w:lang w:val="en-US"/>
        </w:rPr>
        <w:t>2013</w:t>
      </w:r>
      <w:r w:rsidRPr="003947D6">
        <w:rPr>
          <w:rFonts w:cs="Arial"/>
          <w:bCs/>
          <w:szCs w:val="16"/>
          <w:lang w:val="en-US"/>
        </w:rPr>
        <w:t xml:space="preserve">, </w:t>
      </w:r>
      <w:r w:rsidRPr="003947D6">
        <w:rPr>
          <w:rFonts w:cs="Arial"/>
          <w:bCs/>
          <w:i/>
          <w:iCs/>
          <w:szCs w:val="16"/>
          <w:lang w:val="en-US"/>
        </w:rPr>
        <w:t>3</w:t>
      </w:r>
      <w:r w:rsidRPr="003947D6">
        <w:rPr>
          <w:rFonts w:cs="Arial"/>
          <w:bCs/>
          <w:szCs w:val="16"/>
          <w:lang w:val="en-US"/>
        </w:rPr>
        <w:t>, 4110–4129. DOI: 10.1039/C2RA21938G</w:t>
      </w:r>
    </w:p>
    <w:sectPr w:rsidR="001704B0" w:rsidRPr="003947D6"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08F" w:rsidRDefault="0032608F" w:rsidP="00427E5A">
      <w:pPr>
        <w:spacing w:after="0" w:line="240" w:lineRule="auto"/>
      </w:pPr>
      <w:r>
        <w:separator/>
      </w:r>
    </w:p>
    <w:p w:rsidR="0032608F" w:rsidRDefault="0032608F"/>
  </w:endnote>
  <w:endnote w:type="continuationSeparator" w:id="0">
    <w:p w:rsidR="0032608F" w:rsidRDefault="0032608F" w:rsidP="00427E5A">
      <w:pPr>
        <w:spacing w:after="0" w:line="240" w:lineRule="auto"/>
      </w:pPr>
      <w:r>
        <w:continuationSeparator/>
      </w:r>
    </w:p>
    <w:p w:rsidR="0032608F" w:rsidRDefault="0032608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Neue Medium">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08F" w:rsidRDefault="0032608F" w:rsidP="00427E5A">
      <w:pPr>
        <w:spacing w:after="0" w:line="240" w:lineRule="auto"/>
      </w:pPr>
      <w:r>
        <w:separator/>
      </w:r>
    </w:p>
    <w:p w:rsidR="0032608F" w:rsidRDefault="0032608F"/>
  </w:footnote>
  <w:footnote w:type="continuationSeparator" w:id="0">
    <w:p w:rsidR="0032608F" w:rsidRDefault="0032608F" w:rsidP="00427E5A">
      <w:pPr>
        <w:spacing w:after="0" w:line="240" w:lineRule="auto"/>
      </w:pPr>
      <w:r>
        <w:continuationSeparator/>
      </w:r>
    </w:p>
    <w:p w:rsidR="0032608F" w:rsidRDefault="0032608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72D09"/>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2608F"/>
    <w:rsid w:val="00335163"/>
    <w:rsid w:val="0034072D"/>
    <w:rsid w:val="0034176A"/>
    <w:rsid w:val="00346ED7"/>
    <w:rsid w:val="003604C3"/>
    <w:rsid w:val="00362760"/>
    <w:rsid w:val="003647E7"/>
    <w:rsid w:val="00375D10"/>
    <w:rsid w:val="00387F46"/>
    <w:rsid w:val="003947D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D7F3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1B88"/>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A479C"/>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433E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42D71"/>
    <w:rsid w:val="00E5003A"/>
    <w:rsid w:val="00E50186"/>
    <w:rsid w:val="00E502D9"/>
    <w:rsid w:val="00E60451"/>
    <w:rsid w:val="00E76E65"/>
    <w:rsid w:val="00E81EDE"/>
    <w:rsid w:val="00E86508"/>
    <w:rsid w:val="00E92E67"/>
    <w:rsid w:val="00E95346"/>
    <w:rsid w:val="00E95888"/>
    <w:rsid w:val="00EA6C3B"/>
    <w:rsid w:val="00EB2FCC"/>
    <w:rsid w:val="00EB6228"/>
    <w:rsid w:val="00ED6A42"/>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3947D6"/>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3947D6"/>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rsid w:val="00AA479C"/>
    <w:rPr>
      <w:rFonts w:ascii="Arial" w:hAnsi="Arial" w:cs="Times New Roman"/>
      <w:bCs/>
      <w:iCs/>
      <w:color w:val="263238"/>
      <w:sz w:val="20"/>
      <w:szCs w:val="16"/>
      <w:lang w:val="en-US"/>
    </w:rPr>
  </w:style>
  <w:style w:type="paragraph" w:styleId="af0">
    <w:name w:val="header"/>
    <w:basedOn w:val="a"/>
    <w:link w:val="af1"/>
    <w:uiPriority w:val="99"/>
    <w:unhideWhenUsed/>
    <w:rsid w:val="006D7F39"/>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6D7F39"/>
  </w:style>
  <w:style w:type="paragraph" w:customStyle="1" w:styleId="Affiliations">
    <w:name w:val="Affiliations"/>
    <w:basedOn w:val="a"/>
    <w:link w:val="Affiliations0"/>
    <w:qFormat/>
    <w:rsid w:val="006D7F39"/>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rsid w:val="006D7F39"/>
    <w:rPr>
      <w:rFonts w:ascii="Times New Roman" w:hAnsi="Times New Roman"/>
      <w:i/>
      <w:color w:val="000000"/>
      <w:sz w:val="20"/>
      <w:szCs w:val="20"/>
      <w:lang w:val="it-IT"/>
    </w:rPr>
  </w:style>
  <w:style w:type="paragraph" w:customStyle="1" w:styleId="Header1">
    <w:name w:val="Header 1"/>
    <w:basedOn w:val="a"/>
    <w:link w:val="Header10"/>
    <w:uiPriority w:val="99"/>
    <w:qFormat/>
    <w:rsid w:val="006D7F39"/>
    <w:pPr>
      <w:spacing w:before="200"/>
    </w:pPr>
    <w:rPr>
      <w:rFonts w:ascii="Arial" w:hAnsi="Arial" w:cs="Arial"/>
      <w:b/>
      <w:lang w:val="en-US"/>
    </w:rPr>
  </w:style>
  <w:style w:type="paragraph" w:customStyle="1" w:styleId="MainText">
    <w:name w:val="Main Text"/>
    <w:basedOn w:val="a"/>
    <w:link w:val="MainText0"/>
    <w:qFormat/>
    <w:rsid w:val="006D7F39"/>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uiPriority w:val="99"/>
    <w:rsid w:val="006D7F39"/>
    <w:rPr>
      <w:rFonts w:ascii="Arial" w:hAnsi="Arial" w:cs="Arial"/>
      <w:b/>
      <w:lang w:val="en-US"/>
    </w:rPr>
  </w:style>
  <w:style w:type="paragraph" w:customStyle="1" w:styleId="Captions">
    <w:name w:val="Captions"/>
    <w:basedOn w:val="MainText"/>
    <w:next w:val="MainText"/>
    <w:link w:val="Captions0"/>
    <w:qFormat/>
    <w:rsid w:val="006D7F39"/>
    <w:pPr>
      <w:spacing w:before="200" w:line="240" w:lineRule="auto"/>
    </w:pPr>
    <w:rPr>
      <w:b/>
    </w:rPr>
  </w:style>
  <w:style w:type="character" w:customStyle="1" w:styleId="MainText0">
    <w:name w:val="Main Text Знак"/>
    <w:basedOn w:val="a0"/>
    <w:link w:val="MainText"/>
    <w:rsid w:val="006D7F39"/>
    <w:rPr>
      <w:rFonts w:ascii="Times New Roman" w:hAnsi="Times New Roman" w:cs="Times New Roman"/>
      <w:sz w:val="18"/>
      <w:szCs w:val="18"/>
      <w:lang w:val="en-US"/>
    </w:rPr>
  </w:style>
  <w:style w:type="character" w:customStyle="1" w:styleId="Captions0">
    <w:name w:val="Captions Знак"/>
    <w:basedOn w:val="a0"/>
    <w:link w:val="Captions"/>
    <w:rsid w:val="006D7F39"/>
    <w:rPr>
      <w:rFonts w:ascii="Times New Roman" w:hAnsi="Times New Roman" w:cs="Times New Roman"/>
      <w:b/>
      <w:sz w:val="18"/>
      <w:szCs w:val="18"/>
      <w:lang w:val="en-US"/>
    </w:rPr>
  </w:style>
  <w:style w:type="paragraph" w:styleId="af2">
    <w:name w:val="Normal (Web)"/>
    <w:basedOn w:val="a"/>
    <w:uiPriority w:val="99"/>
    <w:unhideWhenUsed/>
    <w:rsid w:val="006D7F3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58BE7-CAE1-4875-8EFC-2B46B6BD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1345</Words>
  <Characters>7667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34</cp:revision>
  <dcterms:created xsi:type="dcterms:W3CDTF">2025-07-01T17:14:00Z</dcterms:created>
  <dcterms:modified xsi:type="dcterms:W3CDTF">2025-07-31T18:31:00Z</dcterms:modified>
</cp:coreProperties>
</file>