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60"/>
        <w:gridCol w:w="2527"/>
        <w:gridCol w:w="4656"/>
      </w:tblGrid>
      <w:tr w:rsidR="008622A1" w:rsidRPr="00CA2A14" w:rsidTr="00F90A88">
        <w:trPr>
          <w:trHeight w:val="516"/>
        </w:trPr>
        <w:tc>
          <w:tcPr>
            <w:tcW w:w="1242" w:type="dxa"/>
            <w:vAlign w:val="center"/>
          </w:tcPr>
          <w:p w:rsidR="008622A1" w:rsidRPr="009D7E70" w:rsidRDefault="001B0919" w:rsidP="00683408">
            <w:pPr>
              <w:pStyle w:val="MainText"/>
              <w:ind w:firstLine="4"/>
              <w:jc w:val="left"/>
            </w:pPr>
            <w:r w:rsidRPr="009D7E70">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9D7E70" w:rsidRDefault="00F90A88" w:rsidP="00F90A88">
            <w:pPr>
              <w:pStyle w:val="11"/>
            </w:pPr>
            <w:r w:rsidRPr="009D7E70">
              <w:t xml:space="preserve">population analysis of titanocene dicarboranyl by </w:t>
            </w:r>
            <w:r w:rsidR="00063F67" w:rsidRPr="009D7E70">
              <w:t xml:space="preserve">the </w:t>
            </w:r>
            <w:r w:rsidRPr="009D7E70">
              <w:t>Mulliken and NBO methods:</w:t>
            </w:r>
            <w:r w:rsidRPr="009D7E70">
              <w:br/>
              <w:t>a comparative study</w:t>
            </w:r>
          </w:p>
        </w:tc>
      </w:tr>
      <w:tr w:rsidR="00D71473" w:rsidRPr="00CA2A14" w:rsidTr="00DF4999">
        <w:trPr>
          <w:trHeight w:val="516"/>
        </w:trPr>
        <w:tc>
          <w:tcPr>
            <w:tcW w:w="2410" w:type="dxa"/>
            <w:gridSpan w:val="2"/>
            <w:vMerge w:val="restart"/>
          </w:tcPr>
          <w:p w:rsidR="000E1B06" w:rsidRPr="009D7E70" w:rsidRDefault="00D71473" w:rsidP="007516EA">
            <w:pPr>
              <w:pStyle w:val="MainText"/>
              <w:ind w:firstLine="0"/>
              <w:jc w:val="left"/>
            </w:pPr>
            <w:r w:rsidRPr="009D7E70">
              <w:t xml:space="preserve">Cite this: </w:t>
            </w:r>
            <w:r w:rsidR="00DF4999" w:rsidRPr="009D7E70">
              <w:rPr>
                <w:i/>
              </w:rPr>
              <w:t>INEOS</w:t>
            </w:r>
            <w:r w:rsidR="00DF4999" w:rsidRPr="009D7E70">
              <w:rPr>
                <w:rFonts w:ascii="Times New Roman CYR" w:hAnsi="Times New Roman CYR" w:cs="Times New Roman CYR"/>
                <w:i/>
              </w:rPr>
              <w:t xml:space="preserve"> OPEN</w:t>
            </w:r>
            <w:r w:rsidR="00DF4999" w:rsidRPr="009D7E70">
              <w:t>,</w:t>
            </w:r>
          </w:p>
          <w:p w:rsidR="00D71473" w:rsidRPr="009D7E70" w:rsidRDefault="00DF4999" w:rsidP="007516EA">
            <w:pPr>
              <w:pStyle w:val="MainText"/>
              <w:ind w:firstLine="0"/>
              <w:jc w:val="left"/>
            </w:pPr>
            <w:r w:rsidRPr="009D7E70">
              <w:rPr>
                <w:b/>
              </w:rPr>
              <w:t>20</w:t>
            </w:r>
            <w:r w:rsidR="00F90A88" w:rsidRPr="009D7E70">
              <w:rPr>
                <w:b/>
              </w:rPr>
              <w:t>25</w:t>
            </w:r>
            <w:r w:rsidRPr="009D7E70">
              <w:t xml:space="preserve">, </w:t>
            </w:r>
            <w:r w:rsidR="00F90A88" w:rsidRPr="009D7E70">
              <w:rPr>
                <w:i/>
                <w:iCs/>
              </w:rPr>
              <w:t>8</w:t>
            </w:r>
            <w:r w:rsidRPr="009D7E70">
              <w:rPr>
                <w:i/>
                <w:iCs/>
              </w:rPr>
              <w:t xml:space="preserve"> (</w:t>
            </w:r>
            <w:r w:rsidR="00F90A88" w:rsidRPr="009D7E70">
              <w:rPr>
                <w:i/>
                <w:iCs/>
              </w:rPr>
              <w:t>1–3</w:t>
            </w:r>
            <w:r w:rsidRPr="009D7E70">
              <w:rPr>
                <w:i/>
                <w:iCs/>
              </w:rPr>
              <w:t>)</w:t>
            </w:r>
            <w:r w:rsidRPr="009D7E70">
              <w:t xml:space="preserve">, </w:t>
            </w:r>
            <w:r w:rsidR="004D5F0D" w:rsidRPr="009D7E70">
              <w:t>90</w:t>
            </w:r>
            <w:r w:rsidRPr="009D7E70">
              <w:t>–</w:t>
            </w:r>
            <w:r w:rsidR="004D5F0D" w:rsidRPr="009D7E70">
              <w:t>92</w:t>
            </w:r>
          </w:p>
          <w:p w:rsidR="007516EA" w:rsidRPr="009D7E70" w:rsidRDefault="007516EA" w:rsidP="007516EA">
            <w:pPr>
              <w:pStyle w:val="MainText"/>
              <w:ind w:firstLine="0"/>
              <w:jc w:val="left"/>
            </w:pPr>
            <w:r w:rsidRPr="009D7E70">
              <w:t>DOI: 10.32931/io</w:t>
            </w:r>
            <w:r w:rsidR="004D5F0D" w:rsidRPr="009D7E70">
              <w:t>2532a</w:t>
            </w:r>
          </w:p>
          <w:p w:rsidR="00BE4FEF" w:rsidRPr="009D7E70" w:rsidRDefault="00BE4FEF" w:rsidP="007516EA">
            <w:pPr>
              <w:pStyle w:val="MainText"/>
              <w:ind w:firstLine="0"/>
              <w:jc w:val="left"/>
            </w:pPr>
          </w:p>
          <w:p w:rsidR="00D71473" w:rsidRPr="009D7E70" w:rsidRDefault="00D71473" w:rsidP="007516EA">
            <w:pPr>
              <w:pStyle w:val="MainText"/>
              <w:ind w:firstLine="0"/>
              <w:rPr>
                <w:i/>
                <w:szCs w:val="14"/>
              </w:rPr>
            </w:pPr>
            <w:r w:rsidRPr="009D7E70">
              <w:rPr>
                <w:i/>
                <w:szCs w:val="14"/>
              </w:rPr>
              <w:t xml:space="preserve">Received </w:t>
            </w:r>
            <w:r w:rsidR="009D7E70" w:rsidRPr="009D7E70">
              <w:rPr>
                <w:i/>
                <w:szCs w:val="14"/>
              </w:rPr>
              <w:t xml:space="preserve">7 November </w:t>
            </w:r>
            <w:r w:rsidRPr="009D7E70">
              <w:rPr>
                <w:i/>
                <w:szCs w:val="14"/>
              </w:rPr>
              <w:t>2</w:t>
            </w:r>
            <w:r w:rsidR="008E062B" w:rsidRPr="009D7E70">
              <w:rPr>
                <w:i/>
                <w:szCs w:val="14"/>
              </w:rPr>
              <w:t>0</w:t>
            </w:r>
            <w:r w:rsidR="009D7E70" w:rsidRPr="009D7E70">
              <w:rPr>
                <w:i/>
                <w:szCs w:val="14"/>
              </w:rPr>
              <w:t>24</w:t>
            </w:r>
            <w:r w:rsidRPr="009D7E70">
              <w:rPr>
                <w:i/>
                <w:szCs w:val="14"/>
              </w:rPr>
              <w:t>,</w:t>
            </w:r>
          </w:p>
          <w:p w:rsidR="00D71473" w:rsidRPr="009D7E70" w:rsidRDefault="00D71473" w:rsidP="007516EA">
            <w:pPr>
              <w:pStyle w:val="MainText"/>
              <w:ind w:firstLine="0"/>
              <w:rPr>
                <w:i/>
                <w:szCs w:val="14"/>
              </w:rPr>
            </w:pPr>
            <w:r w:rsidRPr="009D7E70">
              <w:rPr>
                <w:i/>
                <w:szCs w:val="14"/>
              </w:rPr>
              <w:t xml:space="preserve">Accepted </w:t>
            </w:r>
            <w:r w:rsidR="00F90A88" w:rsidRPr="009D7E70">
              <w:rPr>
                <w:i/>
                <w:szCs w:val="14"/>
              </w:rPr>
              <w:t xml:space="preserve">14 December </w:t>
            </w:r>
            <w:r w:rsidR="008E062B" w:rsidRPr="009D7E70">
              <w:rPr>
                <w:i/>
                <w:szCs w:val="14"/>
              </w:rPr>
              <w:t>20</w:t>
            </w:r>
            <w:r w:rsidR="00F90A88" w:rsidRPr="009D7E70">
              <w:rPr>
                <w:i/>
                <w:szCs w:val="14"/>
              </w:rPr>
              <w:t>24</w:t>
            </w:r>
          </w:p>
          <w:p w:rsidR="00820A77" w:rsidRPr="009D7E70" w:rsidRDefault="00820A77" w:rsidP="007516EA">
            <w:pPr>
              <w:pStyle w:val="MainText"/>
              <w:ind w:firstLine="0"/>
              <w:rPr>
                <w:szCs w:val="14"/>
              </w:rPr>
            </w:pPr>
          </w:p>
          <w:p w:rsidR="00D71473" w:rsidRPr="009D7E70" w:rsidRDefault="00440577" w:rsidP="007516EA">
            <w:pPr>
              <w:pStyle w:val="MainText"/>
              <w:ind w:firstLine="0"/>
            </w:pPr>
            <w:r w:rsidRPr="009D7E70">
              <w:rPr>
                <w:szCs w:val="14"/>
              </w:rPr>
              <w:t>http://</w:t>
            </w:r>
            <w:r w:rsidR="00D71473" w:rsidRPr="009D7E70">
              <w:rPr>
                <w:szCs w:val="14"/>
              </w:rPr>
              <w:t>ineosopen.org</w:t>
            </w:r>
          </w:p>
        </w:tc>
        <w:tc>
          <w:tcPr>
            <w:tcW w:w="7229" w:type="dxa"/>
            <w:gridSpan w:val="2"/>
          </w:tcPr>
          <w:p w:rsidR="00D71473" w:rsidRPr="009D7E70" w:rsidRDefault="00F90A88" w:rsidP="007516EA">
            <w:pPr>
              <w:pStyle w:val="AuthorNames"/>
              <w:ind w:left="0"/>
            </w:pPr>
            <w:r w:rsidRPr="009D7E70">
              <w:t>G. V. Loukova*</w:t>
            </w:r>
            <w:r w:rsidRPr="009D7E70">
              <w:rPr>
                <w:i/>
                <w:vertAlign w:val="superscript"/>
              </w:rPr>
              <w:t>a</w:t>
            </w:r>
            <w:r w:rsidRPr="009D7E70">
              <w:t xml:space="preserve"> and A. A. Milov</w:t>
            </w:r>
            <w:r w:rsidRPr="009D7E70">
              <w:rPr>
                <w:i/>
                <w:vertAlign w:val="superscript"/>
              </w:rPr>
              <w:t>b</w:t>
            </w:r>
          </w:p>
        </w:tc>
      </w:tr>
      <w:tr w:rsidR="00D71473" w:rsidRPr="00CA2A14" w:rsidTr="00DF4999">
        <w:trPr>
          <w:trHeight w:val="263"/>
        </w:trPr>
        <w:tc>
          <w:tcPr>
            <w:tcW w:w="2410" w:type="dxa"/>
            <w:gridSpan w:val="2"/>
            <w:vMerge/>
          </w:tcPr>
          <w:p w:rsidR="00D71473" w:rsidRPr="009D7E70" w:rsidRDefault="00D71473" w:rsidP="00D71473">
            <w:pPr>
              <w:pStyle w:val="AuthorNames"/>
            </w:pPr>
          </w:p>
        </w:tc>
        <w:tc>
          <w:tcPr>
            <w:tcW w:w="7229" w:type="dxa"/>
            <w:gridSpan w:val="2"/>
          </w:tcPr>
          <w:p w:rsidR="00F90A88" w:rsidRPr="009D7E70" w:rsidRDefault="00F90A88" w:rsidP="00F90A88">
            <w:pPr>
              <w:pStyle w:val="Affiliations"/>
              <w:ind w:left="0"/>
            </w:pPr>
            <w:r w:rsidRPr="009D7E70">
              <w:rPr>
                <w:vertAlign w:val="superscript"/>
              </w:rPr>
              <w:t>a</w:t>
            </w:r>
            <w:r w:rsidRPr="009D7E70">
              <w:t xml:space="preserve"> Federal Research Center of Problems of Chemical Physics and Medicinal Chemistry, Russian Academy of Sciences,</w:t>
            </w:r>
            <w:r w:rsidRPr="009D7E70">
              <w:br/>
              <w:t>ul. Akademika</w:t>
            </w:r>
            <w:r w:rsidRPr="009D7E70">
              <w:rPr>
                <w:iCs/>
                <w:lang w:val="en-US"/>
              </w:rPr>
              <w:t xml:space="preserve"> Semenova 1, Chernogolovka, Moscow Region, 142432 </w:t>
            </w:r>
            <w:r w:rsidRPr="009D7E70">
              <w:rPr>
                <w:lang w:val="en-US"/>
              </w:rPr>
              <w:t>Russia</w:t>
            </w:r>
          </w:p>
          <w:p w:rsidR="00D71473" w:rsidRPr="009D7E70" w:rsidRDefault="00F90A88" w:rsidP="00F90A88">
            <w:pPr>
              <w:pStyle w:val="Affiliations"/>
              <w:ind w:left="0"/>
            </w:pPr>
            <w:r w:rsidRPr="009D7E70">
              <w:rPr>
                <w:vertAlign w:val="superscript"/>
              </w:rPr>
              <w:t>b</w:t>
            </w:r>
            <w:r w:rsidRPr="009D7E70">
              <w:t xml:space="preserve"> </w:t>
            </w:r>
            <w:r w:rsidRPr="009D7E70">
              <w:rPr>
                <w:rFonts w:cs="Times New Roman"/>
                <w:lang w:val="en-US"/>
              </w:rPr>
              <w:t>Southern Scientific Center, Russian Academy of Sciences,</w:t>
            </w:r>
            <w:r w:rsidRPr="009D7E70">
              <w:rPr>
                <w:rFonts w:cs="Times New Roman"/>
                <w:lang w:val="en-US"/>
              </w:rPr>
              <w:br/>
              <w:t>ul. Chekhova 41, Rostov-on-Don, 344006 Russia</w:t>
            </w:r>
          </w:p>
        </w:tc>
      </w:tr>
      <w:tr w:rsidR="00CD6FAC" w:rsidRPr="009D7E70" w:rsidTr="00DF4999">
        <w:tc>
          <w:tcPr>
            <w:tcW w:w="4962" w:type="dxa"/>
            <w:gridSpan w:val="3"/>
          </w:tcPr>
          <w:p w:rsidR="00D71473" w:rsidRPr="009D7E70" w:rsidRDefault="00D71473" w:rsidP="009667F3">
            <w:pPr>
              <w:pStyle w:val="Header1"/>
            </w:pPr>
            <w:r w:rsidRPr="009D7E70">
              <w:t>Abstract</w:t>
            </w:r>
          </w:p>
          <w:p w:rsidR="00CD6FAC" w:rsidRPr="009D7E70" w:rsidRDefault="00BB7DFD" w:rsidP="00BB7DFD">
            <w:pPr>
              <w:pStyle w:val="MainText"/>
              <w:ind w:firstLine="284"/>
            </w:pPr>
            <w:r w:rsidRPr="009D7E70">
              <w:t xml:space="preserve">A broad systematic analysis of the orbital populations of a structurally complex </w:t>
            </w:r>
            <w:r w:rsidRPr="009D7E70">
              <w:rPr>
                <w:i/>
              </w:rPr>
              <w:t>d</w:t>
            </w:r>
            <w:r w:rsidRPr="009D7E70">
              <w:rPr>
                <w:vertAlign w:val="superscript"/>
              </w:rPr>
              <w:t>0</w:t>
            </w:r>
            <w:r w:rsidRPr="009D7E70">
              <w:t xml:space="preserve"> </w:t>
            </w:r>
            <w:proofErr w:type="spellStart"/>
            <w:r w:rsidRPr="009D7E70">
              <w:t>titanocene</w:t>
            </w:r>
            <w:proofErr w:type="spellEnd"/>
            <w:r w:rsidRPr="009D7E70">
              <w:t xml:space="preserve">, having rare </w:t>
            </w:r>
            <w:proofErr w:type="spellStart"/>
            <w:r w:rsidRPr="009D7E70">
              <w:t>ligand</w:t>
            </w:r>
            <w:proofErr w:type="spellEnd"/>
            <w:r w:rsidRPr="009D7E70">
              <w:t xml:space="preserve">-to-metal charge transfer excited states, was done in the Mulliken and NBO approximations using methods traditionally applied to simulate excited states and coordinative interactions. </w:t>
            </w:r>
            <w:r w:rsidR="00063F67" w:rsidRPr="009D7E70">
              <w:t xml:space="preserve">The </w:t>
            </w:r>
            <w:r w:rsidRPr="009D7E70">
              <w:t>Mulliken population analysis was</w:t>
            </w:r>
            <w:r w:rsidRPr="009D7E70">
              <w:rPr>
                <w:i/>
              </w:rPr>
              <w:t xml:space="preserve"> </w:t>
            </w:r>
            <w:r w:rsidRPr="009D7E70">
              <w:t>shown to be</w:t>
            </w:r>
            <w:r w:rsidRPr="009D7E70">
              <w:rPr>
                <w:i/>
              </w:rPr>
              <w:t xml:space="preserve"> </w:t>
            </w:r>
            <w:r w:rsidRPr="009D7E70">
              <w:t>highly sensitive to the basis set and failed to provide reliable characterization of the charge distribution in the target compound. The natural population analysis, an alternative to the Mulliken analysis, much better described atomic charges in target polar organometallics</w:t>
            </w:r>
            <w:r w:rsidR="00F94740" w:rsidRPr="009D7E70">
              <w:t>.</w:t>
            </w:r>
          </w:p>
        </w:tc>
        <w:tc>
          <w:tcPr>
            <w:tcW w:w="4677" w:type="dxa"/>
            <w:vAlign w:val="center"/>
          </w:tcPr>
          <w:p w:rsidR="00CD6FAC" w:rsidRPr="009D7E70" w:rsidRDefault="008F0DAC" w:rsidP="005C7369">
            <w:pPr>
              <w:pStyle w:val="MainText"/>
              <w:ind w:firstLine="0"/>
              <w:jc w:val="center"/>
            </w:pPr>
            <w:r w:rsidRPr="009D7E70">
              <w:rPr>
                <w:noProof/>
                <w:lang w:val="ru-RU" w:eastAsia="ru-RU"/>
              </w:rPr>
              <w:drawing>
                <wp:inline distT="0" distB="0" distL="0" distR="0">
                  <wp:extent cx="1494693" cy="12698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6072" b="17732"/>
                          <a:stretch>
                            <a:fillRect/>
                          </a:stretch>
                        </pic:blipFill>
                        <pic:spPr bwMode="auto">
                          <a:xfrm>
                            <a:off x="0" y="0"/>
                            <a:ext cx="1496355" cy="1271262"/>
                          </a:xfrm>
                          <a:prstGeom prst="rect">
                            <a:avLst/>
                          </a:prstGeom>
                          <a:noFill/>
                          <a:ln>
                            <a:noFill/>
                          </a:ln>
                        </pic:spPr>
                      </pic:pic>
                    </a:graphicData>
                  </a:graphic>
                </wp:inline>
              </w:drawing>
            </w:r>
          </w:p>
        </w:tc>
      </w:tr>
      <w:tr w:rsidR="0065245B" w:rsidRPr="00CA2A14" w:rsidTr="00DF4999">
        <w:tc>
          <w:tcPr>
            <w:tcW w:w="9639" w:type="dxa"/>
            <w:gridSpan w:val="4"/>
          </w:tcPr>
          <w:p w:rsidR="0065245B" w:rsidRPr="009D7E70" w:rsidRDefault="0065245B" w:rsidP="009D7E70">
            <w:pPr>
              <w:pStyle w:val="MainText"/>
              <w:spacing w:before="120" w:after="120"/>
              <w:ind w:firstLine="284"/>
            </w:pPr>
            <w:r w:rsidRPr="009D7E70">
              <w:rPr>
                <w:b/>
              </w:rPr>
              <w:t>Key words:</w:t>
            </w:r>
            <w:r w:rsidRPr="009D7E70">
              <w:t xml:space="preserve"> </w:t>
            </w:r>
            <w:r w:rsidR="00F821D3" w:rsidRPr="009D7E70">
              <w:t xml:space="preserve">atomic charge, </w:t>
            </w:r>
            <w:proofErr w:type="spellStart"/>
            <w:r w:rsidR="00F821D3" w:rsidRPr="009D7E70">
              <w:t>Mulliken</w:t>
            </w:r>
            <w:proofErr w:type="spellEnd"/>
            <w:r w:rsidR="00F821D3" w:rsidRPr="009D7E70">
              <w:t xml:space="preserve"> population analysis, </w:t>
            </w:r>
            <w:r w:rsidR="009D7E70" w:rsidRPr="009D7E70">
              <w:t>natural bond analysis</w:t>
            </w:r>
            <w:r w:rsidR="00F821D3" w:rsidRPr="009D7E70">
              <w:t xml:space="preserve">, </w:t>
            </w:r>
            <w:proofErr w:type="spellStart"/>
            <w:r w:rsidR="00F821D3" w:rsidRPr="009D7E70">
              <w:t>titanocene</w:t>
            </w:r>
            <w:proofErr w:type="spellEnd"/>
            <w:r w:rsidR="00F821D3" w:rsidRPr="009D7E70">
              <w:t xml:space="preserve"> </w:t>
            </w:r>
            <w:proofErr w:type="spellStart"/>
            <w:r w:rsidR="00F821D3" w:rsidRPr="009D7E70">
              <w:t>dicarboranyl</w:t>
            </w:r>
            <w:proofErr w:type="spellEnd"/>
            <w:r w:rsidR="00F821D3" w:rsidRPr="009D7E70">
              <w:t xml:space="preserve">, </w:t>
            </w:r>
            <w:proofErr w:type="spellStart"/>
            <w:r w:rsidR="00F821D3" w:rsidRPr="009D7E70">
              <w:t>ligand</w:t>
            </w:r>
            <w:proofErr w:type="spellEnd"/>
            <w:r w:rsidR="00F821D3" w:rsidRPr="009D7E70">
              <w:t>-to-metal charge transfer</w:t>
            </w:r>
            <w:r w:rsidRPr="009D7E70">
              <w:t>.</w:t>
            </w:r>
          </w:p>
        </w:tc>
      </w:tr>
    </w:tbl>
    <w:p w:rsidR="00166162" w:rsidRPr="009D7E70" w:rsidRDefault="00166162" w:rsidP="00427E5A">
      <w:pPr>
        <w:rPr>
          <w:sz w:val="20"/>
          <w:szCs w:val="20"/>
          <w:lang w:val="en-US"/>
        </w:rPr>
        <w:sectPr w:rsidR="00166162" w:rsidRPr="009D7E70" w:rsidSect="004D5F0D">
          <w:headerReference w:type="default" r:id="rId10"/>
          <w:footerReference w:type="default" r:id="rId11"/>
          <w:endnotePr>
            <w:numFmt w:val="chicago"/>
          </w:endnotePr>
          <w:pgSz w:w="11906" w:h="16838" w:code="9"/>
          <w:pgMar w:top="1134" w:right="1134" w:bottom="1134" w:left="1134" w:header="709" w:footer="709" w:gutter="0"/>
          <w:pgNumType w:start="90"/>
          <w:cols w:space="282"/>
          <w:docGrid w:linePitch="360"/>
        </w:sectPr>
      </w:pPr>
    </w:p>
    <w:p w:rsidR="00166162" w:rsidRPr="009D7E70" w:rsidRDefault="00166162" w:rsidP="00427E5A">
      <w:pPr>
        <w:rPr>
          <w:sz w:val="20"/>
          <w:szCs w:val="20"/>
          <w:lang w:val="en-US"/>
        </w:rPr>
        <w:sectPr w:rsidR="00166162" w:rsidRPr="009D7E70" w:rsidSect="00166162">
          <w:endnotePr>
            <w:numFmt w:val="chicago"/>
          </w:endnotePr>
          <w:type w:val="continuous"/>
          <w:pgSz w:w="11906" w:h="16838" w:code="9"/>
          <w:pgMar w:top="1134" w:right="1134" w:bottom="1134" w:left="1134" w:header="709" w:footer="709" w:gutter="0"/>
          <w:cols w:space="282"/>
          <w:docGrid w:linePitch="360"/>
        </w:sectPr>
      </w:pPr>
    </w:p>
    <w:p w:rsidR="00875175" w:rsidRPr="009D7E70" w:rsidRDefault="00427E5A" w:rsidP="006A0974">
      <w:pPr>
        <w:spacing w:after="240"/>
        <w:rPr>
          <w:rFonts w:ascii="Arial" w:hAnsi="Arial" w:cs="Arial"/>
          <w:b/>
          <w:lang w:val="en-US"/>
        </w:rPr>
      </w:pPr>
      <w:r w:rsidRPr="009D7E70">
        <w:rPr>
          <w:rFonts w:ascii="Arial" w:hAnsi="Arial" w:cs="Arial"/>
          <w:b/>
          <w:lang w:val="en-US"/>
        </w:rPr>
        <w:lastRenderedPageBreak/>
        <w:t>Introduction</w:t>
      </w:r>
    </w:p>
    <w:p w:rsidR="00221CDF" w:rsidRPr="009D7E70" w:rsidRDefault="00221CDF" w:rsidP="00221CDF">
      <w:pPr>
        <w:pStyle w:val="MainText"/>
        <w:ind w:firstLine="284"/>
      </w:pPr>
      <w:r w:rsidRPr="009D7E70">
        <w:t xml:space="preserve">Group IV </w:t>
      </w:r>
      <w:proofErr w:type="spellStart"/>
      <w:r w:rsidRPr="009D7E70">
        <w:t>metallocenes</w:t>
      </w:r>
      <w:proofErr w:type="spellEnd"/>
      <w:r w:rsidRPr="009D7E70">
        <w:t xml:space="preserve"> are promising precursors for organic synthesis catalysts, phosphorescent materials, and so on. These complexes possess </w:t>
      </w:r>
      <w:r w:rsidR="00A74423" w:rsidRPr="009D7E70">
        <w:t xml:space="preserve">the </w:t>
      </w:r>
      <w:r w:rsidRPr="009D7E70">
        <w:t>rarest and least studied ligand-to-metal charge transfer (</w:t>
      </w:r>
      <w:r w:rsidRPr="009D7E70">
        <w:rPr>
          <w:lang w:val="pl-PL"/>
        </w:rPr>
        <w:t>LMCT</w:t>
      </w:r>
      <w:r w:rsidRPr="009D7E70">
        <w:t xml:space="preserve">) excited states, including unique phosphorescent ones </w:t>
      </w:r>
      <w:r w:rsidR="00A74423" w:rsidRPr="009D7E70">
        <w:t>[1–8].</w:t>
      </w:r>
      <w:r w:rsidRPr="009D7E70">
        <w:t xml:space="preserve"> Recently, we </w:t>
      </w:r>
      <w:r w:rsidR="00A74423" w:rsidRPr="009D7E70">
        <w:t xml:space="preserve">have </w:t>
      </w:r>
      <w:r w:rsidRPr="009D7E70">
        <w:t xml:space="preserve">systematically analyzed broad computing (Hartree-Fock (HF) and density functional theory (DFT)) data derived for </w:t>
      </w:r>
      <w:proofErr w:type="spellStart"/>
      <w:r w:rsidRPr="009D7E70">
        <w:t>titanocene</w:t>
      </w:r>
      <w:proofErr w:type="spellEnd"/>
      <w:r w:rsidRPr="009D7E70">
        <w:t xml:space="preserve"> </w:t>
      </w:r>
      <w:proofErr w:type="spellStart"/>
      <w:r w:rsidRPr="009D7E70">
        <w:t>dicarboranyl</w:t>
      </w:r>
      <w:proofErr w:type="spellEnd"/>
      <w:r w:rsidRPr="009D7E70">
        <w:t xml:space="preserve"> </w:t>
      </w:r>
      <w:bookmarkStart w:id="0" w:name="_Hlk180779268"/>
      <w:bookmarkStart w:id="1" w:name="_Hlk180850891"/>
      <w:r w:rsidRPr="009D7E70">
        <w:rPr>
          <w:lang w:val="pl-PL"/>
        </w:rPr>
        <w:t>Ti</w:t>
      </w:r>
      <w:r w:rsidRPr="009D7E70">
        <w:t>(</w:t>
      </w:r>
      <w:r w:rsidRPr="009D7E70">
        <w:rPr>
          <w:lang w:val="ru-RU"/>
        </w:rPr>
        <w:t>η</w:t>
      </w:r>
      <w:r w:rsidRPr="009D7E70">
        <w:rPr>
          <w:vertAlign w:val="superscript"/>
        </w:rPr>
        <w:t>5</w:t>
      </w:r>
      <w:r w:rsidRPr="009D7E70">
        <w:t>:</w:t>
      </w:r>
      <w:r w:rsidRPr="009D7E70">
        <w:rPr>
          <w:lang w:val="ru-RU"/>
        </w:rPr>
        <w:t>η</w:t>
      </w:r>
      <w:r w:rsidRPr="009D7E70">
        <w:rPr>
          <w:vertAlign w:val="superscript"/>
        </w:rPr>
        <w:t>1</w:t>
      </w:r>
      <w:r w:rsidRPr="009D7E70">
        <w:t>-</w:t>
      </w:r>
      <w:r w:rsidRPr="009D7E70">
        <w:rPr>
          <w:lang w:val="pl-PL"/>
        </w:rPr>
        <w:t>CpCMe</w:t>
      </w:r>
      <w:r w:rsidRPr="009D7E70">
        <w:rPr>
          <w:vertAlign w:val="subscript"/>
        </w:rPr>
        <w:t>2</w:t>
      </w:r>
      <w:r w:rsidRPr="009D7E70">
        <w:rPr>
          <w:lang w:val="pl-PL"/>
        </w:rPr>
        <w:t>CB</w:t>
      </w:r>
      <w:r w:rsidRPr="009D7E70">
        <w:rPr>
          <w:vertAlign w:val="subscript"/>
        </w:rPr>
        <w:t>10</w:t>
      </w:r>
      <w:r w:rsidRPr="009D7E70">
        <w:rPr>
          <w:lang w:val="pl-PL"/>
        </w:rPr>
        <w:t>H</w:t>
      </w:r>
      <w:r w:rsidRPr="009D7E70">
        <w:rPr>
          <w:vertAlign w:val="subscript"/>
        </w:rPr>
        <w:t>10</w:t>
      </w:r>
      <w:r w:rsidRPr="009D7E70">
        <w:rPr>
          <w:lang w:val="pl-PL"/>
        </w:rPr>
        <w:t>C</w:t>
      </w:r>
      <w:r w:rsidRPr="009D7E70">
        <w:t>)</w:t>
      </w:r>
      <w:r w:rsidRPr="009D7E70">
        <w:rPr>
          <w:vertAlign w:val="subscript"/>
        </w:rPr>
        <w:t>2</w:t>
      </w:r>
      <w:bookmarkEnd w:id="0"/>
      <w:r w:rsidRPr="009D7E70">
        <w:t xml:space="preserve"> </w:t>
      </w:r>
      <w:bookmarkEnd w:id="1"/>
      <w:r w:rsidRPr="009D7E70">
        <w:t xml:space="preserve">(Fig. 1), possessing rare room-temperature emissive LMCT states, as an instructive example and revealed good agreement between most of the simulated structural and crystallographic </w:t>
      </w:r>
      <w:r w:rsidR="00A74423" w:rsidRPr="009D7E70">
        <w:t>data</w:t>
      </w:r>
      <w:r w:rsidRPr="009D7E70">
        <w:t xml:space="preserve"> </w:t>
      </w:r>
      <w:r w:rsidR="00A74423" w:rsidRPr="009D7E70">
        <w:t>[9, 10].</w:t>
      </w:r>
    </w:p>
    <w:p w:rsidR="00221CDF" w:rsidRPr="009D7E70" w:rsidRDefault="00221CDF" w:rsidP="00063F67">
      <w:pPr>
        <w:pStyle w:val="MainText"/>
        <w:spacing w:before="200" w:after="120"/>
        <w:ind w:firstLine="284"/>
        <w:jc w:val="center"/>
      </w:pPr>
      <w:r w:rsidRPr="009D7E70">
        <w:rPr>
          <w:noProof/>
          <w:lang w:val="ru-RU" w:eastAsia="ru-RU"/>
        </w:rPr>
        <w:drawing>
          <wp:inline distT="0" distB="0" distL="0" distR="0">
            <wp:extent cx="1230630" cy="10455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6072" b="17732"/>
                    <a:stretch>
                      <a:fillRect/>
                    </a:stretch>
                  </pic:blipFill>
                  <pic:spPr bwMode="auto">
                    <a:xfrm>
                      <a:off x="0" y="0"/>
                      <a:ext cx="1257522" cy="1068357"/>
                    </a:xfrm>
                    <a:prstGeom prst="rect">
                      <a:avLst/>
                    </a:prstGeom>
                    <a:noFill/>
                    <a:ln>
                      <a:noFill/>
                    </a:ln>
                  </pic:spPr>
                </pic:pic>
              </a:graphicData>
            </a:graphic>
          </wp:inline>
        </w:drawing>
      </w:r>
    </w:p>
    <w:p w:rsidR="00221CDF" w:rsidRPr="009D7E70" w:rsidRDefault="00221CDF" w:rsidP="00063F67">
      <w:pPr>
        <w:pStyle w:val="MainText"/>
        <w:spacing w:before="120" w:after="200"/>
        <w:ind w:firstLine="0"/>
      </w:pPr>
      <w:r w:rsidRPr="009D7E70">
        <w:rPr>
          <w:b/>
          <w:bCs/>
          <w:sz w:val="16"/>
          <w:szCs w:val="16"/>
        </w:rPr>
        <w:t>Figure 1.</w:t>
      </w:r>
      <w:r w:rsidRPr="009D7E70">
        <w:rPr>
          <w:sz w:val="16"/>
          <w:szCs w:val="16"/>
        </w:rPr>
        <w:t xml:space="preserve"> Optimized structure of </w:t>
      </w:r>
      <w:proofErr w:type="spellStart"/>
      <w:r w:rsidRPr="009D7E70">
        <w:rPr>
          <w:sz w:val="16"/>
          <w:szCs w:val="16"/>
        </w:rPr>
        <w:t>titanocene</w:t>
      </w:r>
      <w:proofErr w:type="spellEnd"/>
      <w:r w:rsidRPr="009D7E70">
        <w:rPr>
          <w:sz w:val="16"/>
          <w:szCs w:val="16"/>
        </w:rPr>
        <w:t xml:space="preserve"> </w:t>
      </w:r>
      <w:bookmarkStart w:id="2" w:name="_Hlk180838612"/>
      <w:proofErr w:type="spellStart"/>
      <w:r w:rsidRPr="009D7E70">
        <w:rPr>
          <w:sz w:val="16"/>
          <w:szCs w:val="16"/>
        </w:rPr>
        <w:t>dicarboranyl</w:t>
      </w:r>
      <w:bookmarkEnd w:id="2"/>
      <w:proofErr w:type="spellEnd"/>
      <w:r w:rsidRPr="009D7E70">
        <w:rPr>
          <w:sz w:val="16"/>
          <w:szCs w:val="16"/>
        </w:rPr>
        <w:t>.</w:t>
      </w:r>
    </w:p>
    <w:p w:rsidR="00221CDF" w:rsidRPr="009D7E70" w:rsidRDefault="00221CDF" w:rsidP="00221CDF">
      <w:pPr>
        <w:spacing w:after="0"/>
        <w:ind w:firstLine="284"/>
        <w:jc w:val="both"/>
        <w:rPr>
          <w:rFonts w:ascii="Times New Roman" w:hAnsi="Times New Roman" w:cs="Times New Roman"/>
          <w:sz w:val="18"/>
          <w:szCs w:val="18"/>
          <w:lang w:val="en-US"/>
        </w:rPr>
      </w:pPr>
      <w:r w:rsidRPr="009D7E70">
        <w:rPr>
          <w:rFonts w:ascii="Times New Roman" w:hAnsi="Times New Roman" w:cs="Times New Roman"/>
          <w:sz w:val="18"/>
          <w:szCs w:val="18"/>
          <w:lang w:val="en-US"/>
        </w:rPr>
        <w:t>Evaluation of orbital populations and charge characteristics of metal ion(s) and ligands in complexes is a key problem in coordination chemistry and, in particular, photonics of charge-transfer states that cannot be solved experimentally. Charges can be used to predict dipole moment, molecular polarization, and many quantum properties of molecular systems. The distribution of charge over atoms determines pairs of donors and acceptors, including charge transfer in a molecule. In this communication, we systematically compare</w:t>
      </w:r>
      <w:r w:rsidR="00A74423" w:rsidRPr="009D7E70">
        <w:rPr>
          <w:rFonts w:ascii="Times New Roman" w:hAnsi="Times New Roman" w:cs="Times New Roman"/>
          <w:sz w:val="18"/>
          <w:szCs w:val="18"/>
          <w:lang w:val="en-US"/>
        </w:rPr>
        <w:t>d</w:t>
      </w:r>
      <w:r w:rsidRPr="009D7E70">
        <w:rPr>
          <w:rFonts w:ascii="Times New Roman" w:hAnsi="Times New Roman" w:cs="Times New Roman"/>
          <w:sz w:val="18"/>
          <w:szCs w:val="18"/>
          <w:lang w:val="en-US"/>
        </w:rPr>
        <w:t xml:space="preserve"> two popular approaches and </w:t>
      </w:r>
      <w:r w:rsidRPr="009D7E70">
        <w:rPr>
          <w:rFonts w:ascii="Times New Roman" w:hAnsi="Times New Roman" w:cs="Times New Roman"/>
          <w:sz w:val="18"/>
          <w:szCs w:val="18"/>
          <w:lang w:val="en-US"/>
        </w:rPr>
        <w:lastRenderedPageBreak/>
        <w:t xml:space="preserve">various (HF and DFT) methods (with </w:t>
      </w:r>
      <w:r w:rsidR="00A74423" w:rsidRPr="009D7E70">
        <w:rPr>
          <w:rFonts w:ascii="Times New Roman" w:hAnsi="Times New Roman" w:cs="Times New Roman"/>
          <w:sz w:val="18"/>
          <w:szCs w:val="18"/>
          <w:lang w:val="en-US"/>
        </w:rPr>
        <w:t xml:space="preserve">the </w:t>
      </w:r>
      <w:r w:rsidRPr="009D7E70">
        <w:rPr>
          <w:rFonts w:ascii="Times New Roman" w:hAnsi="Times New Roman" w:cs="Times New Roman"/>
          <w:sz w:val="18"/>
          <w:szCs w:val="18"/>
          <w:lang w:val="en-US"/>
        </w:rPr>
        <w:t xml:space="preserve">use of GAUSSIAN program </w:t>
      </w:r>
      <w:r w:rsidR="00A74423" w:rsidRPr="009D7E70">
        <w:rPr>
          <w:rFonts w:ascii="Times New Roman" w:hAnsi="Times New Roman" w:cs="Times New Roman"/>
          <w:sz w:val="18"/>
          <w:szCs w:val="18"/>
          <w:lang w:val="en-US"/>
        </w:rPr>
        <w:t>[11]</w:t>
      </w:r>
      <w:r w:rsidRPr="009D7E70">
        <w:rPr>
          <w:rFonts w:ascii="Times New Roman" w:hAnsi="Times New Roman" w:cs="Times New Roman"/>
          <w:sz w:val="18"/>
          <w:szCs w:val="18"/>
          <w:lang w:val="en-US"/>
        </w:rPr>
        <w:t xml:space="preserve">) aimed at the broadest possible description of charge distribution in instructive </w:t>
      </w:r>
      <w:r w:rsidRPr="009D7E70">
        <w:rPr>
          <w:rFonts w:ascii="Times New Roman" w:hAnsi="Times New Roman" w:cs="Times New Roman"/>
          <w:bCs/>
          <w:sz w:val="18"/>
          <w:szCs w:val="18"/>
          <w:lang w:val="pl-PL"/>
        </w:rPr>
        <w:t>Ti</w:t>
      </w:r>
      <w:r w:rsidRPr="009D7E70">
        <w:rPr>
          <w:rFonts w:ascii="Times New Roman" w:hAnsi="Times New Roman" w:cs="Times New Roman"/>
          <w:bCs/>
          <w:iCs/>
          <w:sz w:val="18"/>
          <w:szCs w:val="18"/>
          <w:lang w:val="pl-PL"/>
        </w:rPr>
        <w:t>(</w:t>
      </w:r>
      <w:r w:rsidRPr="009D7E70">
        <w:rPr>
          <w:rFonts w:ascii="Times New Roman" w:hAnsi="Times New Roman" w:cs="Times New Roman"/>
          <w:bCs/>
          <w:iCs/>
          <w:sz w:val="18"/>
          <w:szCs w:val="18"/>
        </w:rPr>
        <w:t>η</w:t>
      </w:r>
      <w:r w:rsidRPr="009D7E70">
        <w:rPr>
          <w:rFonts w:ascii="Times New Roman" w:hAnsi="Times New Roman" w:cs="Times New Roman"/>
          <w:bCs/>
          <w:iCs/>
          <w:sz w:val="18"/>
          <w:szCs w:val="18"/>
          <w:vertAlign w:val="superscript"/>
          <w:lang w:val="pl-PL"/>
        </w:rPr>
        <w:t>5</w:t>
      </w:r>
      <w:r w:rsidRPr="009D7E70">
        <w:rPr>
          <w:rFonts w:ascii="Times New Roman" w:hAnsi="Times New Roman" w:cs="Times New Roman"/>
          <w:bCs/>
          <w:iCs/>
          <w:sz w:val="18"/>
          <w:szCs w:val="18"/>
          <w:lang w:val="pl-PL"/>
        </w:rPr>
        <w:t>:</w:t>
      </w:r>
      <w:r w:rsidRPr="009D7E70">
        <w:rPr>
          <w:rFonts w:ascii="Times New Roman" w:hAnsi="Times New Roman" w:cs="Times New Roman"/>
          <w:bCs/>
          <w:iCs/>
          <w:sz w:val="18"/>
          <w:szCs w:val="18"/>
        </w:rPr>
        <w:t>η</w:t>
      </w:r>
      <w:r w:rsidRPr="009D7E70">
        <w:rPr>
          <w:rFonts w:ascii="Times New Roman" w:hAnsi="Times New Roman" w:cs="Times New Roman"/>
          <w:bCs/>
          <w:iCs/>
          <w:sz w:val="18"/>
          <w:szCs w:val="18"/>
          <w:vertAlign w:val="superscript"/>
          <w:lang w:val="pl-PL"/>
        </w:rPr>
        <w:t>1</w:t>
      </w:r>
      <w:r w:rsidRPr="009D7E70">
        <w:rPr>
          <w:rFonts w:ascii="Times New Roman" w:hAnsi="Times New Roman" w:cs="Times New Roman"/>
          <w:bCs/>
          <w:iCs/>
          <w:sz w:val="18"/>
          <w:szCs w:val="18"/>
          <w:lang w:val="pl-PL"/>
        </w:rPr>
        <w:t>-CpCMe</w:t>
      </w:r>
      <w:r w:rsidRPr="009D7E70">
        <w:rPr>
          <w:rFonts w:ascii="Times New Roman" w:hAnsi="Times New Roman" w:cs="Times New Roman"/>
          <w:bCs/>
          <w:iCs/>
          <w:sz w:val="18"/>
          <w:szCs w:val="18"/>
          <w:vertAlign w:val="subscript"/>
          <w:lang w:val="pl-PL"/>
        </w:rPr>
        <w:t>2</w:t>
      </w:r>
      <w:r w:rsidRPr="009D7E70">
        <w:rPr>
          <w:rFonts w:ascii="Times New Roman" w:hAnsi="Times New Roman" w:cs="Times New Roman"/>
          <w:bCs/>
          <w:iCs/>
          <w:sz w:val="18"/>
          <w:szCs w:val="18"/>
          <w:lang w:val="pl-PL"/>
        </w:rPr>
        <w:t>CB</w:t>
      </w:r>
      <w:r w:rsidRPr="009D7E70">
        <w:rPr>
          <w:rFonts w:ascii="Times New Roman" w:hAnsi="Times New Roman" w:cs="Times New Roman"/>
          <w:bCs/>
          <w:iCs/>
          <w:sz w:val="18"/>
          <w:szCs w:val="18"/>
          <w:vertAlign w:val="subscript"/>
          <w:lang w:val="pl-PL"/>
        </w:rPr>
        <w:t>10</w:t>
      </w:r>
      <w:r w:rsidRPr="009D7E70">
        <w:rPr>
          <w:rFonts w:ascii="Times New Roman" w:hAnsi="Times New Roman" w:cs="Times New Roman"/>
          <w:bCs/>
          <w:iCs/>
          <w:sz w:val="18"/>
          <w:szCs w:val="18"/>
          <w:lang w:val="pl-PL"/>
        </w:rPr>
        <w:t>H</w:t>
      </w:r>
      <w:r w:rsidRPr="009D7E70">
        <w:rPr>
          <w:rFonts w:ascii="Times New Roman" w:hAnsi="Times New Roman" w:cs="Times New Roman"/>
          <w:bCs/>
          <w:iCs/>
          <w:sz w:val="18"/>
          <w:szCs w:val="18"/>
          <w:vertAlign w:val="subscript"/>
          <w:lang w:val="pl-PL"/>
        </w:rPr>
        <w:t>10</w:t>
      </w:r>
      <w:r w:rsidRPr="009D7E70">
        <w:rPr>
          <w:rFonts w:ascii="Times New Roman" w:hAnsi="Times New Roman" w:cs="Times New Roman"/>
          <w:bCs/>
          <w:iCs/>
          <w:sz w:val="18"/>
          <w:szCs w:val="18"/>
          <w:lang w:val="pl-PL"/>
        </w:rPr>
        <w:t>C)</w:t>
      </w:r>
      <w:r w:rsidRPr="009D7E70">
        <w:rPr>
          <w:rFonts w:ascii="Times New Roman" w:hAnsi="Times New Roman" w:cs="Times New Roman"/>
          <w:bCs/>
          <w:iCs/>
          <w:sz w:val="18"/>
          <w:szCs w:val="18"/>
          <w:vertAlign w:val="subscript"/>
          <w:lang w:val="pl-PL"/>
        </w:rPr>
        <w:t>2</w:t>
      </w:r>
      <w:r w:rsidRPr="009D7E70">
        <w:rPr>
          <w:rFonts w:ascii="Times New Roman" w:hAnsi="Times New Roman" w:cs="Times New Roman"/>
          <w:bCs/>
          <w:iCs/>
          <w:sz w:val="18"/>
          <w:szCs w:val="18"/>
          <w:lang w:val="pl-PL"/>
        </w:rPr>
        <w:t xml:space="preserve"> </w:t>
      </w:r>
      <w:r w:rsidRPr="009D7E70">
        <w:rPr>
          <w:rFonts w:ascii="Times New Roman" w:hAnsi="Times New Roman" w:cs="Times New Roman"/>
          <w:sz w:val="18"/>
          <w:szCs w:val="18"/>
          <w:lang w:val="en-US"/>
        </w:rPr>
        <w:t>and evaluate</w:t>
      </w:r>
      <w:r w:rsidR="00A74423" w:rsidRPr="009D7E70">
        <w:rPr>
          <w:rFonts w:ascii="Times New Roman" w:hAnsi="Times New Roman" w:cs="Times New Roman"/>
          <w:sz w:val="18"/>
          <w:szCs w:val="18"/>
          <w:lang w:val="en-US"/>
        </w:rPr>
        <w:t>d</w:t>
      </w:r>
      <w:r w:rsidRPr="009D7E70">
        <w:rPr>
          <w:rFonts w:ascii="Times New Roman" w:hAnsi="Times New Roman" w:cs="Times New Roman"/>
          <w:sz w:val="18"/>
          <w:szCs w:val="18"/>
          <w:lang w:val="en-US"/>
        </w:rPr>
        <w:t xml:space="preserve"> the sensitivity of the computed charges to changes in (</w:t>
      </w:r>
      <w:proofErr w:type="spellStart"/>
      <w:r w:rsidRPr="009D7E70">
        <w:rPr>
          <w:rFonts w:ascii="Times New Roman" w:hAnsi="Times New Roman" w:cs="Times New Roman"/>
          <w:i/>
          <w:iCs/>
          <w:sz w:val="18"/>
          <w:szCs w:val="18"/>
          <w:lang w:val="en-US"/>
        </w:rPr>
        <w:t>i</w:t>
      </w:r>
      <w:proofErr w:type="spellEnd"/>
      <w:r w:rsidRPr="009D7E70">
        <w:rPr>
          <w:rFonts w:ascii="Times New Roman" w:hAnsi="Times New Roman" w:cs="Times New Roman"/>
          <w:sz w:val="18"/>
          <w:szCs w:val="18"/>
          <w:lang w:val="en-US"/>
        </w:rPr>
        <w:t xml:space="preserve">) selection of the analysis method (the Mulliken approach </w:t>
      </w:r>
      <w:r w:rsidR="00A74423" w:rsidRPr="009D7E70">
        <w:rPr>
          <w:rFonts w:ascii="Times New Roman" w:hAnsi="Times New Roman" w:cs="Times New Roman"/>
          <w:sz w:val="18"/>
          <w:szCs w:val="18"/>
          <w:lang w:val="en-US"/>
        </w:rPr>
        <w:t>[12]</w:t>
      </w:r>
      <w:r w:rsidRPr="009D7E70">
        <w:rPr>
          <w:rFonts w:ascii="Times New Roman" w:hAnsi="Times New Roman" w:cs="Times New Roman"/>
          <w:sz w:val="18"/>
          <w:szCs w:val="18"/>
          <w:lang w:val="en-US"/>
        </w:rPr>
        <w:t xml:space="preserve"> being historically most important), (</w:t>
      </w:r>
      <w:r w:rsidRPr="009D7E70">
        <w:rPr>
          <w:rFonts w:ascii="Times New Roman" w:hAnsi="Times New Roman" w:cs="Times New Roman"/>
          <w:i/>
          <w:iCs/>
          <w:sz w:val="18"/>
          <w:szCs w:val="18"/>
          <w:lang w:val="en-US"/>
        </w:rPr>
        <w:t>ii</w:t>
      </w:r>
      <w:r w:rsidRPr="009D7E70">
        <w:rPr>
          <w:rFonts w:ascii="Times New Roman" w:hAnsi="Times New Roman" w:cs="Times New Roman"/>
          <w:sz w:val="18"/>
          <w:szCs w:val="18"/>
          <w:lang w:val="en-US"/>
        </w:rPr>
        <w:t>) basis type, (</w:t>
      </w:r>
      <w:r w:rsidRPr="009D7E70">
        <w:rPr>
          <w:rFonts w:ascii="Times New Roman" w:hAnsi="Times New Roman" w:cs="Times New Roman"/>
          <w:i/>
          <w:iCs/>
          <w:sz w:val="18"/>
          <w:szCs w:val="18"/>
          <w:lang w:val="en-US"/>
        </w:rPr>
        <w:t>iii</w:t>
      </w:r>
      <w:r w:rsidRPr="009D7E70">
        <w:rPr>
          <w:rFonts w:ascii="Times New Roman" w:hAnsi="Times New Roman" w:cs="Times New Roman"/>
          <w:sz w:val="18"/>
          <w:szCs w:val="18"/>
          <w:lang w:val="en-US"/>
        </w:rPr>
        <w:t>) choice of the Hamiltonian, and (</w:t>
      </w:r>
      <w:r w:rsidRPr="009D7E70">
        <w:rPr>
          <w:rFonts w:ascii="Times New Roman" w:hAnsi="Times New Roman" w:cs="Times New Roman"/>
          <w:i/>
          <w:iCs/>
          <w:sz w:val="18"/>
          <w:szCs w:val="18"/>
          <w:lang w:val="en-US"/>
        </w:rPr>
        <w:t>iv</w:t>
      </w:r>
      <w:r w:rsidRPr="009D7E70">
        <w:rPr>
          <w:rFonts w:ascii="Times New Roman" w:hAnsi="Times New Roman" w:cs="Times New Roman"/>
          <w:sz w:val="18"/>
          <w:szCs w:val="18"/>
          <w:lang w:val="en-US"/>
        </w:rPr>
        <w:t>) molecular structure (for other compounds, different theoretical methods can be operative).</w:t>
      </w:r>
    </w:p>
    <w:p w:rsidR="00875175" w:rsidRPr="009D7E70" w:rsidRDefault="00875175" w:rsidP="00B23601">
      <w:pPr>
        <w:pStyle w:val="Header1"/>
        <w:spacing w:before="240" w:after="240"/>
      </w:pPr>
      <w:r w:rsidRPr="009D7E70">
        <w:t>Results and discussion</w:t>
      </w:r>
    </w:p>
    <w:p w:rsidR="00221CDF" w:rsidRPr="009D7E70" w:rsidRDefault="00221CDF" w:rsidP="00221CDF">
      <w:pPr>
        <w:spacing w:after="0"/>
        <w:ind w:firstLine="284"/>
        <w:jc w:val="both"/>
        <w:rPr>
          <w:rFonts w:ascii="Times New Roman" w:hAnsi="Times New Roman" w:cs="Times New Roman"/>
          <w:sz w:val="18"/>
          <w:szCs w:val="18"/>
          <w:lang w:val="en-US"/>
        </w:rPr>
      </w:pPr>
      <w:r w:rsidRPr="009D7E70">
        <w:rPr>
          <w:rFonts w:ascii="Times New Roman" w:hAnsi="Times New Roman" w:cs="Times New Roman"/>
          <w:sz w:val="18"/>
          <w:szCs w:val="18"/>
          <w:lang w:val="en-US"/>
        </w:rPr>
        <w:t xml:space="preserve">According to our estimation, </w:t>
      </w:r>
      <w:proofErr w:type="gramStart"/>
      <w:r w:rsidRPr="009D7E70">
        <w:rPr>
          <w:rFonts w:ascii="Times New Roman" w:hAnsi="Times New Roman" w:cs="Times New Roman"/>
          <w:sz w:val="18"/>
          <w:szCs w:val="18"/>
          <w:lang w:val="pl-PL"/>
        </w:rPr>
        <w:t>Ti</w:t>
      </w:r>
      <w:r w:rsidRPr="009D7E70">
        <w:rPr>
          <w:rFonts w:ascii="Times New Roman" w:hAnsi="Times New Roman" w:cs="Times New Roman"/>
          <w:sz w:val="18"/>
          <w:szCs w:val="18"/>
          <w:lang w:val="en-US"/>
        </w:rPr>
        <w:t>(</w:t>
      </w:r>
      <w:proofErr w:type="gramEnd"/>
      <w:r w:rsidRPr="009D7E70">
        <w:rPr>
          <w:rFonts w:ascii="Times New Roman" w:hAnsi="Times New Roman" w:cs="Times New Roman"/>
          <w:sz w:val="18"/>
          <w:szCs w:val="18"/>
        </w:rPr>
        <w:t>η</w:t>
      </w:r>
      <w:r w:rsidRPr="009D7E70">
        <w:rPr>
          <w:rFonts w:ascii="Times New Roman" w:hAnsi="Times New Roman" w:cs="Times New Roman"/>
          <w:sz w:val="18"/>
          <w:szCs w:val="18"/>
          <w:vertAlign w:val="superscript"/>
          <w:lang w:val="en-US"/>
        </w:rPr>
        <w:t>5</w:t>
      </w:r>
      <w:r w:rsidRPr="009D7E70">
        <w:rPr>
          <w:rFonts w:ascii="Times New Roman" w:hAnsi="Times New Roman" w:cs="Times New Roman"/>
          <w:sz w:val="18"/>
          <w:szCs w:val="18"/>
          <w:lang w:val="en-US"/>
        </w:rPr>
        <w:t>:</w:t>
      </w:r>
      <w:r w:rsidRPr="009D7E70">
        <w:rPr>
          <w:rFonts w:ascii="Times New Roman" w:hAnsi="Times New Roman" w:cs="Times New Roman"/>
          <w:sz w:val="18"/>
          <w:szCs w:val="18"/>
        </w:rPr>
        <w:t>η</w:t>
      </w:r>
      <w:r w:rsidRPr="009D7E70">
        <w:rPr>
          <w:rFonts w:ascii="Times New Roman" w:hAnsi="Times New Roman" w:cs="Times New Roman"/>
          <w:sz w:val="18"/>
          <w:szCs w:val="18"/>
          <w:vertAlign w:val="superscript"/>
          <w:lang w:val="en-US"/>
        </w:rPr>
        <w:t>1</w:t>
      </w:r>
      <w:r w:rsidRPr="009D7E70">
        <w:rPr>
          <w:rFonts w:ascii="Times New Roman" w:hAnsi="Times New Roman" w:cs="Times New Roman"/>
          <w:sz w:val="18"/>
          <w:szCs w:val="18"/>
          <w:lang w:val="en-US"/>
        </w:rPr>
        <w:t>-</w:t>
      </w:r>
      <w:r w:rsidRPr="009D7E70">
        <w:rPr>
          <w:rFonts w:ascii="Times New Roman" w:hAnsi="Times New Roman" w:cs="Times New Roman"/>
          <w:sz w:val="18"/>
          <w:szCs w:val="18"/>
          <w:lang w:val="pl-PL"/>
        </w:rPr>
        <w:t>CpCMe</w:t>
      </w:r>
      <w:r w:rsidRPr="009D7E70">
        <w:rPr>
          <w:rFonts w:ascii="Times New Roman" w:hAnsi="Times New Roman" w:cs="Times New Roman"/>
          <w:sz w:val="18"/>
          <w:szCs w:val="18"/>
          <w:vertAlign w:val="subscript"/>
          <w:lang w:val="en-US"/>
        </w:rPr>
        <w:t>2</w:t>
      </w:r>
      <w:r w:rsidRPr="009D7E70">
        <w:rPr>
          <w:rFonts w:ascii="Times New Roman" w:hAnsi="Times New Roman" w:cs="Times New Roman"/>
          <w:sz w:val="18"/>
          <w:szCs w:val="18"/>
          <w:lang w:val="pl-PL"/>
        </w:rPr>
        <w:t>CB</w:t>
      </w:r>
      <w:r w:rsidRPr="009D7E70">
        <w:rPr>
          <w:rFonts w:ascii="Times New Roman" w:hAnsi="Times New Roman" w:cs="Times New Roman"/>
          <w:sz w:val="18"/>
          <w:szCs w:val="18"/>
          <w:vertAlign w:val="subscript"/>
          <w:lang w:val="en-US"/>
        </w:rPr>
        <w:t>10</w:t>
      </w:r>
      <w:r w:rsidRPr="009D7E70">
        <w:rPr>
          <w:rFonts w:ascii="Times New Roman" w:hAnsi="Times New Roman" w:cs="Times New Roman"/>
          <w:sz w:val="18"/>
          <w:szCs w:val="18"/>
          <w:lang w:val="pl-PL"/>
        </w:rPr>
        <w:t>H</w:t>
      </w:r>
      <w:r w:rsidRPr="009D7E70">
        <w:rPr>
          <w:rFonts w:ascii="Times New Roman" w:hAnsi="Times New Roman" w:cs="Times New Roman"/>
          <w:sz w:val="18"/>
          <w:szCs w:val="18"/>
          <w:vertAlign w:val="subscript"/>
          <w:lang w:val="en-US"/>
        </w:rPr>
        <w:t>10</w:t>
      </w:r>
      <w:r w:rsidRPr="009D7E70">
        <w:rPr>
          <w:rFonts w:ascii="Times New Roman" w:hAnsi="Times New Roman" w:cs="Times New Roman"/>
          <w:sz w:val="18"/>
          <w:szCs w:val="18"/>
          <w:lang w:val="pl-PL"/>
        </w:rPr>
        <w:t>C</w:t>
      </w:r>
      <w:r w:rsidRPr="009D7E70">
        <w:rPr>
          <w:rFonts w:ascii="Times New Roman" w:hAnsi="Times New Roman" w:cs="Times New Roman"/>
          <w:sz w:val="18"/>
          <w:szCs w:val="18"/>
          <w:lang w:val="en-US"/>
        </w:rPr>
        <w:t>)</w:t>
      </w:r>
      <w:r w:rsidRPr="009D7E70">
        <w:rPr>
          <w:rFonts w:ascii="Times New Roman" w:hAnsi="Times New Roman" w:cs="Times New Roman"/>
          <w:sz w:val="18"/>
          <w:szCs w:val="18"/>
          <w:vertAlign w:val="subscript"/>
          <w:lang w:val="en-US"/>
        </w:rPr>
        <w:t>2</w:t>
      </w:r>
      <w:r w:rsidRPr="009D7E70">
        <w:rPr>
          <w:rFonts w:ascii="Times New Roman" w:hAnsi="Times New Roman" w:cs="Times New Roman"/>
          <w:sz w:val="18"/>
          <w:szCs w:val="18"/>
          <w:lang w:val="en-US"/>
        </w:rPr>
        <w:t xml:space="preserve"> has a large electric dipole moment (10</w:t>
      </w:r>
      <w:r w:rsidR="006B335A" w:rsidRPr="009D7E70">
        <w:rPr>
          <w:rFonts w:ascii="Times New Roman" w:hAnsi="Times New Roman" w:cs="Times New Roman"/>
          <w:sz w:val="18"/>
          <w:szCs w:val="18"/>
          <w:lang w:val="en-US"/>
        </w:rPr>
        <w:t>–</w:t>
      </w:r>
      <w:r w:rsidRPr="009D7E70">
        <w:rPr>
          <w:rFonts w:ascii="Times New Roman" w:hAnsi="Times New Roman" w:cs="Times New Roman"/>
          <w:sz w:val="18"/>
          <w:szCs w:val="18"/>
          <w:lang w:val="en-US"/>
        </w:rPr>
        <w:t>11 Debye,</w:t>
      </w:r>
      <w:r w:rsidR="006B335A" w:rsidRPr="009D7E70">
        <w:rPr>
          <w:rFonts w:ascii="Times New Roman" w:hAnsi="Times New Roman" w:cs="Times New Roman"/>
          <w:sz w:val="18"/>
          <w:szCs w:val="18"/>
          <w:lang w:val="en-US"/>
        </w:rPr>
        <w:t xml:space="preserve"> </w:t>
      </w:r>
      <w:r w:rsidRPr="009D7E70">
        <w:rPr>
          <w:rFonts w:ascii="Times New Roman" w:hAnsi="Times New Roman" w:cs="Times New Roman"/>
          <w:sz w:val="18"/>
          <w:szCs w:val="18"/>
          <w:lang w:val="en-US"/>
        </w:rPr>
        <w:t>Table S1</w:t>
      </w:r>
      <w:r w:rsidR="006B335A" w:rsidRPr="009D7E70">
        <w:rPr>
          <w:rFonts w:ascii="Times New Roman" w:hAnsi="Times New Roman" w:cs="Times New Roman"/>
          <w:sz w:val="18"/>
          <w:szCs w:val="18"/>
          <w:lang w:val="en-US"/>
        </w:rPr>
        <w:t xml:space="preserve"> in the Electronic supplementary information (ESI)</w:t>
      </w:r>
      <w:r w:rsidRPr="009D7E70">
        <w:rPr>
          <w:rFonts w:ascii="Times New Roman" w:hAnsi="Times New Roman" w:cs="Times New Roman"/>
          <w:sz w:val="18"/>
          <w:szCs w:val="18"/>
          <w:lang w:val="en-US"/>
        </w:rPr>
        <w:t>) that is an extremely rare case for organometallic compounds.</w:t>
      </w:r>
    </w:p>
    <w:p w:rsidR="00221CDF" w:rsidRPr="009D7E70" w:rsidRDefault="006B335A" w:rsidP="00221CDF">
      <w:pPr>
        <w:spacing w:after="0"/>
        <w:ind w:firstLine="284"/>
        <w:jc w:val="both"/>
        <w:rPr>
          <w:rFonts w:ascii="Times New Roman" w:hAnsi="Times New Roman" w:cs="Times New Roman"/>
          <w:sz w:val="18"/>
          <w:szCs w:val="18"/>
          <w:lang w:val="pl-PL"/>
        </w:rPr>
      </w:pPr>
      <w:r w:rsidRPr="009D7E70">
        <w:rPr>
          <w:rFonts w:ascii="Times New Roman" w:hAnsi="Times New Roman" w:cs="Times New Roman"/>
          <w:i/>
          <w:iCs/>
          <w:sz w:val="18"/>
          <w:szCs w:val="18"/>
          <w:lang w:val="en-US"/>
        </w:rPr>
        <w:t xml:space="preserve">The </w:t>
      </w:r>
      <w:r w:rsidR="00221CDF" w:rsidRPr="009D7E70">
        <w:rPr>
          <w:rFonts w:ascii="Times New Roman" w:hAnsi="Times New Roman" w:cs="Times New Roman"/>
          <w:i/>
          <w:iCs/>
          <w:sz w:val="18"/>
          <w:szCs w:val="18"/>
          <w:lang w:val="pl-PL"/>
        </w:rPr>
        <w:t>Mulliken population analysis</w:t>
      </w:r>
      <w:r w:rsidR="00221CDF" w:rsidRPr="009D7E70">
        <w:rPr>
          <w:rFonts w:ascii="Times New Roman" w:hAnsi="Times New Roman" w:cs="Times New Roman"/>
          <w:sz w:val="18"/>
          <w:szCs w:val="18"/>
          <w:lang w:val="pl-PL"/>
        </w:rPr>
        <w:t xml:space="preserve"> gives very contradictory results (Table S1</w:t>
      </w:r>
      <w:r w:rsidRPr="009D7E70">
        <w:rPr>
          <w:rFonts w:ascii="Times New Roman" w:hAnsi="Times New Roman" w:cs="Times New Roman"/>
          <w:sz w:val="18"/>
          <w:szCs w:val="18"/>
          <w:lang w:val="pl-PL"/>
        </w:rPr>
        <w:t xml:space="preserve"> in the</w:t>
      </w:r>
      <w:r w:rsidR="00221CDF" w:rsidRPr="009D7E70">
        <w:rPr>
          <w:rFonts w:ascii="Times New Roman" w:hAnsi="Times New Roman" w:cs="Times New Roman"/>
          <w:sz w:val="18"/>
          <w:szCs w:val="18"/>
          <w:lang w:val="pl-PL"/>
        </w:rPr>
        <w:t xml:space="preserve"> ESI): a large variation in the values of charges on Ti and the ligands both in positive and negative ranges with a change in the basis set (mainly) and the Hamiltonian. In a series of more than 200 popular methods, computing using high basis set QZVP and the Pople basis sets: 6-311G and 3-21G provided acceptable charges (charge on Ti: +1.1... +2.2 and negative charges on ligands &gt; −1) (for instances, see: Tables 1 and S1</w:t>
      </w:r>
      <w:r w:rsidR="00B00D30" w:rsidRPr="009D7E70">
        <w:rPr>
          <w:rFonts w:ascii="Times New Roman" w:hAnsi="Times New Roman" w:cs="Times New Roman"/>
          <w:sz w:val="18"/>
          <w:szCs w:val="18"/>
          <w:lang w:val="pl-PL"/>
        </w:rPr>
        <w:t xml:space="preserve"> in the ESI</w:t>
      </w:r>
      <w:r w:rsidR="00221CDF" w:rsidRPr="009D7E70">
        <w:rPr>
          <w:rFonts w:ascii="Times New Roman" w:hAnsi="Times New Roman" w:cs="Times New Roman"/>
          <w:sz w:val="18"/>
          <w:szCs w:val="18"/>
          <w:lang w:val="pl-PL"/>
        </w:rPr>
        <w:t>).</w:t>
      </w:r>
    </w:p>
    <w:p w:rsidR="00B00D30" w:rsidRPr="009D7E70" w:rsidRDefault="00B72C38" w:rsidP="00221CDF">
      <w:pPr>
        <w:spacing w:after="0"/>
        <w:ind w:firstLine="284"/>
        <w:jc w:val="both"/>
        <w:rPr>
          <w:rFonts w:ascii="Times New Roman" w:hAnsi="Times New Roman" w:cs="Times New Roman"/>
          <w:sz w:val="18"/>
          <w:szCs w:val="18"/>
          <w:lang w:val="pl-PL"/>
        </w:rPr>
      </w:pPr>
      <w:r w:rsidRPr="009D7E70">
        <w:rPr>
          <w:rFonts w:ascii="Times New Roman" w:hAnsi="Times New Roman" w:cs="Times New Roman"/>
          <w:sz w:val="18"/>
          <w:szCs w:val="18"/>
          <w:lang w:val="pl-PL"/>
        </w:rPr>
        <w:t>The shortcomings of the</w:t>
      </w:r>
      <w:r w:rsidRPr="009D7E70">
        <w:rPr>
          <w:rFonts w:ascii="Times New Roman" w:hAnsi="Times New Roman" w:cs="Times New Roman"/>
          <w:sz w:val="18"/>
          <w:szCs w:val="18"/>
          <w:lang w:val="en-US"/>
        </w:rPr>
        <w:t xml:space="preserve"> </w:t>
      </w:r>
      <w:r w:rsidRPr="009D7E70">
        <w:rPr>
          <w:rFonts w:ascii="Times New Roman" w:hAnsi="Times New Roman" w:cs="Times New Roman"/>
          <w:sz w:val="18"/>
          <w:szCs w:val="18"/>
          <w:lang w:val="pl-PL"/>
        </w:rPr>
        <w:t xml:space="preserve">Mulliken analysis became apparent, for </w:t>
      </w:r>
      <w:r w:rsidR="00CA2A14">
        <w:rPr>
          <w:rFonts w:ascii="Times New Roman" w:hAnsi="Times New Roman" w:cs="Times New Roman"/>
          <w:sz w:val="18"/>
          <w:szCs w:val="18"/>
          <w:lang w:val="pl-PL"/>
        </w:rPr>
        <w:t>example</w:t>
      </w:r>
      <w:r w:rsidRPr="009D7E70">
        <w:rPr>
          <w:rFonts w:ascii="Times New Roman" w:hAnsi="Times New Roman" w:cs="Times New Roman"/>
          <w:sz w:val="18"/>
          <w:szCs w:val="18"/>
          <w:lang w:val="pl-PL"/>
        </w:rPr>
        <w:t xml:space="preserve">, when applying popular basis sets with added diffuse wave functions. About 100 popular methods based on correlation-consistent (aug-cc-pVTZ, cc-pVDZ and cc-pVTZ), pseudopotential basis sets (CEP-121G, SDD and LANL2DZ), TZVP and DGDZVP basis sets suggested unreliable data. Overall, within frameworks of the </w:t>
      </w:r>
      <w:bookmarkStart w:id="3" w:name="_Hlk180932796"/>
      <w:r w:rsidRPr="009D7E70">
        <w:rPr>
          <w:rFonts w:ascii="Times New Roman" w:hAnsi="Times New Roman" w:cs="Times New Roman"/>
          <w:sz w:val="18"/>
          <w:szCs w:val="18"/>
          <w:lang w:val="pl-PL"/>
        </w:rPr>
        <w:t xml:space="preserve">Mulliken </w:t>
      </w:r>
      <w:bookmarkEnd w:id="3"/>
      <w:r w:rsidRPr="009D7E70">
        <w:rPr>
          <w:rFonts w:ascii="Times New Roman" w:hAnsi="Times New Roman" w:cs="Times New Roman"/>
          <w:sz w:val="18"/>
          <w:szCs w:val="18"/>
          <w:lang w:val="pl-PL"/>
        </w:rPr>
        <w:t xml:space="preserve">approach, </w:t>
      </w:r>
      <w:r w:rsidRPr="009D7E70">
        <w:rPr>
          <w:rFonts w:ascii="Times New Roman" w:hAnsi="Times New Roman" w:cs="Times New Roman"/>
          <w:i/>
          <w:iCs/>
          <w:sz w:val="18"/>
          <w:szCs w:val="18"/>
          <w:lang w:val="pl-PL"/>
        </w:rPr>
        <w:t>ca.</w:t>
      </w:r>
      <w:r w:rsidRPr="009D7E70">
        <w:rPr>
          <w:rFonts w:ascii="Times New Roman" w:hAnsi="Times New Roman" w:cs="Times New Roman"/>
          <w:sz w:val="18"/>
          <w:szCs w:val="18"/>
          <w:lang w:val="pl-PL"/>
        </w:rPr>
        <w:t xml:space="preserve"> 85% </w:t>
      </w:r>
    </w:p>
    <w:p w:rsidR="00221CDF" w:rsidRPr="009D7E70" w:rsidRDefault="00221CDF" w:rsidP="00382850">
      <w:pPr>
        <w:pStyle w:val="Captions"/>
        <w:spacing w:before="0" w:after="120" w:line="276" w:lineRule="auto"/>
        <w:ind w:firstLine="0"/>
        <w:rPr>
          <w:b w:val="0"/>
          <w:sz w:val="16"/>
          <w:szCs w:val="16"/>
        </w:rPr>
      </w:pPr>
      <w:proofErr w:type="gramStart"/>
      <w:r w:rsidRPr="009D7E70">
        <w:rPr>
          <w:sz w:val="16"/>
          <w:szCs w:val="16"/>
        </w:rPr>
        <w:lastRenderedPageBreak/>
        <w:t>Table 1.</w:t>
      </w:r>
      <w:proofErr w:type="gramEnd"/>
      <w:r w:rsidRPr="009D7E70">
        <w:rPr>
          <w:sz w:val="16"/>
          <w:szCs w:val="16"/>
        </w:rPr>
        <w:t xml:space="preserve"> </w:t>
      </w:r>
      <w:r w:rsidRPr="009D7E70">
        <w:rPr>
          <w:b w:val="0"/>
          <w:bCs/>
          <w:sz w:val="16"/>
          <w:szCs w:val="16"/>
        </w:rPr>
        <w:t>Mulliken charge</w:t>
      </w:r>
      <w:r w:rsidRPr="009D7E70">
        <w:rPr>
          <w:b w:val="0"/>
          <w:sz w:val="16"/>
          <w:szCs w:val="16"/>
        </w:rPr>
        <w:t xml:space="preserve"> characteristics of </w:t>
      </w:r>
      <w:proofErr w:type="spellStart"/>
      <w:r w:rsidRPr="009D7E70">
        <w:rPr>
          <w:b w:val="0"/>
          <w:sz w:val="16"/>
          <w:szCs w:val="16"/>
        </w:rPr>
        <w:t>titanocene</w:t>
      </w:r>
      <w:proofErr w:type="spellEnd"/>
      <w:r w:rsidRPr="009D7E70">
        <w:rPr>
          <w:b w:val="0"/>
          <w:sz w:val="16"/>
          <w:szCs w:val="16"/>
        </w:rPr>
        <w:t xml:space="preserve"> </w:t>
      </w:r>
      <w:bookmarkStart w:id="4" w:name="_Hlk180781251"/>
      <w:proofErr w:type="spellStart"/>
      <w:r w:rsidRPr="009D7E70">
        <w:rPr>
          <w:b w:val="0"/>
          <w:sz w:val="16"/>
          <w:szCs w:val="16"/>
        </w:rPr>
        <w:t>dicarboranyl</w:t>
      </w:r>
      <w:proofErr w:type="spellEnd"/>
      <w:r w:rsidRPr="009D7E70">
        <w:rPr>
          <w:b w:val="0"/>
          <w:sz w:val="16"/>
          <w:szCs w:val="16"/>
        </w:rPr>
        <w:t xml:space="preserve"> (selected methods)</w:t>
      </w:r>
      <w:bookmarkEnd w:id="4"/>
    </w:p>
    <w:tbl>
      <w:tblPr>
        <w:tblW w:w="4770"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2"/>
        <w:gridCol w:w="708"/>
        <w:gridCol w:w="709"/>
        <w:gridCol w:w="725"/>
        <w:gridCol w:w="966"/>
      </w:tblGrid>
      <w:tr w:rsidR="00221CDF" w:rsidRPr="009D7E70" w:rsidTr="005F64BD">
        <w:trPr>
          <w:trHeight w:val="296"/>
        </w:trPr>
        <w:tc>
          <w:tcPr>
            <w:tcW w:w="1662" w:type="dxa"/>
            <w:tcBorders>
              <w:lef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rPr>
            </w:pPr>
            <w:r w:rsidRPr="009D7E70">
              <w:rPr>
                <w:rFonts w:ascii="Times New Roman" w:hAnsi="Times New Roman" w:cs="Times New Roman"/>
                <w:bCs/>
                <w:sz w:val="16"/>
                <w:szCs w:val="16"/>
                <w:lang w:val="en-US"/>
              </w:rPr>
              <w:t>Method</w:t>
            </w:r>
          </w:p>
        </w:tc>
        <w:tc>
          <w:tcPr>
            <w:tcW w:w="708" w:type="dxa"/>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rPr>
              <w:t>(</w:t>
            </w:r>
            <w:r w:rsidRPr="009D7E70">
              <w:rPr>
                <w:rFonts w:ascii="Times New Roman" w:hAnsi="Times New Roman" w:cs="Times New Roman"/>
                <w:bCs/>
                <w:sz w:val="16"/>
                <w:szCs w:val="16"/>
                <w:lang w:val="en-US"/>
              </w:rPr>
              <w:t>Ti)</w:t>
            </w:r>
          </w:p>
        </w:tc>
        <w:tc>
          <w:tcPr>
            <w:tcW w:w="709" w:type="dxa"/>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lang w:val="en-US"/>
              </w:rPr>
              <w:t>(Cp)</w:t>
            </w:r>
          </w:p>
        </w:tc>
        <w:tc>
          <w:tcPr>
            <w:tcW w:w="725" w:type="dxa"/>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lang w:val="en-US"/>
              </w:rPr>
              <w:t>(Carb)</w:t>
            </w:r>
          </w:p>
        </w:tc>
        <w:tc>
          <w:tcPr>
            <w:tcW w:w="966" w:type="dxa"/>
            <w:tcBorders>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lang w:val="en-US"/>
              </w:rPr>
              <w:t>(&gt;CMe</w:t>
            </w:r>
            <w:r w:rsidRPr="009D7E70">
              <w:rPr>
                <w:rFonts w:ascii="Times New Roman" w:hAnsi="Times New Roman" w:cs="Times New Roman"/>
                <w:bCs/>
                <w:sz w:val="16"/>
                <w:szCs w:val="16"/>
                <w:vertAlign w:val="subscript"/>
                <w:lang w:val="en-US"/>
              </w:rPr>
              <w:t>2</w:t>
            </w:r>
            <w:r w:rsidRPr="009D7E70">
              <w:rPr>
                <w:rFonts w:ascii="Times New Roman" w:hAnsi="Times New Roman" w:cs="Times New Roman"/>
                <w:bCs/>
                <w:sz w:val="16"/>
                <w:szCs w:val="16"/>
                <w:lang w:val="en-US"/>
              </w:rPr>
              <w:t>)</w:t>
            </w:r>
          </w:p>
        </w:tc>
      </w:tr>
      <w:tr w:rsidR="00221CDF" w:rsidRPr="009D7E70" w:rsidTr="004A749D">
        <w:trPr>
          <w:trHeight w:val="227"/>
        </w:trPr>
        <w:tc>
          <w:tcPr>
            <w:tcW w:w="1662" w:type="dxa"/>
            <w:tcBorders>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HF/QZVP</w:t>
            </w:r>
          </w:p>
        </w:tc>
        <w:tc>
          <w:tcPr>
            <w:tcW w:w="708" w:type="dxa"/>
            <w:tcBorders>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+1.43</w:t>
            </w:r>
          </w:p>
        </w:tc>
        <w:tc>
          <w:tcPr>
            <w:tcW w:w="709" w:type="dxa"/>
            <w:tcBorders>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–0.40</w:t>
            </w:r>
          </w:p>
        </w:tc>
        <w:tc>
          <w:tcPr>
            <w:tcW w:w="725" w:type="dxa"/>
            <w:tcBorders>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rPr>
              <w:t>–0</w:t>
            </w:r>
            <w:r w:rsidRPr="009D7E70">
              <w:rPr>
                <w:rFonts w:ascii="Times New Roman" w:hAnsi="Times New Roman" w:cs="Times New Roman"/>
                <w:sz w:val="16"/>
                <w:szCs w:val="16"/>
                <w:lang w:val="en-US"/>
              </w:rPr>
              <w:t>.</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9</w:t>
            </w:r>
          </w:p>
        </w:tc>
        <w:tc>
          <w:tcPr>
            <w:tcW w:w="966" w:type="dxa"/>
            <w:tcBorders>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–0.13</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rPr>
              <w:t>B3LYP/QZVP</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7"/>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92</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rPr>
              <w:t>−0.7</w:t>
            </w:r>
            <w:r w:rsidRPr="009D7E70">
              <w:rPr>
                <w:rFonts w:ascii="Times New Roman" w:hAnsi="Times New Roman" w:cs="Times New Roman"/>
                <w:sz w:val="16"/>
                <w:szCs w:val="16"/>
                <w:lang w:val="en-US"/>
              </w:rPr>
              <w:t>4</w:t>
            </w:r>
          </w:p>
        </w:tc>
        <w:tc>
          <w:tcPr>
            <w:tcW w:w="725" w:type="dxa"/>
            <w:tcBorders>
              <w:top w:val="nil"/>
              <w:bottom w:val="nil"/>
            </w:tcBorders>
            <w:shd w:val="clear" w:color="auto" w:fill="auto"/>
            <w:vAlign w:val="center"/>
          </w:tcPr>
          <w:p w:rsidR="00221CDF" w:rsidRPr="009D7E70" w:rsidRDefault="00221CDF" w:rsidP="00B00D30">
            <w:pPr>
              <w:spacing w:after="0" w:line="240" w:lineRule="auto"/>
              <w:ind w:hanging="107"/>
              <w:jc w:val="center"/>
              <w:rPr>
                <w:rFonts w:ascii="Times New Roman" w:hAnsi="Times New Roman" w:cs="Times New Roman"/>
                <w:sz w:val="16"/>
                <w:szCs w:val="16"/>
                <w:lang w:val="en-US"/>
              </w:rPr>
            </w:pPr>
            <w:r w:rsidRPr="009D7E70">
              <w:rPr>
                <w:rFonts w:ascii="Times New Roman" w:hAnsi="Times New Roman" w:cs="Times New Roman"/>
                <w:sz w:val="16"/>
                <w:szCs w:val="16"/>
              </w:rPr>
              <w:t>−0.</w:t>
            </w:r>
            <w:r w:rsidRPr="009D7E70">
              <w:rPr>
                <w:rFonts w:ascii="Times New Roman" w:hAnsi="Times New Roman" w:cs="Times New Roman"/>
                <w:sz w:val="16"/>
                <w:szCs w:val="16"/>
                <w:lang w:val="en-US"/>
              </w:rPr>
              <w:t>02</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ind w:hanging="107"/>
              <w:jc w:val="center"/>
              <w:rPr>
                <w:rFonts w:ascii="Times New Roman" w:hAnsi="Times New Roman" w:cs="Times New Roman"/>
                <w:sz w:val="16"/>
                <w:szCs w:val="16"/>
                <w:lang w:val="en-US"/>
              </w:rPr>
            </w:pPr>
            <w:r w:rsidRPr="009D7E70">
              <w:rPr>
                <w:rFonts w:ascii="Times New Roman" w:hAnsi="Times New Roman" w:cs="Times New Roman"/>
                <w:sz w:val="16"/>
                <w:szCs w:val="16"/>
              </w:rPr>
              <w:t>−0.</w:t>
            </w:r>
            <w:r w:rsidRPr="009D7E70">
              <w:rPr>
                <w:rFonts w:ascii="Times New Roman" w:hAnsi="Times New Roman" w:cs="Times New Roman"/>
                <w:sz w:val="16"/>
                <w:szCs w:val="16"/>
                <w:lang w:val="en-US"/>
              </w:rPr>
              <w:t>20</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PBE0/QZVP</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41</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rPr>
              <w:t>−0.40</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rPr>
              <w:t>−0.0</w:t>
            </w:r>
            <w:r w:rsidRPr="009D7E70">
              <w:rPr>
                <w:rFonts w:ascii="Times New Roman" w:hAnsi="Times New Roman" w:cs="Times New Roman"/>
                <w:sz w:val="16"/>
                <w:szCs w:val="16"/>
                <w:lang w:val="en-US"/>
              </w:rPr>
              <w:t>9</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rPr>
              <w:t>−0.2</w:t>
            </w:r>
            <w:r w:rsidRPr="009D7E70">
              <w:rPr>
                <w:rFonts w:ascii="Times New Roman" w:hAnsi="Times New Roman" w:cs="Times New Roman"/>
                <w:sz w:val="16"/>
                <w:szCs w:val="16"/>
                <w:lang w:val="en-US"/>
              </w:rPr>
              <w:t>2</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w:t>
            </w:r>
            <w:r w:rsidRPr="009D7E70">
              <w:rPr>
                <w:rFonts w:ascii="Times New Roman" w:hAnsi="Times New Roman" w:cs="Times New Roman"/>
                <w:sz w:val="16"/>
                <w:szCs w:val="16"/>
              </w:rPr>
              <w:t>6-311</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7</w:t>
            </w:r>
            <w:r w:rsidRPr="009D7E70">
              <w:rPr>
                <w:rFonts w:ascii="Times New Roman" w:hAnsi="Times New Roman" w:cs="Times New Roman"/>
                <w:sz w:val="16"/>
                <w:szCs w:val="16"/>
                <w:lang w:val="en-US"/>
              </w:rPr>
              <w:t>7</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7</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w:t>
            </w:r>
            <w:r w:rsidRPr="009D7E70">
              <w:rPr>
                <w:rFonts w:ascii="Times New Roman" w:hAnsi="Times New Roman" w:cs="Times New Roman"/>
                <w:sz w:val="16"/>
                <w:szCs w:val="16"/>
                <w:lang w:val="en-US"/>
              </w:rPr>
              <w:t>3</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rPr>
            </w:pPr>
            <w:r w:rsidRPr="009D7E70">
              <w:rPr>
                <w:rFonts w:ascii="Times New Roman" w:hAnsi="Times New Roman" w:cs="Times New Roman"/>
                <w:sz w:val="16"/>
                <w:szCs w:val="16"/>
                <w:lang w:val="en-US"/>
              </w:rPr>
              <w:t>+0.02</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w:t>
            </w:r>
            <w:r w:rsidRPr="009D7E70">
              <w:rPr>
                <w:rFonts w:ascii="Times New Roman" w:hAnsi="Times New Roman" w:cs="Times New Roman"/>
                <w:sz w:val="16"/>
                <w:szCs w:val="16"/>
              </w:rPr>
              <w:t>/6-311</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4</w:t>
            </w:r>
            <w:r w:rsidRPr="009D7E70">
              <w:rPr>
                <w:rFonts w:ascii="Times New Roman" w:hAnsi="Times New Roman" w:cs="Times New Roman"/>
                <w:sz w:val="16"/>
                <w:szCs w:val="16"/>
                <w:lang w:val="en-US"/>
              </w:rPr>
              <w:t>2</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lang w:val="en-US"/>
              </w:rPr>
              <w:t>–0.10</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–0.65</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w:t>
            </w:r>
            <w:r w:rsidRPr="009D7E70">
              <w:rPr>
                <w:rFonts w:ascii="Times New Roman" w:hAnsi="Times New Roman" w:cs="Times New Roman"/>
                <w:sz w:val="16"/>
                <w:szCs w:val="16"/>
              </w:rPr>
              <w:t>5</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CAM-B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w:t>
            </w:r>
            <w:r w:rsidRPr="009D7E70">
              <w:rPr>
                <w:rFonts w:ascii="Times New Roman" w:hAnsi="Times New Roman" w:cs="Times New Roman"/>
                <w:sz w:val="16"/>
                <w:szCs w:val="16"/>
              </w:rPr>
              <w:t>/6-311</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41</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lang w:val="en-US"/>
              </w:rPr>
              <w:t>–0.10</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–0.69</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rPr>
            </w:pPr>
            <w:r w:rsidRPr="009D7E70">
              <w:rPr>
                <w:rFonts w:ascii="Times New Roman" w:hAnsi="Times New Roman" w:cs="Times New Roman"/>
                <w:sz w:val="16"/>
                <w:szCs w:val="16"/>
                <w:lang w:val="en-US"/>
              </w:rPr>
              <w:t>+0.0</w:t>
            </w:r>
            <w:r w:rsidRPr="009D7E70">
              <w:rPr>
                <w:rFonts w:ascii="Times New Roman" w:hAnsi="Times New Roman" w:cs="Times New Roman"/>
                <w:sz w:val="16"/>
                <w:szCs w:val="16"/>
              </w:rPr>
              <w:t>8</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bCs/>
                <w:iCs/>
                <w:sz w:val="16"/>
                <w:szCs w:val="16"/>
                <w:lang w:val="en-US"/>
              </w:rPr>
              <w:t>M</w:t>
            </w:r>
            <w:r w:rsidRPr="009D7E70">
              <w:rPr>
                <w:rFonts w:ascii="Times New Roman" w:hAnsi="Times New Roman" w:cs="Times New Roman"/>
                <w:bCs/>
                <w:iCs/>
                <w:sz w:val="16"/>
                <w:szCs w:val="16"/>
              </w:rPr>
              <w:t>06/6-311</w:t>
            </w:r>
            <w:r w:rsidRPr="009D7E70">
              <w:rPr>
                <w:rFonts w:ascii="Times New Roman" w:hAnsi="Times New Roman" w:cs="Times New Roman"/>
                <w:bCs/>
                <w:iCs/>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9</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lang w:val="en-US"/>
              </w:rPr>
              <w:t>–0.07</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70</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+0.08</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HF/6-31G</w:t>
            </w:r>
          </w:p>
        </w:tc>
        <w:tc>
          <w:tcPr>
            <w:tcW w:w="708"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9</w:t>
            </w:r>
          </w:p>
        </w:tc>
        <w:tc>
          <w:tcPr>
            <w:tcW w:w="709"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–0.0</w:t>
            </w:r>
            <w:r w:rsidRPr="009D7E70">
              <w:rPr>
                <w:rFonts w:ascii="Times New Roman" w:hAnsi="Times New Roman" w:cs="Times New Roman"/>
                <w:sz w:val="16"/>
                <w:szCs w:val="16"/>
              </w:rPr>
              <w:t>9</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–0.68</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+0.18</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LYP/6-31</w:t>
            </w:r>
            <w:r w:rsidRPr="009D7E70">
              <w:rPr>
                <w:rFonts w:ascii="Times New Roman" w:hAnsi="Times New Roman" w:cs="Times New Roman"/>
                <w:sz w:val="16"/>
                <w:szCs w:val="16"/>
              </w:rPr>
              <w:t>+</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70</w:t>
            </w:r>
          </w:p>
        </w:tc>
        <w:tc>
          <w:tcPr>
            <w:tcW w:w="709"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–0.31</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78</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+0.2</w:t>
            </w:r>
            <w:r w:rsidRPr="009D7E70">
              <w:rPr>
                <w:rFonts w:ascii="Times New Roman" w:hAnsi="Times New Roman" w:cs="Times New Roman"/>
                <w:sz w:val="16"/>
                <w:szCs w:val="16"/>
              </w:rPr>
              <w:t>3</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CAM-B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w:t>
            </w:r>
            <w:r w:rsidRPr="009D7E70">
              <w:rPr>
                <w:rFonts w:ascii="Times New Roman" w:hAnsi="Times New Roman" w:cs="Times New Roman"/>
                <w:sz w:val="16"/>
                <w:szCs w:val="16"/>
              </w:rPr>
              <w:t>/6-31+</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5</w:t>
            </w:r>
            <w:r w:rsidRPr="009D7E70">
              <w:rPr>
                <w:rFonts w:ascii="Times New Roman" w:hAnsi="Times New Roman" w:cs="Times New Roman"/>
                <w:sz w:val="16"/>
                <w:szCs w:val="16"/>
                <w:lang w:val="en-US"/>
              </w:rPr>
              <w:t>4</w:t>
            </w:r>
          </w:p>
        </w:tc>
        <w:tc>
          <w:tcPr>
            <w:tcW w:w="709"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8</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76</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+0.17</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proofErr w:type="spellStart"/>
            <w:r w:rsidRPr="009D7E70">
              <w:rPr>
                <w:rFonts w:ascii="Times New Roman" w:hAnsi="Times New Roman" w:cs="Times New Roman"/>
                <w:sz w:val="16"/>
                <w:szCs w:val="16"/>
                <w:lang w:val="en-US"/>
              </w:rPr>
              <w:t>TPSSh</w:t>
            </w:r>
            <w:proofErr w:type="spellEnd"/>
            <w:r w:rsidRPr="009D7E70">
              <w:rPr>
                <w:rFonts w:ascii="Times New Roman" w:hAnsi="Times New Roman" w:cs="Times New Roman"/>
                <w:sz w:val="16"/>
                <w:szCs w:val="16"/>
                <w:lang w:val="en-US"/>
              </w:rPr>
              <w:t>/6-31</w:t>
            </w:r>
            <w:r w:rsidRPr="009D7E70">
              <w:rPr>
                <w:rFonts w:ascii="Times New Roman" w:hAnsi="Times New Roman" w:cs="Times New Roman"/>
                <w:sz w:val="16"/>
                <w:szCs w:val="16"/>
              </w:rPr>
              <w:t>+</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37</w:t>
            </w:r>
          </w:p>
        </w:tc>
        <w:tc>
          <w:tcPr>
            <w:tcW w:w="709"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–0.10</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88</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+0.30</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PBE0/6-31</w:t>
            </w:r>
            <w:r w:rsidRPr="009D7E70">
              <w:rPr>
                <w:rFonts w:ascii="Times New Roman" w:hAnsi="Times New Roman" w:cs="Times New Roman"/>
                <w:sz w:val="16"/>
                <w:szCs w:val="16"/>
              </w:rPr>
              <w:t>+</w:t>
            </w:r>
            <w:r w:rsidRPr="009D7E70">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+1.4</w:t>
            </w:r>
            <w:r w:rsidRPr="009D7E70">
              <w:rPr>
                <w:rFonts w:ascii="Times New Roman" w:hAnsi="Times New Roman" w:cs="Times New Roman"/>
                <w:sz w:val="16"/>
                <w:szCs w:val="16"/>
              </w:rPr>
              <w:t>6</w:t>
            </w:r>
          </w:p>
        </w:tc>
        <w:tc>
          <w:tcPr>
            <w:tcW w:w="709"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27</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83</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37</w:t>
            </w:r>
          </w:p>
        </w:tc>
      </w:tr>
      <w:tr w:rsidR="00221CDF" w:rsidRPr="009D7E70" w:rsidTr="004A749D">
        <w:trPr>
          <w:trHeight w:val="227"/>
        </w:trPr>
        <w:tc>
          <w:tcPr>
            <w:tcW w:w="1662" w:type="dxa"/>
            <w:tcBorders>
              <w:top w:val="nil"/>
              <w:left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HF/3-21G</w:t>
            </w:r>
          </w:p>
        </w:tc>
        <w:tc>
          <w:tcPr>
            <w:tcW w:w="708" w:type="dxa"/>
            <w:tcBorders>
              <w:top w:val="nil"/>
              <w:bottom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+2.07</w:t>
            </w:r>
          </w:p>
        </w:tc>
        <w:tc>
          <w:tcPr>
            <w:tcW w:w="709" w:type="dxa"/>
            <w:tcBorders>
              <w:top w:val="nil"/>
              <w:bottom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–0.35</w:t>
            </w:r>
          </w:p>
        </w:tc>
        <w:tc>
          <w:tcPr>
            <w:tcW w:w="725" w:type="dxa"/>
            <w:tcBorders>
              <w:top w:val="nil"/>
              <w:bottom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–0.75</w:t>
            </w:r>
          </w:p>
        </w:tc>
        <w:tc>
          <w:tcPr>
            <w:tcW w:w="966" w:type="dxa"/>
            <w:tcBorders>
              <w:top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+0.06</w:t>
            </w:r>
          </w:p>
        </w:tc>
      </w:tr>
      <w:tr w:rsidR="00221CDF" w:rsidRPr="009D7E70" w:rsidTr="004A749D">
        <w:trPr>
          <w:trHeight w:val="227"/>
        </w:trPr>
        <w:tc>
          <w:tcPr>
            <w:tcW w:w="1662" w:type="dxa"/>
            <w:tcBorders>
              <w:top w:val="nil"/>
              <w:left w:val="nil"/>
              <w:bottom w:val="single" w:sz="4" w:space="0" w:color="auto"/>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B3LYP/3-21G</w:t>
            </w:r>
          </w:p>
        </w:tc>
        <w:tc>
          <w:tcPr>
            <w:tcW w:w="708" w:type="dxa"/>
            <w:tcBorders>
              <w:top w:val="nil"/>
              <w:bottom w:val="single" w:sz="4" w:space="0" w:color="auto"/>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+1.72</w:t>
            </w:r>
          </w:p>
        </w:tc>
        <w:tc>
          <w:tcPr>
            <w:tcW w:w="709" w:type="dxa"/>
            <w:tcBorders>
              <w:top w:val="nil"/>
              <w:bottom w:val="single" w:sz="4" w:space="0" w:color="auto"/>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–0.26</w:t>
            </w:r>
          </w:p>
        </w:tc>
        <w:tc>
          <w:tcPr>
            <w:tcW w:w="725" w:type="dxa"/>
            <w:tcBorders>
              <w:top w:val="nil"/>
              <w:bottom w:val="single" w:sz="4" w:space="0" w:color="auto"/>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–0.62</w:t>
            </w:r>
          </w:p>
        </w:tc>
        <w:tc>
          <w:tcPr>
            <w:tcW w:w="966" w:type="dxa"/>
            <w:tcBorders>
              <w:top w:val="nil"/>
              <w:bottom w:val="single" w:sz="4" w:space="0" w:color="auto"/>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+0.01</w:t>
            </w:r>
          </w:p>
        </w:tc>
      </w:tr>
    </w:tbl>
    <w:p w:rsidR="00221CDF" w:rsidRPr="009D7E70" w:rsidRDefault="00221CDF" w:rsidP="00B00D30">
      <w:pPr>
        <w:pStyle w:val="Captions"/>
        <w:spacing w:before="60" w:after="200" w:line="276" w:lineRule="auto"/>
        <w:ind w:firstLine="0"/>
        <w:rPr>
          <w:b w:val="0"/>
          <w:sz w:val="16"/>
          <w:szCs w:val="16"/>
        </w:rPr>
      </w:pPr>
      <w:r w:rsidRPr="009D7E70">
        <w:rPr>
          <w:b w:val="0"/>
          <w:bCs/>
          <w:i/>
          <w:sz w:val="16"/>
          <w:szCs w:val="16"/>
        </w:rPr>
        <w:t>q</w:t>
      </w:r>
      <w:r w:rsidRPr="009D7E70">
        <w:rPr>
          <w:b w:val="0"/>
          <w:bCs/>
          <w:sz w:val="16"/>
          <w:szCs w:val="16"/>
        </w:rPr>
        <w:t>(Ti)</w:t>
      </w:r>
      <w:r w:rsidRPr="009D7E70">
        <w:rPr>
          <w:b w:val="0"/>
          <w:sz w:val="16"/>
          <w:szCs w:val="16"/>
        </w:rPr>
        <w:t xml:space="preserve"> stands for the charge on Ti</w:t>
      </w:r>
      <w:r w:rsidR="005F64BD" w:rsidRPr="009D7E70">
        <w:rPr>
          <w:b w:val="0"/>
          <w:sz w:val="16"/>
          <w:szCs w:val="16"/>
        </w:rPr>
        <w:t>;</w:t>
      </w:r>
      <w:r w:rsidRPr="009D7E70">
        <w:rPr>
          <w:b w:val="0"/>
          <w:sz w:val="16"/>
          <w:szCs w:val="16"/>
        </w:rPr>
        <w:t xml:space="preserve"> </w:t>
      </w:r>
      <w:r w:rsidRPr="009D7E70">
        <w:rPr>
          <w:b w:val="0"/>
          <w:bCs/>
          <w:i/>
          <w:sz w:val="16"/>
          <w:szCs w:val="16"/>
        </w:rPr>
        <w:t>q</w:t>
      </w:r>
      <w:r w:rsidRPr="009D7E70">
        <w:rPr>
          <w:b w:val="0"/>
          <w:bCs/>
          <w:sz w:val="16"/>
          <w:szCs w:val="16"/>
        </w:rPr>
        <w:t>(Cp)</w:t>
      </w:r>
      <w:r w:rsidRPr="009D7E70">
        <w:rPr>
          <w:b w:val="0"/>
          <w:sz w:val="16"/>
          <w:szCs w:val="16"/>
        </w:rPr>
        <w:t xml:space="preserve"> </w:t>
      </w:r>
      <w:bookmarkStart w:id="5" w:name="_Hlk180571580"/>
      <w:bookmarkStart w:id="6" w:name="_Hlk180571500"/>
      <w:r w:rsidRPr="009D7E70">
        <w:rPr>
          <w:b w:val="0"/>
          <w:sz w:val="16"/>
          <w:szCs w:val="16"/>
        </w:rPr>
        <w:t xml:space="preserve">is the charge on each </w:t>
      </w:r>
      <w:bookmarkEnd w:id="5"/>
      <w:r w:rsidRPr="009D7E70">
        <w:rPr>
          <w:b w:val="0"/>
          <w:sz w:val="16"/>
          <w:szCs w:val="16"/>
          <w:lang w:val="ru-RU"/>
        </w:rPr>
        <w:t>Ср</w:t>
      </w:r>
      <w:r w:rsidRPr="009D7E70">
        <w:rPr>
          <w:b w:val="0"/>
          <w:sz w:val="16"/>
          <w:szCs w:val="16"/>
        </w:rPr>
        <w:t>-ligand</w:t>
      </w:r>
      <w:bookmarkEnd w:id="6"/>
      <w:r w:rsidR="005F64BD" w:rsidRPr="009D7E70">
        <w:rPr>
          <w:b w:val="0"/>
          <w:sz w:val="16"/>
          <w:szCs w:val="16"/>
        </w:rPr>
        <w:t>;</w:t>
      </w:r>
      <w:r w:rsidRPr="009D7E70">
        <w:rPr>
          <w:b w:val="0"/>
          <w:sz w:val="16"/>
          <w:szCs w:val="16"/>
        </w:rPr>
        <w:t xml:space="preserve"> </w:t>
      </w:r>
      <w:r w:rsidRPr="009D7E70">
        <w:rPr>
          <w:b w:val="0"/>
          <w:bCs/>
          <w:i/>
          <w:sz w:val="16"/>
          <w:szCs w:val="16"/>
        </w:rPr>
        <w:t>q</w:t>
      </w:r>
      <w:r w:rsidRPr="009D7E70">
        <w:rPr>
          <w:b w:val="0"/>
          <w:bCs/>
          <w:sz w:val="16"/>
          <w:szCs w:val="16"/>
        </w:rPr>
        <w:t>(Carb)</w:t>
      </w:r>
      <w:r w:rsidRPr="009D7E70">
        <w:rPr>
          <w:b w:val="0"/>
          <w:sz w:val="16"/>
          <w:szCs w:val="16"/>
        </w:rPr>
        <w:t xml:space="preserve"> is the charge on each carboranyl ligand</w:t>
      </w:r>
      <w:r w:rsidR="005F64BD" w:rsidRPr="009D7E70">
        <w:rPr>
          <w:b w:val="0"/>
          <w:sz w:val="16"/>
          <w:szCs w:val="16"/>
        </w:rPr>
        <w:t>;</w:t>
      </w:r>
      <w:r w:rsidRPr="009D7E70">
        <w:rPr>
          <w:b w:val="0"/>
          <w:sz w:val="16"/>
          <w:szCs w:val="16"/>
        </w:rPr>
        <w:t xml:space="preserve"> </w:t>
      </w:r>
      <w:r w:rsidRPr="009D7E70">
        <w:rPr>
          <w:b w:val="0"/>
          <w:bCs/>
          <w:i/>
          <w:sz w:val="16"/>
          <w:szCs w:val="16"/>
        </w:rPr>
        <w:t>q</w:t>
      </w:r>
      <w:r w:rsidRPr="009D7E70">
        <w:rPr>
          <w:b w:val="0"/>
          <w:bCs/>
          <w:sz w:val="16"/>
          <w:szCs w:val="16"/>
        </w:rPr>
        <w:t>(&gt;CMe</w:t>
      </w:r>
      <w:r w:rsidRPr="009D7E70">
        <w:rPr>
          <w:b w:val="0"/>
          <w:bCs/>
          <w:sz w:val="16"/>
          <w:szCs w:val="16"/>
          <w:vertAlign w:val="subscript"/>
        </w:rPr>
        <w:t>2</w:t>
      </w:r>
      <w:r w:rsidRPr="009D7E70">
        <w:rPr>
          <w:b w:val="0"/>
          <w:bCs/>
          <w:sz w:val="16"/>
          <w:szCs w:val="16"/>
        </w:rPr>
        <w:t xml:space="preserve">) </w:t>
      </w:r>
      <w:r w:rsidRPr="009D7E70">
        <w:rPr>
          <w:b w:val="0"/>
          <w:sz w:val="16"/>
          <w:szCs w:val="16"/>
        </w:rPr>
        <w:t xml:space="preserve">is the charge on each </w:t>
      </w:r>
      <w:r w:rsidRPr="009D7E70">
        <w:rPr>
          <w:b w:val="0"/>
          <w:bCs/>
          <w:sz w:val="16"/>
          <w:szCs w:val="16"/>
        </w:rPr>
        <w:t>&gt;CMe</w:t>
      </w:r>
      <w:r w:rsidRPr="009D7E70">
        <w:rPr>
          <w:b w:val="0"/>
          <w:bCs/>
          <w:sz w:val="16"/>
          <w:szCs w:val="16"/>
          <w:vertAlign w:val="subscript"/>
        </w:rPr>
        <w:t>2</w:t>
      </w:r>
      <w:r w:rsidRPr="009D7E70">
        <w:rPr>
          <w:b w:val="0"/>
          <w:sz w:val="16"/>
          <w:szCs w:val="16"/>
        </w:rPr>
        <w:t xml:space="preserve"> bridge</w:t>
      </w:r>
      <w:r w:rsidR="005F64BD" w:rsidRPr="009D7E70">
        <w:rPr>
          <w:b w:val="0"/>
          <w:sz w:val="16"/>
          <w:szCs w:val="16"/>
        </w:rPr>
        <w:t>; i</w:t>
      </w:r>
      <w:r w:rsidRPr="009D7E70">
        <w:rPr>
          <w:b w:val="0"/>
          <w:sz w:val="16"/>
          <w:szCs w:val="16"/>
        </w:rPr>
        <w:t>n a number of cases, the total charge of the complex differs from zero that is due to rounding of charges on the corresponding molecular fragments.</w:t>
      </w:r>
    </w:p>
    <w:p w:rsidR="009D7E70" w:rsidRDefault="009D7E70" w:rsidP="009D7E70">
      <w:pPr>
        <w:pStyle w:val="MainText"/>
        <w:ind w:firstLine="0"/>
      </w:pPr>
      <w:r w:rsidRPr="009D7E70">
        <w:rPr>
          <w:lang w:val="pl-PL"/>
        </w:rPr>
        <w:t>of more than 200 popular methods (HF, DFT) failed to provide realistic values of charges</w:t>
      </w:r>
      <w:r w:rsidRPr="009D7E70">
        <w:rPr>
          <w:i/>
          <w:iCs/>
          <w:lang w:val="pl-PL"/>
        </w:rPr>
        <w:t xml:space="preserve"> </w:t>
      </w:r>
      <w:r w:rsidRPr="009D7E70">
        <w:rPr>
          <w:lang w:val="pl-PL"/>
        </w:rPr>
        <w:t>on Ti and ligands in the complex.</w:t>
      </w:r>
    </w:p>
    <w:p w:rsidR="00221CDF" w:rsidRPr="009D7E70" w:rsidRDefault="00221CDF" w:rsidP="00221CDF">
      <w:pPr>
        <w:pStyle w:val="MainText"/>
        <w:ind w:firstLine="284"/>
      </w:pPr>
      <w:r w:rsidRPr="009D7E70">
        <w:t>The following tremendous objections to the Mulliken population analysis were revealed in our study:</w:t>
      </w:r>
    </w:p>
    <w:p w:rsidR="00221CDF" w:rsidRPr="009D7E70" w:rsidRDefault="00221CDF" w:rsidP="00221CDF">
      <w:pPr>
        <w:pStyle w:val="MainText"/>
        <w:ind w:firstLine="284"/>
      </w:pPr>
      <w:r w:rsidRPr="009D7E70">
        <w:t>(</w:t>
      </w:r>
      <w:proofErr w:type="spellStart"/>
      <w:r w:rsidRPr="009D7E70">
        <w:rPr>
          <w:i/>
          <w:iCs/>
        </w:rPr>
        <w:t>i</w:t>
      </w:r>
      <w:proofErr w:type="spellEnd"/>
      <w:r w:rsidRPr="009D7E70">
        <w:t xml:space="preserve">) The </w:t>
      </w:r>
      <w:proofErr w:type="spellStart"/>
      <w:r w:rsidRPr="009D7E70">
        <w:t>Mulliken</w:t>
      </w:r>
      <w:proofErr w:type="spellEnd"/>
      <w:r w:rsidRPr="009D7E70">
        <w:t xml:space="preserve"> charge on the Ti(IV) cation has unphysical negative</w:t>
      </w:r>
      <w:r w:rsidRPr="009D7E70">
        <w:rPr>
          <w:i/>
          <w:iCs/>
        </w:rPr>
        <w:t xml:space="preserve"> </w:t>
      </w:r>
      <w:r w:rsidRPr="009D7E70">
        <w:t>value in many cases, while those on the ligands have absurd positive values in a prevailing number of cases (for some instructive instances, see</w:t>
      </w:r>
      <w:r w:rsidR="0035086C" w:rsidRPr="009D7E70">
        <w:t xml:space="preserve"> </w:t>
      </w:r>
      <w:r w:rsidRPr="009D7E70">
        <w:t>Table S1</w:t>
      </w:r>
      <w:r w:rsidR="0035086C" w:rsidRPr="009D7E70">
        <w:t xml:space="preserve"> in the ESI</w:t>
      </w:r>
      <w:r w:rsidRPr="009D7E70">
        <w:t xml:space="preserve">). The Mulliken population analysis provides unreal </w:t>
      </w:r>
      <w:bookmarkStart w:id="7" w:name="_Hlk180862643"/>
      <w:r w:rsidRPr="009D7E70">
        <w:t xml:space="preserve">physical picture of the charge distribution </w:t>
      </w:r>
      <w:bookmarkEnd w:id="7"/>
      <w:r w:rsidRPr="009D7E70">
        <w:t>in the target organometallic complex, probably, due to its significant ionic character.</w:t>
      </w:r>
    </w:p>
    <w:p w:rsidR="00221CDF" w:rsidRPr="009D7E70" w:rsidRDefault="00221CDF" w:rsidP="00221CDF">
      <w:pPr>
        <w:pStyle w:val="MainText"/>
        <w:ind w:firstLine="284"/>
      </w:pPr>
      <w:r w:rsidRPr="009D7E70">
        <w:t>(</w:t>
      </w:r>
      <w:r w:rsidRPr="009D7E70">
        <w:rPr>
          <w:i/>
          <w:iCs/>
        </w:rPr>
        <w:t>ii</w:t>
      </w:r>
      <w:r w:rsidRPr="009D7E70">
        <w:t xml:space="preserve">) </w:t>
      </w:r>
      <w:r w:rsidR="00DB2229" w:rsidRPr="009D7E70">
        <w:t xml:space="preserve">the </w:t>
      </w:r>
      <w:r w:rsidRPr="009D7E70">
        <w:t>Mulliken charges are highly sensitive to the basis set that becomes evident when the basis set is systematically extended.</w:t>
      </w:r>
    </w:p>
    <w:p w:rsidR="00221CDF" w:rsidRPr="009D7E70" w:rsidRDefault="00221CDF" w:rsidP="00221CDF">
      <w:pPr>
        <w:pStyle w:val="MainText"/>
        <w:ind w:firstLine="284"/>
      </w:pPr>
      <w:r w:rsidRPr="009D7E70">
        <w:rPr>
          <w:i/>
          <w:iCs/>
        </w:rPr>
        <w:t>The natural population analysis</w:t>
      </w:r>
      <w:r w:rsidRPr="009D7E70">
        <w:t xml:space="preserve"> (more generally: </w:t>
      </w:r>
      <w:r w:rsidRPr="009D7E70">
        <w:rPr>
          <w:i/>
          <w:iCs/>
        </w:rPr>
        <w:t>NBO</w:t>
      </w:r>
      <w:r w:rsidRPr="009D7E70">
        <w:t xml:space="preserve"> [13]) </w:t>
      </w:r>
      <w:r w:rsidRPr="009D7E70">
        <w:rPr>
          <w:i/>
          <w:iCs/>
        </w:rPr>
        <w:t>is an alternative to the Mulliken analysis</w:t>
      </w:r>
      <w:r w:rsidRPr="009D7E70">
        <w:t xml:space="preserve">. In our study, NBO showed improved numerical stability and better described the electronic distribution in the compound of relatively high ionic character. Thus, in frames of the NBO approach, the overwhelming majority of </w:t>
      </w:r>
      <w:r w:rsidRPr="009D7E70">
        <w:rPr>
          <w:i/>
          <w:iCs/>
        </w:rPr>
        <w:t>ca.</w:t>
      </w:r>
      <w:r w:rsidRPr="009D7E70">
        <w:t xml:space="preserve"> 100 methods (HF, DFT) suggested </w:t>
      </w:r>
      <w:r w:rsidR="00DB2229" w:rsidRPr="009D7E70">
        <w:t xml:space="preserve">a </w:t>
      </w:r>
      <w:r w:rsidRPr="009D7E70">
        <w:t xml:space="preserve">physical picture of the charge distribution: charge on Ti +1.1...+1.8, charges on the ligands from </w:t>
      </w:r>
      <w:r w:rsidR="00DB2229" w:rsidRPr="009D7E70">
        <w:t>–</w:t>
      </w:r>
      <w:r w:rsidRPr="009D7E70">
        <w:t xml:space="preserve">0.05 to </w:t>
      </w:r>
      <w:r w:rsidR="00DB2229" w:rsidRPr="009D7E70">
        <w:t>–</w:t>
      </w:r>
      <w:r w:rsidRPr="009D7E70">
        <w:t xml:space="preserve">0.35 (Cp) and from </w:t>
      </w:r>
      <w:r w:rsidR="00DB2229" w:rsidRPr="009D7E70">
        <w:t>–</w:t>
      </w:r>
      <w:r w:rsidRPr="009D7E70">
        <w:t xml:space="preserve">0.50 to </w:t>
      </w:r>
      <w:r w:rsidR="00DB2229" w:rsidRPr="009D7E70">
        <w:t>–</w:t>
      </w:r>
      <w:r w:rsidRPr="009D7E70">
        <w:t>0.80 (</w:t>
      </w:r>
      <w:proofErr w:type="spellStart"/>
      <w:r w:rsidRPr="009D7E70">
        <w:t>carboranyls</w:t>
      </w:r>
      <w:proofErr w:type="spellEnd"/>
      <w:r w:rsidRPr="009D7E70">
        <w:t>) (for instructive instances, see</w:t>
      </w:r>
      <w:r w:rsidR="00DB2229" w:rsidRPr="009D7E70">
        <w:t xml:space="preserve"> </w:t>
      </w:r>
      <w:r w:rsidRPr="009D7E70">
        <w:t>Table 2).</w:t>
      </w:r>
    </w:p>
    <w:p w:rsidR="00DB2229" w:rsidRPr="009D7E70" w:rsidRDefault="00DB2229" w:rsidP="00221CDF">
      <w:pPr>
        <w:pStyle w:val="MainText"/>
        <w:ind w:firstLine="284"/>
        <w:rPr>
          <w:bCs/>
        </w:rPr>
      </w:pPr>
      <w:r w:rsidRPr="009D7E70">
        <w:rPr>
          <w:bCs/>
        </w:rPr>
        <w:t>In contrast to the Mulliken approach, in which the values of the charges of the target organometallics change unpredictably up to unphysical ones, in the NBO case, when replacing the QZVP and 6-311G basis sets with 6-31G, cc-</w:t>
      </w:r>
      <w:proofErr w:type="spellStart"/>
      <w:r w:rsidRPr="009D7E70">
        <w:rPr>
          <w:bCs/>
        </w:rPr>
        <w:t>pVTZ</w:t>
      </w:r>
      <w:proofErr w:type="spellEnd"/>
      <w:r w:rsidRPr="009D7E70">
        <w:rPr>
          <w:bCs/>
        </w:rPr>
        <w:t>, cc-</w:t>
      </w:r>
      <w:proofErr w:type="spellStart"/>
      <w:r w:rsidRPr="009D7E70">
        <w:rPr>
          <w:bCs/>
        </w:rPr>
        <w:t>pVDZ</w:t>
      </w:r>
      <w:proofErr w:type="spellEnd"/>
      <w:r w:rsidRPr="009D7E70">
        <w:rPr>
          <w:bCs/>
        </w:rPr>
        <w:t xml:space="preserve"> and SDD in different methods (HF, DFT), and also when adding diffuse and polarization wave functions to the 6-31G and 6-311G basis sets, numerical stability is preserved.</w:t>
      </w:r>
    </w:p>
    <w:p w:rsidR="00382850" w:rsidRPr="009D7E70" w:rsidRDefault="00382850" w:rsidP="00382850">
      <w:pPr>
        <w:spacing w:before="240" w:after="240"/>
        <w:rPr>
          <w:rFonts w:ascii="Arial" w:hAnsi="Arial" w:cs="Arial"/>
          <w:b/>
          <w:lang w:val="en-US"/>
        </w:rPr>
      </w:pPr>
      <w:r w:rsidRPr="009D7E70">
        <w:rPr>
          <w:rFonts w:ascii="Arial" w:hAnsi="Arial" w:cs="Arial"/>
          <w:b/>
          <w:lang w:val="en-US"/>
        </w:rPr>
        <w:t>Conclusions</w:t>
      </w:r>
    </w:p>
    <w:p w:rsidR="00DB2229" w:rsidRPr="009D7E70" w:rsidRDefault="00B55AC3" w:rsidP="009D7E70">
      <w:pPr>
        <w:pStyle w:val="MainText"/>
        <w:widowControl w:val="0"/>
        <w:ind w:firstLine="284"/>
      </w:pPr>
      <w:r w:rsidRPr="009D7E70">
        <w:t xml:space="preserve">The </w:t>
      </w:r>
      <w:r w:rsidR="00382850" w:rsidRPr="009D7E70">
        <w:t>Mulliken population analysis fail</w:t>
      </w:r>
      <w:r w:rsidRPr="009D7E70">
        <w:t>ed</w:t>
      </w:r>
      <w:r w:rsidR="00382850" w:rsidRPr="009D7E70">
        <w:t xml:space="preserve"> to provide reliable characterization of the charge distribution in the instructive case </w:t>
      </w:r>
    </w:p>
    <w:p w:rsidR="00221CDF" w:rsidRPr="009D7E70" w:rsidRDefault="00221CDF" w:rsidP="00382850">
      <w:pPr>
        <w:pStyle w:val="Header1"/>
        <w:spacing w:before="0" w:after="120"/>
        <w:jc w:val="both"/>
        <w:rPr>
          <w:rFonts w:ascii="Times New Roman" w:hAnsi="Times New Roman" w:cs="Times New Roman"/>
          <w:b w:val="0"/>
          <w:sz w:val="16"/>
          <w:szCs w:val="16"/>
        </w:rPr>
      </w:pPr>
      <w:proofErr w:type="gramStart"/>
      <w:r w:rsidRPr="009D7E70">
        <w:rPr>
          <w:rFonts w:ascii="Times New Roman" w:hAnsi="Times New Roman" w:cs="Times New Roman"/>
          <w:bCs/>
          <w:sz w:val="16"/>
          <w:szCs w:val="16"/>
        </w:rPr>
        <w:lastRenderedPageBreak/>
        <w:t>Table 2.</w:t>
      </w:r>
      <w:proofErr w:type="gramEnd"/>
      <w:r w:rsidRPr="009D7E70">
        <w:rPr>
          <w:rFonts w:ascii="Times New Roman" w:hAnsi="Times New Roman" w:cs="Times New Roman"/>
          <w:b w:val="0"/>
          <w:sz w:val="16"/>
          <w:szCs w:val="16"/>
        </w:rPr>
        <w:t xml:space="preserve"> NBO charge characteristics of </w:t>
      </w:r>
      <w:proofErr w:type="spellStart"/>
      <w:r w:rsidRPr="009D7E70">
        <w:rPr>
          <w:rFonts w:ascii="Times New Roman" w:hAnsi="Times New Roman" w:cs="Times New Roman"/>
          <w:b w:val="0"/>
          <w:sz w:val="16"/>
          <w:szCs w:val="16"/>
        </w:rPr>
        <w:t>titanocene</w:t>
      </w:r>
      <w:proofErr w:type="spellEnd"/>
      <w:r w:rsidRPr="009D7E70">
        <w:rPr>
          <w:rFonts w:ascii="Times New Roman" w:hAnsi="Times New Roman" w:cs="Times New Roman"/>
          <w:b w:val="0"/>
          <w:sz w:val="16"/>
          <w:szCs w:val="16"/>
        </w:rPr>
        <w:t xml:space="preserve"> </w:t>
      </w:r>
      <w:proofErr w:type="spellStart"/>
      <w:r w:rsidRPr="009D7E70">
        <w:rPr>
          <w:rFonts w:ascii="Times New Roman" w:hAnsi="Times New Roman" w:cs="Times New Roman"/>
          <w:b w:val="0"/>
          <w:sz w:val="16"/>
          <w:szCs w:val="16"/>
        </w:rPr>
        <w:t>dicarboranyl</w:t>
      </w:r>
      <w:proofErr w:type="spellEnd"/>
      <w:r w:rsidRPr="009D7E70">
        <w:rPr>
          <w:rFonts w:ascii="Times New Roman" w:hAnsi="Times New Roman" w:cs="Times New Roman"/>
          <w:b w:val="0"/>
          <w:sz w:val="16"/>
          <w:szCs w:val="16"/>
        </w:rPr>
        <w:t xml:space="preserve"> </w:t>
      </w:r>
      <w:r w:rsidRPr="009D7E70">
        <w:rPr>
          <w:rFonts w:ascii="Times New Roman" w:hAnsi="Times New Roman" w:cs="Times New Roman"/>
          <w:b w:val="0"/>
          <w:bCs/>
          <w:iCs/>
          <w:sz w:val="16"/>
          <w:szCs w:val="16"/>
        </w:rPr>
        <w:t>(selected methods)</w:t>
      </w:r>
    </w:p>
    <w:tbl>
      <w:tblPr>
        <w:tblW w:w="4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4"/>
        <w:gridCol w:w="709"/>
        <w:gridCol w:w="708"/>
        <w:gridCol w:w="851"/>
        <w:gridCol w:w="992"/>
      </w:tblGrid>
      <w:tr w:rsidR="00221CDF" w:rsidRPr="009D7E70" w:rsidTr="00DB2229">
        <w:trPr>
          <w:trHeight w:val="295"/>
        </w:trPr>
        <w:tc>
          <w:tcPr>
            <w:tcW w:w="1384" w:type="dxa"/>
            <w:tcBorders>
              <w:lef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Method</w:t>
            </w:r>
          </w:p>
        </w:tc>
        <w:tc>
          <w:tcPr>
            <w:tcW w:w="709" w:type="dxa"/>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Ti)</w:t>
            </w:r>
          </w:p>
        </w:tc>
        <w:tc>
          <w:tcPr>
            <w:tcW w:w="708" w:type="dxa"/>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lang w:val="en-US"/>
              </w:rPr>
              <w:t>(Cp)</w:t>
            </w:r>
          </w:p>
        </w:tc>
        <w:tc>
          <w:tcPr>
            <w:tcW w:w="851" w:type="dxa"/>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lang w:val="en-US"/>
              </w:rPr>
              <w:t>(Carb)</w:t>
            </w:r>
          </w:p>
        </w:tc>
        <w:tc>
          <w:tcPr>
            <w:tcW w:w="992" w:type="dxa"/>
            <w:tcBorders>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lang w:val="en-US"/>
              </w:rPr>
              <w:t>(&gt;CMe</w:t>
            </w:r>
            <w:r w:rsidRPr="009D7E70">
              <w:rPr>
                <w:rFonts w:ascii="Times New Roman" w:eastAsia="Times New Roman" w:hAnsi="Times New Roman" w:cs="Times New Roman"/>
                <w:sz w:val="16"/>
                <w:szCs w:val="16"/>
                <w:vertAlign w:val="subscript"/>
                <w:lang w:val="en-US"/>
              </w:rPr>
              <w:t>2</w:t>
            </w:r>
            <w:r w:rsidRPr="009D7E70">
              <w:rPr>
                <w:rFonts w:ascii="Times New Roman" w:eastAsia="Times New Roman" w:hAnsi="Times New Roman" w:cs="Times New Roman"/>
                <w:sz w:val="16"/>
                <w:szCs w:val="16"/>
                <w:lang w:val="en-US"/>
              </w:rPr>
              <w:t>)</w:t>
            </w:r>
          </w:p>
        </w:tc>
      </w:tr>
      <w:tr w:rsidR="00221CDF" w:rsidRPr="009D7E70" w:rsidTr="00DB2229">
        <w:trPr>
          <w:trHeight w:val="227"/>
        </w:trPr>
        <w:tc>
          <w:tcPr>
            <w:tcW w:w="1384" w:type="dxa"/>
            <w:tcBorders>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HF/QZVP</w:t>
            </w:r>
          </w:p>
        </w:tc>
        <w:tc>
          <w:tcPr>
            <w:tcW w:w="709" w:type="dxa"/>
            <w:tcBorders>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b/>
                <w:sz w:val="16"/>
                <w:szCs w:val="16"/>
              </w:rPr>
            </w:pPr>
            <w:r w:rsidRPr="009D7E70">
              <w:rPr>
                <w:rFonts w:ascii="Times New Roman" w:eastAsia="Times New Roman" w:hAnsi="Times New Roman" w:cs="Times New Roman"/>
                <w:sz w:val="16"/>
                <w:szCs w:val="16"/>
                <w:lang w:val="en-US"/>
              </w:rPr>
              <w:t>+1.49</w:t>
            </w:r>
          </w:p>
        </w:tc>
        <w:tc>
          <w:tcPr>
            <w:tcW w:w="708" w:type="dxa"/>
            <w:tcBorders>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0.12</w:t>
            </w:r>
          </w:p>
        </w:tc>
        <w:tc>
          <w:tcPr>
            <w:tcW w:w="851" w:type="dxa"/>
            <w:tcBorders>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0.71</w:t>
            </w:r>
          </w:p>
        </w:tc>
        <w:tc>
          <w:tcPr>
            <w:tcW w:w="992" w:type="dxa"/>
            <w:tcBorders>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lang w:val="en-US"/>
              </w:rPr>
              <w:t>+0.10</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B3LYP/QZVP</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1.</w:t>
            </w:r>
            <w:r w:rsidRPr="009D7E70">
              <w:rPr>
                <w:rFonts w:ascii="Times New Roman" w:eastAsia="Times New Roman" w:hAnsi="Times New Roman" w:cs="Times New Roman"/>
                <w:sz w:val="16"/>
                <w:szCs w:val="16"/>
                <w:lang w:val="en-US"/>
              </w:rPr>
              <w:t>13</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03</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61</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+0.07</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lang w:val="en-US"/>
              </w:rPr>
              <w:t>HF/6-311G</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+1.88</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0.26</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0.80</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+0.12</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HF/6-311+G</w:t>
            </w: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i/>
                <w:sz w:val="16"/>
                <w:szCs w:val="16"/>
              </w:rPr>
              <w:t>3</w:t>
            </w:r>
            <w:r w:rsidRPr="009D7E70">
              <w:rPr>
                <w:rFonts w:ascii="Times New Roman" w:eastAsia="Times New Roman" w:hAnsi="Times New Roman" w:cs="Times New Roman"/>
                <w:i/>
                <w:sz w:val="16"/>
                <w:szCs w:val="16"/>
                <w:lang w:val="en-US"/>
              </w:rPr>
              <w:t>df</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i/>
                <w:sz w:val="16"/>
                <w:szCs w:val="16"/>
                <w:lang w:val="en-US"/>
              </w:rPr>
              <w:t>3pd</w:t>
            </w:r>
            <w:r w:rsidRPr="009D7E70">
              <w:rPr>
                <w:rFonts w:ascii="Times New Roman" w:eastAsia="Times New Roman" w:hAnsi="Times New Roman" w:cs="Times New Roman"/>
                <w:sz w:val="16"/>
                <w:szCs w:val="16"/>
              </w:rPr>
              <w:t>)</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1</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5</w:t>
            </w:r>
            <w:r w:rsidRPr="009D7E70">
              <w:rPr>
                <w:rFonts w:ascii="Times New Roman" w:eastAsia="Times New Roman" w:hAnsi="Times New Roman" w:cs="Times New Roman"/>
                <w:sz w:val="16"/>
                <w:szCs w:val="16"/>
                <w:lang w:val="en-US"/>
              </w:rPr>
              <w:t>1</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0.11</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0.74</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B3LYP/6-311G</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+1.52</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0.16</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0.70</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CAM-B3LYP/6-311G</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+1.51</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0.15</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0.71</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HF/6-31G</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+1.73</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0.23</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0.76</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+0.13</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B3LYP/6-31G</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+1.42</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0.15</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0.68</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+0.12</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HF/cc-</w:t>
            </w:r>
            <w:proofErr w:type="spellStart"/>
            <w:r w:rsidRPr="009D7E70">
              <w:rPr>
                <w:rFonts w:ascii="Times New Roman" w:eastAsia="Times New Roman" w:hAnsi="Times New Roman" w:cs="Times New Roman"/>
                <w:sz w:val="16"/>
                <w:szCs w:val="16"/>
                <w:lang w:val="en-US"/>
              </w:rPr>
              <w:t>pVTZ</w:t>
            </w:r>
            <w:proofErr w:type="spellEnd"/>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w:t>
            </w:r>
            <w:r w:rsidRPr="009D7E70">
              <w:rPr>
                <w:rFonts w:ascii="Times New Roman" w:eastAsia="Times New Roman" w:hAnsi="Times New Roman" w:cs="Times New Roman"/>
                <w:sz w:val="16"/>
                <w:szCs w:val="16"/>
              </w:rPr>
              <w:t>8</w:t>
            </w:r>
            <w:r w:rsidRPr="009D7E70">
              <w:rPr>
                <w:rFonts w:ascii="Times New Roman" w:eastAsia="Times New Roman" w:hAnsi="Times New Roman" w:cs="Times New Roman"/>
                <w:sz w:val="16"/>
                <w:szCs w:val="16"/>
                <w:lang w:val="en-US"/>
              </w:rPr>
              <w:t>6</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27</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77</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11</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B3LYP/cc-</w:t>
            </w:r>
            <w:proofErr w:type="spellStart"/>
            <w:r w:rsidRPr="009D7E70">
              <w:rPr>
                <w:rFonts w:ascii="Times New Roman" w:eastAsia="Times New Roman" w:hAnsi="Times New Roman" w:cs="Times New Roman"/>
                <w:sz w:val="16"/>
                <w:szCs w:val="16"/>
                <w:lang w:val="en-US"/>
              </w:rPr>
              <w:t>pVTZ</w:t>
            </w:r>
            <w:proofErr w:type="spellEnd"/>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+1.54</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w:t>
            </w:r>
            <w:r w:rsidRPr="009D7E70">
              <w:rPr>
                <w:rFonts w:ascii="Times New Roman" w:eastAsia="Times New Roman" w:hAnsi="Times New Roman" w:cs="Times New Roman"/>
                <w:sz w:val="16"/>
                <w:szCs w:val="16"/>
              </w:rPr>
              <w:t>8</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0.6</w:t>
            </w:r>
            <w:r w:rsidRPr="009D7E70">
              <w:rPr>
                <w:rFonts w:ascii="Times New Roman" w:eastAsia="Times New Roman" w:hAnsi="Times New Roman" w:cs="Times New Roman"/>
                <w:sz w:val="16"/>
                <w:szCs w:val="16"/>
              </w:rPr>
              <w:t>8</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HF/def2TZVP</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+1.62</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0.18</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0.73</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DB2229">
        <w:trPr>
          <w:trHeight w:val="227"/>
        </w:trPr>
        <w:tc>
          <w:tcPr>
            <w:tcW w:w="1384" w:type="dxa"/>
            <w:tcBorders>
              <w:top w:val="nil"/>
              <w:left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HF/3-21G(</w:t>
            </w:r>
            <w:r w:rsidRPr="009D7E70">
              <w:rPr>
                <w:rFonts w:ascii="Times New Roman" w:eastAsia="Times New Roman" w:hAnsi="Times New Roman" w:cs="Times New Roman"/>
                <w:i/>
                <w:sz w:val="16"/>
                <w:szCs w:val="16"/>
                <w:lang w:val="en-US"/>
              </w:rPr>
              <w:t>d</w:t>
            </w:r>
            <w:r w:rsidRPr="009D7E70">
              <w:rPr>
                <w:rFonts w:ascii="Times New Roman" w:eastAsia="Times New Roman" w:hAnsi="Times New Roman" w:cs="Times New Roman"/>
                <w:sz w:val="16"/>
                <w:szCs w:val="16"/>
                <w:lang w:val="en-US"/>
              </w:rPr>
              <w:t>)</w:t>
            </w:r>
          </w:p>
        </w:tc>
        <w:tc>
          <w:tcPr>
            <w:tcW w:w="709"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+1.93</w:t>
            </w:r>
          </w:p>
        </w:tc>
        <w:tc>
          <w:tcPr>
            <w:tcW w:w="708"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0.31</w:t>
            </w:r>
          </w:p>
        </w:tc>
        <w:tc>
          <w:tcPr>
            <w:tcW w:w="851" w:type="dxa"/>
            <w:tcBorders>
              <w:top w:val="nil"/>
              <w:bottom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0.79</w:t>
            </w:r>
          </w:p>
        </w:tc>
        <w:tc>
          <w:tcPr>
            <w:tcW w:w="992" w:type="dxa"/>
            <w:tcBorders>
              <w:top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+0.14</w:t>
            </w:r>
          </w:p>
        </w:tc>
      </w:tr>
      <w:tr w:rsidR="00221CDF" w:rsidRPr="009D7E70" w:rsidTr="00DB2229">
        <w:trPr>
          <w:trHeight w:val="227"/>
        </w:trPr>
        <w:tc>
          <w:tcPr>
            <w:tcW w:w="1384" w:type="dxa"/>
            <w:tcBorders>
              <w:top w:val="nil"/>
              <w:left w:val="nil"/>
              <w:bottom w:val="single" w:sz="4" w:space="0" w:color="auto"/>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B3LYP/</w:t>
            </w:r>
            <w:r w:rsidRPr="009D7E70">
              <w:rPr>
                <w:rFonts w:ascii="Times New Roman" w:eastAsia="Times New Roman" w:hAnsi="Times New Roman" w:cs="Times New Roman"/>
                <w:sz w:val="16"/>
                <w:szCs w:val="16"/>
                <w:lang w:val="en-US"/>
              </w:rPr>
              <w:t>3-21G</w:t>
            </w:r>
          </w:p>
        </w:tc>
        <w:tc>
          <w:tcPr>
            <w:tcW w:w="709" w:type="dxa"/>
            <w:tcBorders>
              <w:top w:val="nil"/>
              <w:bottom w:val="single" w:sz="4" w:space="0" w:color="auto"/>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+1.66</w:t>
            </w:r>
          </w:p>
        </w:tc>
        <w:tc>
          <w:tcPr>
            <w:tcW w:w="708" w:type="dxa"/>
            <w:tcBorders>
              <w:top w:val="nil"/>
              <w:bottom w:val="single" w:sz="4" w:space="0" w:color="auto"/>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0.23</w:t>
            </w:r>
          </w:p>
        </w:tc>
        <w:tc>
          <w:tcPr>
            <w:tcW w:w="851" w:type="dxa"/>
            <w:tcBorders>
              <w:top w:val="nil"/>
              <w:bottom w:val="single" w:sz="4" w:space="0" w:color="auto"/>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0.72</w:t>
            </w:r>
          </w:p>
        </w:tc>
        <w:tc>
          <w:tcPr>
            <w:tcW w:w="992" w:type="dxa"/>
            <w:tcBorders>
              <w:top w:val="nil"/>
              <w:bottom w:val="single" w:sz="4" w:space="0" w:color="auto"/>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+0.12</w:t>
            </w:r>
          </w:p>
        </w:tc>
      </w:tr>
    </w:tbl>
    <w:p w:rsidR="00221CDF" w:rsidRPr="009D7E70" w:rsidRDefault="009D7E70" w:rsidP="00382850">
      <w:pPr>
        <w:spacing w:before="200" w:after="0"/>
        <w:jc w:val="both"/>
        <w:rPr>
          <w:rFonts w:ascii="Times New Roman" w:hAnsi="Times New Roman" w:cs="Times New Roman"/>
          <w:bCs/>
          <w:sz w:val="18"/>
          <w:szCs w:val="18"/>
          <w:lang w:val="en-US"/>
        </w:rPr>
      </w:pPr>
      <w:proofErr w:type="gramStart"/>
      <w:r w:rsidRPr="009D7E70">
        <w:rPr>
          <w:rFonts w:ascii="Times New Roman" w:hAnsi="Times New Roman" w:cs="Times New Roman"/>
          <w:sz w:val="18"/>
          <w:szCs w:val="18"/>
          <w:lang w:val="en-US"/>
        </w:rPr>
        <w:t>of</w:t>
      </w:r>
      <w:proofErr w:type="gramEnd"/>
      <w:r w:rsidRPr="009D7E70">
        <w:rPr>
          <w:rFonts w:ascii="Times New Roman" w:hAnsi="Times New Roman" w:cs="Times New Roman"/>
          <w:sz w:val="18"/>
          <w:szCs w:val="18"/>
          <w:lang w:val="en-US"/>
        </w:rPr>
        <w:t xml:space="preserve"> a polar organometallic compound—</w:t>
      </w:r>
      <w:proofErr w:type="spellStart"/>
      <w:r w:rsidRPr="009D7E70">
        <w:rPr>
          <w:rFonts w:ascii="Times New Roman" w:hAnsi="Times New Roman" w:cs="Times New Roman"/>
          <w:sz w:val="18"/>
          <w:szCs w:val="18"/>
          <w:lang w:val="en-US"/>
        </w:rPr>
        <w:t>titanocene</w:t>
      </w:r>
      <w:proofErr w:type="spellEnd"/>
      <w:r w:rsidRPr="009D7E70">
        <w:rPr>
          <w:rFonts w:ascii="Times New Roman" w:hAnsi="Times New Roman" w:cs="Times New Roman"/>
          <w:sz w:val="18"/>
          <w:szCs w:val="18"/>
          <w:lang w:val="en-US"/>
        </w:rPr>
        <w:t xml:space="preserve"> </w:t>
      </w:r>
      <w:proofErr w:type="spellStart"/>
      <w:r w:rsidRPr="009D7E70">
        <w:rPr>
          <w:rFonts w:ascii="Times New Roman" w:hAnsi="Times New Roman" w:cs="Times New Roman"/>
          <w:sz w:val="18"/>
          <w:szCs w:val="18"/>
          <w:lang w:val="en-US"/>
        </w:rPr>
        <w:t>dicarboranyl</w:t>
      </w:r>
      <w:proofErr w:type="spellEnd"/>
      <w:r w:rsidRPr="009D7E70">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00B55AC3" w:rsidRPr="009D7E70">
        <w:rPr>
          <w:rFonts w:ascii="Times New Roman" w:hAnsi="Times New Roman" w:cs="Times New Roman"/>
          <w:sz w:val="18"/>
          <w:szCs w:val="18"/>
          <w:lang w:val="en-US"/>
        </w:rPr>
        <w:t xml:space="preserve">Based on the </w:t>
      </w:r>
      <w:r w:rsidR="00221CDF" w:rsidRPr="009D7E70">
        <w:rPr>
          <w:rFonts w:ascii="Times New Roman" w:hAnsi="Times New Roman" w:cs="Times New Roman"/>
          <w:sz w:val="18"/>
          <w:szCs w:val="18"/>
          <w:lang w:val="en-US"/>
        </w:rPr>
        <w:t>results of on-going systematic study, we suggest that NBO is</w:t>
      </w:r>
      <w:r w:rsidR="00B55AC3" w:rsidRPr="009D7E70">
        <w:rPr>
          <w:rFonts w:ascii="Times New Roman" w:hAnsi="Times New Roman" w:cs="Times New Roman"/>
          <w:sz w:val="18"/>
          <w:szCs w:val="18"/>
          <w:lang w:val="en-US"/>
        </w:rPr>
        <w:t xml:space="preserve"> </w:t>
      </w:r>
      <w:r w:rsidR="00221CDF" w:rsidRPr="009D7E70">
        <w:rPr>
          <w:rFonts w:ascii="Times New Roman" w:hAnsi="Times New Roman" w:cs="Times New Roman"/>
          <w:sz w:val="18"/>
          <w:szCs w:val="18"/>
          <w:lang w:val="en-US"/>
        </w:rPr>
        <w:t xml:space="preserve">a more advanced approach that solves most of the problems of the traditional Mulliken analysis, in particular, it demonstrates appropriate numerical stability with respect to changes in the basis set. Until now, the analysis of </w:t>
      </w:r>
      <w:r w:rsidR="00B55AC3" w:rsidRPr="009D7E70">
        <w:rPr>
          <w:rFonts w:ascii="Times New Roman" w:hAnsi="Times New Roman" w:cs="Times New Roman"/>
          <w:sz w:val="18"/>
          <w:szCs w:val="18"/>
          <w:lang w:val="en-US"/>
        </w:rPr>
        <w:t xml:space="preserve">the </w:t>
      </w:r>
      <w:r w:rsidR="00221CDF" w:rsidRPr="009D7E70">
        <w:rPr>
          <w:rFonts w:ascii="Times New Roman" w:hAnsi="Times New Roman" w:cs="Times New Roman"/>
          <w:sz w:val="18"/>
          <w:szCs w:val="18"/>
          <w:lang w:val="en-US"/>
        </w:rPr>
        <w:t xml:space="preserve">Mulliken approach has been carried out only for fairly simple systems that do not contain organometallic fragments with significant charge transfer, and has covered a fairly limited number of methods </w:t>
      </w:r>
      <w:r w:rsidR="00B55AC3" w:rsidRPr="009D7E70">
        <w:rPr>
          <w:rFonts w:ascii="Times New Roman" w:hAnsi="Times New Roman" w:cs="Times New Roman"/>
          <w:sz w:val="18"/>
          <w:szCs w:val="18"/>
          <w:lang w:val="en-US"/>
        </w:rPr>
        <w:t>[14]</w:t>
      </w:r>
      <w:r w:rsidR="00221CDF" w:rsidRPr="009D7E70">
        <w:rPr>
          <w:rFonts w:ascii="Times New Roman" w:hAnsi="Times New Roman" w:cs="Times New Roman"/>
          <w:sz w:val="18"/>
          <w:szCs w:val="18"/>
          <w:lang w:val="en-US"/>
        </w:rPr>
        <w:t>. To the best of our knowledge, such a systematic benchmark study of charges in organometallic</w:t>
      </w:r>
      <w:r w:rsidR="00B55AC3" w:rsidRPr="009D7E70">
        <w:rPr>
          <w:rFonts w:ascii="Times New Roman" w:hAnsi="Times New Roman" w:cs="Times New Roman"/>
          <w:sz w:val="18"/>
          <w:szCs w:val="18"/>
          <w:lang w:val="en-US"/>
        </w:rPr>
        <w:t xml:space="preserve"> compounds</w:t>
      </w:r>
      <w:r w:rsidR="00221CDF" w:rsidRPr="009D7E70">
        <w:rPr>
          <w:rFonts w:ascii="Times New Roman" w:hAnsi="Times New Roman" w:cs="Times New Roman"/>
          <w:sz w:val="18"/>
          <w:szCs w:val="18"/>
          <w:lang w:val="en-US"/>
        </w:rPr>
        <w:t xml:space="preserve"> by means of various popular </w:t>
      </w:r>
      <w:r w:rsidR="00221CDF" w:rsidRPr="009D7E70">
        <w:rPr>
          <w:rFonts w:ascii="Times New Roman" w:hAnsi="Times New Roman" w:cs="Times New Roman"/>
          <w:i/>
          <w:iCs/>
          <w:sz w:val="18"/>
          <w:szCs w:val="18"/>
          <w:lang w:val="en-US"/>
        </w:rPr>
        <w:t>ab initio</w:t>
      </w:r>
      <w:r w:rsidR="00221CDF" w:rsidRPr="009D7E70">
        <w:rPr>
          <w:rFonts w:ascii="Times New Roman" w:hAnsi="Times New Roman" w:cs="Times New Roman"/>
          <w:sz w:val="18"/>
          <w:szCs w:val="18"/>
          <w:lang w:val="en-US"/>
        </w:rPr>
        <w:t xml:space="preserve"> HF and DFT methods at different levels of theory, also applying different important approaches, is conducted for the first time.</w:t>
      </w:r>
    </w:p>
    <w:p w:rsidR="00F94740" w:rsidRPr="009D7E70" w:rsidRDefault="00F94740" w:rsidP="00F94740">
      <w:pPr>
        <w:pStyle w:val="Header1"/>
        <w:spacing w:before="240" w:after="240"/>
      </w:pPr>
      <w:r w:rsidRPr="009D7E70">
        <w:t>Acknowledgements</w:t>
      </w:r>
    </w:p>
    <w:p w:rsidR="00F94740" w:rsidRPr="009D7E70" w:rsidRDefault="00221CDF" w:rsidP="00F94740">
      <w:pPr>
        <w:pStyle w:val="MainText"/>
        <w:ind w:firstLine="284"/>
      </w:pPr>
      <w:r w:rsidRPr="009D7E70">
        <w:t>Th</w:t>
      </w:r>
      <w:r w:rsidR="00B55AC3" w:rsidRPr="009D7E70">
        <w:t>is</w:t>
      </w:r>
      <w:r w:rsidRPr="009D7E70">
        <w:t xml:space="preserve"> work was supported </w:t>
      </w:r>
      <w:r w:rsidR="00B55AC3" w:rsidRPr="009D7E70">
        <w:t>by the</w:t>
      </w:r>
      <w:r w:rsidRPr="009D7E70">
        <w:t xml:space="preserve"> state contracts 124013000686-3 and 122020100282-6.</w:t>
      </w:r>
    </w:p>
    <w:p w:rsidR="00F86864" w:rsidRPr="009D7E70" w:rsidRDefault="00F86864" w:rsidP="00161894">
      <w:pPr>
        <w:pStyle w:val="Header1"/>
        <w:spacing w:before="240" w:after="240"/>
      </w:pPr>
      <w:r w:rsidRPr="009D7E70">
        <w:t xml:space="preserve">Corresponding </w:t>
      </w:r>
      <w:r w:rsidR="005C7369" w:rsidRPr="009D7E70">
        <w:t>a</w:t>
      </w:r>
      <w:r w:rsidRPr="009D7E70">
        <w:t>uthor</w:t>
      </w:r>
    </w:p>
    <w:p w:rsidR="00F86864" w:rsidRPr="009D7E70" w:rsidRDefault="00F86864" w:rsidP="00071D12">
      <w:pPr>
        <w:pStyle w:val="MainText"/>
        <w:ind w:firstLine="284"/>
      </w:pPr>
      <w:r w:rsidRPr="009D7E70">
        <w:rPr>
          <w:rFonts w:ascii="AdvOT8608a8d1" w:hAnsi="AdvOT8608a8d1" w:cs="AdvOT8608a8d1"/>
        </w:rPr>
        <w:t xml:space="preserve">* </w:t>
      </w:r>
      <w:r w:rsidR="00221CDF" w:rsidRPr="009D7E70">
        <w:t>E-mail: gloukova@mail.ru. Tel: +7(496)522-7244</w:t>
      </w:r>
      <w:r w:rsidR="00221CDF" w:rsidRPr="009D7E70">
        <w:br/>
        <w:t xml:space="preserve">(G. V. </w:t>
      </w:r>
      <w:proofErr w:type="spellStart"/>
      <w:r w:rsidR="00221CDF" w:rsidRPr="009D7E70">
        <w:t>Loukova</w:t>
      </w:r>
      <w:proofErr w:type="spellEnd"/>
      <w:r w:rsidR="00221CDF" w:rsidRPr="009D7E70">
        <w:t>).</w:t>
      </w:r>
    </w:p>
    <w:p w:rsidR="00161894" w:rsidRPr="009D7E70" w:rsidRDefault="00161894" w:rsidP="00161894">
      <w:pPr>
        <w:pStyle w:val="Header1"/>
        <w:spacing w:before="240" w:after="240"/>
      </w:pPr>
      <w:r w:rsidRPr="009D7E70">
        <w:t>Electronic supplementary information</w:t>
      </w:r>
    </w:p>
    <w:p w:rsidR="00702462" w:rsidRPr="009D7E70" w:rsidRDefault="00702462" w:rsidP="00161894">
      <w:pPr>
        <w:pStyle w:val="Header1"/>
        <w:spacing w:before="0" w:after="0"/>
        <w:ind w:firstLine="284"/>
        <w:jc w:val="both"/>
        <w:rPr>
          <w:rFonts w:ascii="Times New Roman" w:hAnsi="Times New Roman" w:cs="Times New Roman"/>
          <w:b w:val="0"/>
          <w:sz w:val="18"/>
          <w:szCs w:val="18"/>
        </w:rPr>
      </w:pPr>
      <w:r w:rsidRPr="009D7E70">
        <w:rPr>
          <w:rFonts w:ascii="Times New Roman" w:hAnsi="Times New Roman" w:cs="Times New Roman"/>
          <w:b w:val="0"/>
          <w:bCs/>
          <w:color w:val="000000"/>
          <w:sz w:val="18"/>
          <w:szCs w:val="18"/>
        </w:rPr>
        <w:t xml:space="preserve">Electronic supplementary information (ESI) available online: </w:t>
      </w:r>
      <w:r w:rsidRPr="009D7E70">
        <w:rPr>
          <w:rFonts w:ascii="Times New Roman" w:hAnsi="Times New Roman" w:cs="Times New Roman"/>
          <w:b w:val="0"/>
          <w:sz w:val="18"/>
          <w:szCs w:val="18"/>
        </w:rPr>
        <w:t xml:space="preserve">the dipole moment and Mulliken charges data. </w:t>
      </w:r>
      <w:r w:rsidRPr="009D7E70">
        <w:rPr>
          <w:rFonts w:ascii="Times New Roman" w:hAnsi="Times New Roman" w:cs="Times New Roman"/>
          <w:b w:val="0"/>
          <w:bCs/>
          <w:color w:val="000000"/>
          <w:sz w:val="18"/>
          <w:szCs w:val="18"/>
        </w:rPr>
        <w:t>For ESI, see DOI</w:t>
      </w:r>
      <w:r w:rsidRPr="009D7E70">
        <w:rPr>
          <w:rFonts w:ascii="Times New Roman" w:hAnsi="Times New Roman" w:cs="Times New Roman"/>
          <w:b w:val="0"/>
          <w:bCs/>
          <w:sz w:val="18"/>
          <w:szCs w:val="18"/>
        </w:rPr>
        <w:t>: 10.32931/io</w:t>
      </w:r>
      <w:r w:rsidR="004D5F0D" w:rsidRPr="009D7E70">
        <w:rPr>
          <w:rFonts w:ascii="Times New Roman" w:hAnsi="Times New Roman" w:cs="Times New Roman"/>
          <w:b w:val="0"/>
          <w:bCs/>
          <w:sz w:val="18"/>
          <w:szCs w:val="18"/>
        </w:rPr>
        <w:t>2532a</w:t>
      </w:r>
      <w:r w:rsidRPr="009D7E70">
        <w:rPr>
          <w:rFonts w:ascii="Times New Roman" w:hAnsi="Times New Roman" w:cs="Times New Roman"/>
          <w:b w:val="0"/>
          <w:bCs/>
          <w:sz w:val="18"/>
          <w:szCs w:val="18"/>
        </w:rPr>
        <w:t>.</w:t>
      </w:r>
    </w:p>
    <w:p w:rsidR="00F94740" w:rsidRPr="009D7E70" w:rsidRDefault="00F94740" w:rsidP="00161894">
      <w:pPr>
        <w:pStyle w:val="Header1"/>
        <w:spacing w:before="240" w:after="240"/>
      </w:pPr>
      <w:r w:rsidRPr="009D7E70">
        <w:t>References</w:t>
      </w:r>
    </w:p>
    <w:p w:rsidR="00221CDF" w:rsidRPr="009D7E70" w:rsidRDefault="00702462" w:rsidP="00702462">
      <w:pPr>
        <w:pStyle w:val="References"/>
        <w:spacing w:line="264" w:lineRule="auto"/>
        <w:ind w:left="454" w:hanging="454"/>
        <w:rPr>
          <w:sz w:val="16"/>
          <w:szCs w:val="16"/>
        </w:rPr>
      </w:pPr>
      <w:r w:rsidRPr="009D7E70">
        <w:rPr>
          <w:sz w:val="16"/>
          <w:szCs w:val="16"/>
        </w:rPr>
        <w:t>1.</w:t>
      </w:r>
      <w:r w:rsidRPr="009D7E70">
        <w:rPr>
          <w:sz w:val="16"/>
          <w:szCs w:val="16"/>
        </w:rPr>
        <w:tab/>
      </w:r>
      <w:r w:rsidR="00221CDF" w:rsidRPr="009D7E70">
        <w:rPr>
          <w:sz w:val="16"/>
          <w:szCs w:val="16"/>
        </w:rPr>
        <w:t>G. V.</w:t>
      </w:r>
      <w:r w:rsidR="00221CDF" w:rsidRPr="009D7E70">
        <w:rPr>
          <w:i/>
          <w:sz w:val="16"/>
          <w:szCs w:val="16"/>
        </w:rPr>
        <w:t xml:space="preserve"> </w:t>
      </w:r>
      <w:proofErr w:type="spellStart"/>
      <w:r w:rsidR="00221CDF" w:rsidRPr="009D7E70">
        <w:rPr>
          <w:sz w:val="16"/>
          <w:szCs w:val="16"/>
        </w:rPr>
        <w:t>Loukova</w:t>
      </w:r>
      <w:proofErr w:type="spellEnd"/>
      <w:r w:rsidR="00221CDF" w:rsidRPr="009D7E70">
        <w:rPr>
          <w:sz w:val="16"/>
          <w:szCs w:val="16"/>
        </w:rPr>
        <w:t>, in</w:t>
      </w:r>
      <w:r w:rsidRPr="009D7E70">
        <w:rPr>
          <w:sz w:val="16"/>
          <w:szCs w:val="16"/>
        </w:rPr>
        <w:t>:</w:t>
      </w:r>
      <w:r w:rsidR="00221CDF" w:rsidRPr="009D7E70">
        <w:rPr>
          <w:sz w:val="16"/>
          <w:szCs w:val="16"/>
        </w:rPr>
        <w:t xml:space="preserve"> </w:t>
      </w:r>
      <w:r w:rsidR="00221CDF" w:rsidRPr="009D7E70">
        <w:rPr>
          <w:i/>
          <w:sz w:val="16"/>
          <w:szCs w:val="16"/>
        </w:rPr>
        <w:t>Springer Handbook of Inorganic Photochemistry</w:t>
      </w:r>
      <w:r w:rsidRPr="009D7E70">
        <w:rPr>
          <w:sz w:val="16"/>
          <w:szCs w:val="16"/>
        </w:rPr>
        <w:t xml:space="preserve">, </w:t>
      </w:r>
      <w:r w:rsidR="00221CDF" w:rsidRPr="009D7E70">
        <w:rPr>
          <w:sz w:val="16"/>
          <w:szCs w:val="16"/>
        </w:rPr>
        <w:t xml:space="preserve">D. </w:t>
      </w:r>
      <w:proofErr w:type="spellStart"/>
      <w:r w:rsidR="00221CDF" w:rsidRPr="009D7E70">
        <w:rPr>
          <w:sz w:val="16"/>
          <w:szCs w:val="16"/>
        </w:rPr>
        <w:t>Bahnemann</w:t>
      </w:r>
      <w:proofErr w:type="spellEnd"/>
      <w:r w:rsidR="00221CDF" w:rsidRPr="009D7E70">
        <w:rPr>
          <w:sz w:val="16"/>
          <w:szCs w:val="16"/>
        </w:rPr>
        <w:t>, A. O. T. Patrocinio</w:t>
      </w:r>
      <w:r w:rsidRPr="009D7E70">
        <w:rPr>
          <w:sz w:val="16"/>
          <w:szCs w:val="16"/>
        </w:rPr>
        <w:t xml:space="preserve"> (Eds.</w:t>
      </w:r>
      <w:r w:rsidR="00221CDF" w:rsidRPr="009D7E70">
        <w:rPr>
          <w:sz w:val="16"/>
          <w:szCs w:val="16"/>
        </w:rPr>
        <w:t xml:space="preserve">), Springer, Cham, </w:t>
      </w:r>
      <w:r w:rsidR="00221CDF" w:rsidRPr="009D7E70">
        <w:rPr>
          <w:b/>
          <w:sz w:val="16"/>
          <w:szCs w:val="16"/>
        </w:rPr>
        <w:t>2022</w:t>
      </w:r>
      <w:r w:rsidR="00221CDF" w:rsidRPr="009D7E70">
        <w:rPr>
          <w:sz w:val="16"/>
          <w:szCs w:val="16"/>
        </w:rPr>
        <w:t>,</w:t>
      </w:r>
      <w:r w:rsidR="00221CDF" w:rsidRPr="009D7E70">
        <w:rPr>
          <w:sz w:val="16"/>
          <w:szCs w:val="16"/>
          <w:lang w:val="it-IT"/>
        </w:rPr>
        <w:t xml:space="preserve"> </w:t>
      </w:r>
      <w:r w:rsidRPr="009D7E70">
        <w:rPr>
          <w:sz w:val="16"/>
          <w:szCs w:val="16"/>
          <w:lang w:val="it-IT"/>
        </w:rPr>
        <w:t xml:space="preserve">ch. 19, pp. </w:t>
      </w:r>
      <w:r w:rsidR="00221CDF" w:rsidRPr="009D7E70">
        <w:rPr>
          <w:sz w:val="16"/>
          <w:szCs w:val="16"/>
          <w:lang w:val="it-IT"/>
        </w:rPr>
        <w:t>45</w:t>
      </w:r>
      <w:r w:rsidR="00221CDF" w:rsidRPr="009D7E70">
        <w:rPr>
          <w:sz w:val="16"/>
          <w:szCs w:val="16"/>
        </w:rPr>
        <w:t>9</w:t>
      </w:r>
      <w:r w:rsidRPr="009D7E70">
        <w:rPr>
          <w:sz w:val="16"/>
          <w:szCs w:val="16"/>
        </w:rPr>
        <w:t>–</w:t>
      </w:r>
      <w:r w:rsidR="00221CDF" w:rsidRPr="009D7E70">
        <w:rPr>
          <w:sz w:val="16"/>
          <w:szCs w:val="16"/>
          <w:lang w:val="it-IT"/>
        </w:rPr>
        <w:t>49</w:t>
      </w:r>
      <w:r w:rsidR="00221CDF" w:rsidRPr="009D7E70">
        <w:rPr>
          <w:sz w:val="16"/>
          <w:szCs w:val="16"/>
        </w:rPr>
        <w:t>2. DOI: 10.1007/978-3-030-63713-2_19</w:t>
      </w:r>
    </w:p>
    <w:p w:rsidR="00221CDF" w:rsidRPr="009D7E70" w:rsidRDefault="00702462" w:rsidP="00702462">
      <w:pPr>
        <w:pStyle w:val="References"/>
        <w:spacing w:line="264" w:lineRule="auto"/>
        <w:ind w:left="454" w:hanging="454"/>
        <w:rPr>
          <w:sz w:val="16"/>
          <w:szCs w:val="16"/>
        </w:rPr>
      </w:pPr>
      <w:r w:rsidRPr="009D7E70">
        <w:rPr>
          <w:sz w:val="16"/>
          <w:szCs w:val="16"/>
        </w:rPr>
        <w:t>2.</w:t>
      </w:r>
      <w:r w:rsidRPr="009D7E70">
        <w:rPr>
          <w:sz w:val="16"/>
          <w:szCs w:val="16"/>
        </w:rPr>
        <w:tab/>
      </w:r>
      <w:r w:rsidR="00221CDF" w:rsidRPr="009D7E70">
        <w:rPr>
          <w:sz w:val="16"/>
          <w:szCs w:val="16"/>
        </w:rPr>
        <w:t>G. V.</w:t>
      </w:r>
      <w:r w:rsidR="00221CDF" w:rsidRPr="009D7E70">
        <w:rPr>
          <w:i/>
          <w:sz w:val="16"/>
          <w:szCs w:val="16"/>
        </w:rPr>
        <w:t xml:space="preserve"> </w:t>
      </w:r>
      <w:proofErr w:type="spellStart"/>
      <w:r w:rsidR="00221CDF" w:rsidRPr="009D7E70">
        <w:rPr>
          <w:sz w:val="16"/>
          <w:szCs w:val="16"/>
        </w:rPr>
        <w:t>Loukova</w:t>
      </w:r>
      <w:proofErr w:type="spellEnd"/>
      <w:r w:rsidR="00221CDF" w:rsidRPr="009D7E70">
        <w:rPr>
          <w:sz w:val="16"/>
          <w:szCs w:val="16"/>
        </w:rPr>
        <w:t>, in</w:t>
      </w:r>
      <w:r w:rsidR="00941004" w:rsidRPr="009D7E70">
        <w:rPr>
          <w:sz w:val="16"/>
          <w:szCs w:val="16"/>
        </w:rPr>
        <w:t xml:space="preserve">: </w:t>
      </w:r>
      <w:r w:rsidR="00221CDF" w:rsidRPr="009D7E70">
        <w:rPr>
          <w:i/>
          <w:sz w:val="16"/>
          <w:szCs w:val="16"/>
        </w:rPr>
        <w:t>Organometallic Compounds: Preparation, Structure and Properties</w:t>
      </w:r>
      <w:r w:rsidR="00941004" w:rsidRPr="009D7E70">
        <w:rPr>
          <w:sz w:val="16"/>
          <w:szCs w:val="16"/>
        </w:rPr>
        <w:t xml:space="preserve">, </w:t>
      </w:r>
      <w:r w:rsidR="00221CDF" w:rsidRPr="009D7E70">
        <w:rPr>
          <w:sz w:val="16"/>
          <w:szCs w:val="16"/>
          <w:lang w:val="it-IT"/>
        </w:rPr>
        <w:t>H.</w:t>
      </w:r>
      <w:r w:rsidR="00941004" w:rsidRPr="009D7E70">
        <w:rPr>
          <w:sz w:val="16"/>
          <w:szCs w:val="16"/>
          <w:lang w:val="it-IT"/>
        </w:rPr>
        <w:t xml:space="preserve"> </w:t>
      </w:r>
      <w:r w:rsidR="00221CDF" w:rsidRPr="009D7E70">
        <w:rPr>
          <w:sz w:val="16"/>
          <w:szCs w:val="16"/>
          <w:lang w:val="it-IT"/>
        </w:rPr>
        <w:t>F. Chin</w:t>
      </w:r>
      <w:r w:rsidR="00941004" w:rsidRPr="009D7E70">
        <w:rPr>
          <w:sz w:val="16"/>
          <w:szCs w:val="16"/>
          <w:lang w:val="it-IT"/>
        </w:rPr>
        <w:t xml:space="preserve"> (Ed.</w:t>
      </w:r>
      <w:r w:rsidR="00221CDF" w:rsidRPr="009D7E70">
        <w:rPr>
          <w:sz w:val="16"/>
          <w:szCs w:val="16"/>
          <w:lang w:val="it-IT"/>
        </w:rPr>
        <w:t>)</w:t>
      </w:r>
      <w:r w:rsidR="00221CDF" w:rsidRPr="009D7E70">
        <w:rPr>
          <w:sz w:val="16"/>
          <w:szCs w:val="16"/>
        </w:rPr>
        <w:t xml:space="preserve">, </w:t>
      </w:r>
      <w:r w:rsidR="00941004" w:rsidRPr="009D7E70">
        <w:rPr>
          <w:sz w:val="16"/>
          <w:szCs w:val="16"/>
        </w:rPr>
        <w:t xml:space="preserve">Nova Sci. Publ., </w:t>
      </w:r>
      <w:r w:rsidR="00221CDF" w:rsidRPr="009D7E70">
        <w:rPr>
          <w:sz w:val="16"/>
          <w:szCs w:val="16"/>
          <w:lang w:val="it-IT"/>
        </w:rPr>
        <w:t xml:space="preserve">New York, </w:t>
      </w:r>
      <w:r w:rsidR="00221CDF" w:rsidRPr="009D7E70">
        <w:rPr>
          <w:b/>
          <w:sz w:val="16"/>
          <w:szCs w:val="16"/>
          <w:lang w:val="it-IT"/>
        </w:rPr>
        <w:t>2010</w:t>
      </w:r>
      <w:r w:rsidR="00221CDF" w:rsidRPr="009D7E70">
        <w:rPr>
          <w:sz w:val="16"/>
          <w:szCs w:val="16"/>
          <w:lang w:val="it-IT"/>
        </w:rPr>
        <w:t xml:space="preserve">, </w:t>
      </w:r>
      <w:r w:rsidR="00941004" w:rsidRPr="009D7E70">
        <w:rPr>
          <w:sz w:val="16"/>
          <w:szCs w:val="16"/>
          <w:lang w:val="it-IT"/>
        </w:rPr>
        <w:t xml:space="preserve">ch. 4, pp. </w:t>
      </w:r>
      <w:r w:rsidR="00221CDF" w:rsidRPr="009D7E70">
        <w:rPr>
          <w:sz w:val="16"/>
          <w:szCs w:val="16"/>
          <w:lang w:val="it-IT"/>
        </w:rPr>
        <w:t>159</w:t>
      </w:r>
      <w:r w:rsidR="00941004" w:rsidRPr="009D7E70">
        <w:rPr>
          <w:sz w:val="16"/>
          <w:szCs w:val="16"/>
        </w:rPr>
        <w:t>–</w:t>
      </w:r>
      <w:r w:rsidR="00221CDF" w:rsidRPr="009D7E70">
        <w:rPr>
          <w:sz w:val="16"/>
          <w:szCs w:val="16"/>
        </w:rPr>
        <w:t>196</w:t>
      </w:r>
      <w:r w:rsidR="00941004" w:rsidRPr="009D7E70">
        <w:rPr>
          <w:sz w:val="16"/>
          <w:szCs w:val="16"/>
        </w:rPr>
        <w:t>.</w:t>
      </w:r>
    </w:p>
    <w:p w:rsidR="00221CDF" w:rsidRPr="009D7E70" w:rsidRDefault="00702462" w:rsidP="00702462">
      <w:pPr>
        <w:pStyle w:val="References"/>
        <w:spacing w:line="264" w:lineRule="auto"/>
        <w:ind w:left="454" w:hanging="454"/>
        <w:rPr>
          <w:sz w:val="16"/>
          <w:szCs w:val="16"/>
        </w:rPr>
      </w:pPr>
      <w:r w:rsidRPr="009D7E70">
        <w:rPr>
          <w:sz w:val="16"/>
          <w:szCs w:val="16"/>
        </w:rPr>
        <w:t>3.</w:t>
      </w:r>
      <w:r w:rsidRPr="009D7E70">
        <w:rPr>
          <w:sz w:val="16"/>
          <w:szCs w:val="16"/>
        </w:rPr>
        <w:tab/>
      </w:r>
      <w:r w:rsidR="00221CDF" w:rsidRPr="009D7E70">
        <w:rPr>
          <w:sz w:val="16"/>
          <w:szCs w:val="16"/>
        </w:rPr>
        <w:t>G. V.</w:t>
      </w:r>
      <w:r w:rsidR="00221CDF" w:rsidRPr="009D7E70">
        <w:rPr>
          <w:rFonts w:eastAsia="Times New Roman"/>
          <w:i/>
          <w:sz w:val="16"/>
          <w:szCs w:val="16"/>
        </w:rPr>
        <w:t xml:space="preserve"> </w:t>
      </w:r>
      <w:proofErr w:type="spellStart"/>
      <w:r w:rsidR="00221CDF" w:rsidRPr="009D7E70">
        <w:rPr>
          <w:sz w:val="16"/>
          <w:szCs w:val="16"/>
        </w:rPr>
        <w:t>Loukova</w:t>
      </w:r>
      <w:proofErr w:type="spellEnd"/>
      <w:r w:rsidR="00221CDF" w:rsidRPr="009D7E70">
        <w:rPr>
          <w:sz w:val="16"/>
          <w:szCs w:val="16"/>
        </w:rPr>
        <w:t xml:space="preserve">, V. A. Smirnov, </w:t>
      </w:r>
      <w:r w:rsidR="00221CDF" w:rsidRPr="009D7E70">
        <w:rPr>
          <w:i/>
          <w:sz w:val="16"/>
          <w:szCs w:val="16"/>
        </w:rPr>
        <w:t>Chem. Phys. Lett</w:t>
      </w:r>
      <w:r w:rsidR="00221CDF" w:rsidRPr="009D7E70">
        <w:rPr>
          <w:sz w:val="16"/>
          <w:szCs w:val="16"/>
        </w:rPr>
        <w:t xml:space="preserve">., </w:t>
      </w:r>
      <w:r w:rsidR="00221CDF" w:rsidRPr="009D7E70">
        <w:rPr>
          <w:b/>
          <w:sz w:val="16"/>
          <w:szCs w:val="16"/>
        </w:rPr>
        <w:t>2000</w:t>
      </w:r>
      <w:r w:rsidR="00221CDF" w:rsidRPr="009D7E70">
        <w:rPr>
          <w:sz w:val="16"/>
          <w:szCs w:val="16"/>
        </w:rPr>
        <w:t xml:space="preserve">, </w:t>
      </w:r>
      <w:r w:rsidR="00221CDF" w:rsidRPr="009D7E70">
        <w:rPr>
          <w:i/>
          <w:sz w:val="16"/>
          <w:szCs w:val="16"/>
        </w:rPr>
        <w:t>329</w:t>
      </w:r>
      <w:r w:rsidR="00221CDF" w:rsidRPr="009D7E70">
        <w:rPr>
          <w:sz w:val="16"/>
          <w:szCs w:val="16"/>
        </w:rPr>
        <w:t>, 437</w:t>
      </w:r>
      <w:r w:rsidR="00941004" w:rsidRPr="009D7E70">
        <w:rPr>
          <w:sz w:val="16"/>
          <w:szCs w:val="16"/>
        </w:rPr>
        <w:t>–</w:t>
      </w:r>
      <w:r w:rsidR="00221CDF" w:rsidRPr="009D7E70">
        <w:rPr>
          <w:sz w:val="16"/>
          <w:szCs w:val="16"/>
        </w:rPr>
        <w:t>442. DOI: 10.1016/S0009-2614(00)00977-5</w:t>
      </w:r>
    </w:p>
    <w:p w:rsidR="00221CDF" w:rsidRPr="009D7E70" w:rsidRDefault="00702462" w:rsidP="00702462">
      <w:pPr>
        <w:pStyle w:val="References"/>
        <w:spacing w:line="264" w:lineRule="auto"/>
        <w:ind w:left="454" w:hanging="454"/>
        <w:rPr>
          <w:sz w:val="16"/>
          <w:szCs w:val="16"/>
        </w:rPr>
      </w:pPr>
      <w:r w:rsidRPr="009D7E70">
        <w:rPr>
          <w:sz w:val="16"/>
          <w:szCs w:val="16"/>
        </w:rPr>
        <w:lastRenderedPageBreak/>
        <w:t>4.</w:t>
      </w:r>
      <w:r w:rsidRPr="009D7E70">
        <w:rPr>
          <w:sz w:val="16"/>
          <w:szCs w:val="16"/>
        </w:rPr>
        <w:tab/>
      </w:r>
      <w:r w:rsidR="00221CDF" w:rsidRPr="009D7E70">
        <w:rPr>
          <w:sz w:val="16"/>
          <w:szCs w:val="16"/>
        </w:rPr>
        <w:t>G. V.</w:t>
      </w:r>
      <w:r w:rsidR="00221CDF" w:rsidRPr="009D7E70">
        <w:rPr>
          <w:i/>
          <w:sz w:val="16"/>
          <w:szCs w:val="16"/>
        </w:rPr>
        <w:t xml:space="preserve"> </w:t>
      </w:r>
      <w:proofErr w:type="spellStart"/>
      <w:r w:rsidR="00221CDF" w:rsidRPr="009D7E70">
        <w:rPr>
          <w:sz w:val="16"/>
          <w:szCs w:val="16"/>
        </w:rPr>
        <w:t>Loukova</w:t>
      </w:r>
      <w:proofErr w:type="spellEnd"/>
      <w:r w:rsidR="00221CDF" w:rsidRPr="009D7E70">
        <w:rPr>
          <w:sz w:val="16"/>
          <w:szCs w:val="16"/>
        </w:rPr>
        <w:t xml:space="preserve">, </w:t>
      </w:r>
      <w:r w:rsidR="00221CDF" w:rsidRPr="009D7E70">
        <w:rPr>
          <w:i/>
          <w:sz w:val="16"/>
          <w:szCs w:val="16"/>
        </w:rPr>
        <w:t>Chem. Phys. Lett</w:t>
      </w:r>
      <w:r w:rsidR="00221CDF" w:rsidRPr="009D7E70">
        <w:rPr>
          <w:sz w:val="16"/>
          <w:szCs w:val="16"/>
        </w:rPr>
        <w:t xml:space="preserve">., </w:t>
      </w:r>
      <w:r w:rsidR="00221CDF" w:rsidRPr="009D7E70">
        <w:rPr>
          <w:b/>
          <w:sz w:val="16"/>
          <w:szCs w:val="16"/>
        </w:rPr>
        <w:t>2002</w:t>
      </w:r>
      <w:r w:rsidR="00221CDF" w:rsidRPr="009D7E70">
        <w:rPr>
          <w:sz w:val="16"/>
          <w:szCs w:val="16"/>
        </w:rPr>
        <w:t xml:space="preserve">, </w:t>
      </w:r>
      <w:r w:rsidR="00221CDF" w:rsidRPr="009D7E70">
        <w:rPr>
          <w:i/>
          <w:sz w:val="16"/>
          <w:szCs w:val="16"/>
        </w:rPr>
        <w:t>353</w:t>
      </w:r>
      <w:r w:rsidR="00221CDF" w:rsidRPr="009D7E70">
        <w:rPr>
          <w:sz w:val="16"/>
          <w:szCs w:val="16"/>
        </w:rPr>
        <w:t>, 244</w:t>
      </w:r>
      <w:r w:rsidR="004161B4" w:rsidRPr="009D7E70">
        <w:rPr>
          <w:sz w:val="16"/>
          <w:szCs w:val="16"/>
        </w:rPr>
        <w:t>–</w:t>
      </w:r>
      <w:r w:rsidR="00221CDF" w:rsidRPr="009D7E70">
        <w:rPr>
          <w:sz w:val="16"/>
          <w:szCs w:val="16"/>
        </w:rPr>
        <w:t xml:space="preserve">252. </w:t>
      </w:r>
      <w:bookmarkStart w:id="8" w:name="_Hlk180605579"/>
      <w:r w:rsidR="00221CDF" w:rsidRPr="009D7E70">
        <w:rPr>
          <w:sz w:val="16"/>
          <w:szCs w:val="16"/>
        </w:rPr>
        <w:t>DOI: 10.1016/S0009-2614(02)00031-3</w:t>
      </w:r>
      <w:bookmarkEnd w:id="8"/>
    </w:p>
    <w:p w:rsidR="00221CDF" w:rsidRPr="009D7E70" w:rsidRDefault="00702462" w:rsidP="00702462">
      <w:pPr>
        <w:pStyle w:val="References"/>
        <w:spacing w:line="264" w:lineRule="auto"/>
        <w:ind w:left="454" w:hanging="454"/>
        <w:rPr>
          <w:sz w:val="16"/>
          <w:szCs w:val="16"/>
        </w:rPr>
      </w:pPr>
      <w:r w:rsidRPr="009D7E70">
        <w:rPr>
          <w:bCs/>
          <w:sz w:val="16"/>
          <w:szCs w:val="16"/>
        </w:rPr>
        <w:t>5.</w:t>
      </w:r>
      <w:r w:rsidRPr="009D7E70">
        <w:rPr>
          <w:bCs/>
          <w:sz w:val="16"/>
          <w:szCs w:val="16"/>
        </w:rPr>
        <w:tab/>
      </w:r>
      <w:r w:rsidR="00221CDF" w:rsidRPr="009D7E70">
        <w:rPr>
          <w:bCs/>
          <w:sz w:val="16"/>
          <w:szCs w:val="16"/>
        </w:rPr>
        <w:t xml:space="preserve">G. V. </w:t>
      </w:r>
      <w:proofErr w:type="spellStart"/>
      <w:r w:rsidR="00221CDF" w:rsidRPr="009D7E70">
        <w:rPr>
          <w:bCs/>
          <w:sz w:val="16"/>
          <w:szCs w:val="16"/>
        </w:rPr>
        <w:t>Loukova</w:t>
      </w:r>
      <w:proofErr w:type="spellEnd"/>
      <w:r w:rsidR="00221CDF" w:rsidRPr="009D7E70">
        <w:rPr>
          <w:sz w:val="16"/>
          <w:szCs w:val="16"/>
        </w:rPr>
        <w:t>, W. Huhn, V. P. Vasiliev, V. A. Smirnov,</w:t>
      </w:r>
      <w:r w:rsidR="004161B4" w:rsidRPr="009D7E70">
        <w:rPr>
          <w:sz w:val="16"/>
          <w:szCs w:val="16"/>
        </w:rPr>
        <w:t xml:space="preserve"> </w:t>
      </w:r>
      <w:r w:rsidR="00221CDF" w:rsidRPr="009D7E70">
        <w:rPr>
          <w:i/>
          <w:sz w:val="16"/>
          <w:szCs w:val="16"/>
        </w:rPr>
        <w:t>J. Phys. Chem. A</w:t>
      </w:r>
      <w:r w:rsidR="00221CDF" w:rsidRPr="009D7E70">
        <w:rPr>
          <w:sz w:val="16"/>
          <w:szCs w:val="16"/>
        </w:rPr>
        <w:t xml:space="preserve">, </w:t>
      </w:r>
      <w:r w:rsidR="00221CDF" w:rsidRPr="009D7E70">
        <w:rPr>
          <w:b/>
          <w:sz w:val="16"/>
          <w:szCs w:val="16"/>
        </w:rPr>
        <w:t>2007</w:t>
      </w:r>
      <w:r w:rsidR="00221CDF" w:rsidRPr="009D7E70">
        <w:rPr>
          <w:sz w:val="16"/>
          <w:szCs w:val="16"/>
        </w:rPr>
        <w:t xml:space="preserve">, </w:t>
      </w:r>
      <w:r w:rsidR="00221CDF" w:rsidRPr="009D7E70">
        <w:rPr>
          <w:i/>
          <w:iCs/>
          <w:sz w:val="16"/>
          <w:szCs w:val="16"/>
        </w:rPr>
        <w:t>111</w:t>
      </w:r>
      <w:r w:rsidR="00221CDF" w:rsidRPr="009D7E70">
        <w:rPr>
          <w:sz w:val="16"/>
          <w:szCs w:val="16"/>
        </w:rPr>
        <w:t>, 4117</w:t>
      </w:r>
      <w:r w:rsidR="004161B4" w:rsidRPr="009D7E70">
        <w:rPr>
          <w:sz w:val="16"/>
          <w:szCs w:val="16"/>
        </w:rPr>
        <w:t>–</w:t>
      </w:r>
      <w:r w:rsidR="00221CDF" w:rsidRPr="009D7E70">
        <w:rPr>
          <w:sz w:val="16"/>
          <w:szCs w:val="16"/>
        </w:rPr>
        <w:t xml:space="preserve">4121. </w:t>
      </w:r>
      <w:bookmarkStart w:id="9" w:name="_Hlk180605879"/>
      <w:r w:rsidR="00221CDF" w:rsidRPr="009D7E70">
        <w:rPr>
          <w:sz w:val="16"/>
          <w:szCs w:val="16"/>
        </w:rPr>
        <w:t>DOI: 10.1021/jp0721797</w:t>
      </w:r>
      <w:bookmarkEnd w:id="9"/>
    </w:p>
    <w:p w:rsidR="00221CDF" w:rsidRPr="009D7E70" w:rsidRDefault="00702462" w:rsidP="00702462">
      <w:pPr>
        <w:pStyle w:val="References"/>
        <w:spacing w:line="264" w:lineRule="auto"/>
        <w:ind w:left="454" w:hanging="454"/>
        <w:rPr>
          <w:sz w:val="16"/>
          <w:szCs w:val="16"/>
        </w:rPr>
      </w:pPr>
      <w:r w:rsidRPr="009D7E70">
        <w:rPr>
          <w:iCs/>
          <w:sz w:val="16"/>
          <w:szCs w:val="16"/>
        </w:rPr>
        <w:t>6.</w:t>
      </w:r>
      <w:r w:rsidRPr="009D7E70">
        <w:rPr>
          <w:iCs/>
          <w:sz w:val="16"/>
          <w:szCs w:val="16"/>
        </w:rPr>
        <w:tab/>
      </w:r>
      <w:r w:rsidR="00221CDF" w:rsidRPr="009D7E70">
        <w:rPr>
          <w:iCs/>
          <w:sz w:val="16"/>
          <w:szCs w:val="16"/>
        </w:rPr>
        <w:t xml:space="preserve">G. V. </w:t>
      </w:r>
      <w:proofErr w:type="spellStart"/>
      <w:r w:rsidR="00221CDF" w:rsidRPr="009D7E70">
        <w:rPr>
          <w:iCs/>
          <w:sz w:val="16"/>
          <w:szCs w:val="16"/>
        </w:rPr>
        <w:t>Loukova</w:t>
      </w:r>
      <w:proofErr w:type="spellEnd"/>
      <w:r w:rsidR="00221CDF" w:rsidRPr="009D7E70">
        <w:rPr>
          <w:iCs/>
          <w:sz w:val="16"/>
          <w:szCs w:val="16"/>
        </w:rPr>
        <w:t xml:space="preserve">, S. E. </w:t>
      </w:r>
      <w:proofErr w:type="spellStart"/>
      <w:r w:rsidR="00221CDF" w:rsidRPr="009D7E70">
        <w:rPr>
          <w:iCs/>
          <w:sz w:val="16"/>
          <w:szCs w:val="16"/>
        </w:rPr>
        <w:t>Starodubova</w:t>
      </w:r>
      <w:proofErr w:type="spellEnd"/>
      <w:r w:rsidR="00221CDF" w:rsidRPr="009D7E70">
        <w:rPr>
          <w:iCs/>
          <w:sz w:val="16"/>
          <w:szCs w:val="16"/>
        </w:rPr>
        <w:t xml:space="preserve">, V. A. Smirnov, </w:t>
      </w:r>
      <w:r w:rsidR="00221CDF" w:rsidRPr="009D7E70">
        <w:rPr>
          <w:i/>
          <w:sz w:val="16"/>
          <w:szCs w:val="16"/>
        </w:rPr>
        <w:t>J. Phys. Chem. A</w:t>
      </w:r>
      <w:r w:rsidR="00221CDF" w:rsidRPr="009D7E70">
        <w:rPr>
          <w:sz w:val="16"/>
          <w:szCs w:val="16"/>
        </w:rPr>
        <w:t xml:space="preserve">, </w:t>
      </w:r>
      <w:r w:rsidR="00221CDF" w:rsidRPr="009D7E70">
        <w:rPr>
          <w:b/>
          <w:sz w:val="16"/>
          <w:szCs w:val="16"/>
        </w:rPr>
        <w:t>2007</w:t>
      </w:r>
      <w:r w:rsidR="00221CDF" w:rsidRPr="009D7E70">
        <w:rPr>
          <w:sz w:val="16"/>
          <w:szCs w:val="16"/>
        </w:rPr>
        <w:t xml:space="preserve">, </w:t>
      </w:r>
      <w:r w:rsidR="00221CDF" w:rsidRPr="009D7E70">
        <w:rPr>
          <w:i/>
          <w:iCs/>
          <w:sz w:val="16"/>
          <w:szCs w:val="16"/>
        </w:rPr>
        <w:t>111</w:t>
      </w:r>
      <w:r w:rsidR="00221CDF" w:rsidRPr="009D7E70">
        <w:rPr>
          <w:sz w:val="16"/>
          <w:szCs w:val="16"/>
        </w:rPr>
        <w:t xml:space="preserve">, </w:t>
      </w:r>
      <w:r w:rsidR="00221CDF" w:rsidRPr="009D7E70">
        <w:rPr>
          <w:iCs/>
          <w:sz w:val="16"/>
          <w:szCs w:val="16"/>
        </w:rPr>
        <w:t>10928</w:t>
      </w:r>
      <w:r w:rsidR="001C0218" w:rsidRPr="009D7E70">
        <w:rPr>
          <w:iCs/>
          <w:sz w:val="16"/>
          <w:szCs w:val="16"/>
        </w:rPr>
        <w:t>–</w:t>
      </w:r>
      <w:r w:rsidR="00221CDF" w:rsidRPr="009D7E70">
        <w:rPr>
          <w:iCs/>
          <w:sz w:val="16"/>
          <w:szCs w:val="16"/>
        </w:rPr>
        <w:t xml:space="preserve">10937. DOI: </w:t>
      </w:r>
      <w:r w:rsidR="00221CDF" w:rsidRPr="009D7E70">
        <w:rPr>
          <w:color w:val="000000"/>
          <w:sz w:val="16"/>
          <w:szCs w:val="16"/>
          <w:shd w:val="clear" w:color="auto" w:fill="FFFFFF"/>
        </w:rPr>
        <w:t>10.1021/jp073964m</w:t>
      </w:r>
    </w:p>
    <w:p w:rsidR="00221CDF" w:rsidRPr="009D7E70" w:rsidRDefault="00702462" w:rsidP="00702462">
      <w:pPr>
        <w:pStyle w:val="References"/>
        <w:spacing w:line="264" w:lineRule="auto"/>
        <w:ind w:left="454" w:hanging="454"/>
        <w:rPr>
          <w:sz w:val="16"/>
          <w:szCs w:val="16"/>
        </w:rPr>
      </w:pPr>
      <w:bookmarkStart w:id="10" w:name="_Hlk85020237"/>
      <w:r w:rsidRPr="009D7E70">
        <w:rPr>
          <w:sz w:val="16"/>
          <w:szCs w:val="16"/>
        </w:rPr>
        <w:t>7.</w:t>
      </w:r>
      <w:r w:rsidRPr="009D7E70">
        <w:rPr>
          <w:sz w:val="16"/>
          <w:szCs w:val="16"/>
        </w:rPr>
        <w:tab/>
      </w:r>
      <w:r w:rsidR="00221CDF" w:rsidRPr="009D7E70">
        <w:rPr>
          <w:sz w:val="16"/>
          <w:szCs w:val="16"/>
        </w:rPr>
        <w:t xml:space="preserve">G. V. </w:t>
      </w:r>
      <w:proofErr w:type="spellStart"/>
      <w:r w:rsidR="00221CDF" w:rsidRPr="009D7E70">
        <w:rPr>
          <w:sz w:val="16"/>
          <w:szCs w:val="16"/>
        </w:rPr>
        <w:t>Loukova</w:t>
      </w:r>
      <w:proofErr w:type="spellEnd"/>
      <w:r w:rsidR="00221CDF" w:rsidRPr="009D7E70">
        <w:rPr>
          <w:bCs/>
          <w:sz w:val="16"/>
          <w:szCs w:val="16"/>
        </w:rPr>
        <w:t>, V. P. Vasiliev, A. A. Milov,</w:t>
      </w:r>
      <w:bookmarkEnd w:id="10"/>
      <w:r w:rsidR="00221CDF" w:rsidRPr="009D7E70">
        <w:rPr>
          <w:bCs/>
          <w:sz w:val="16"/>
          <w:szCs w:val="16"/>
        </w:rPr>
        <w:t xml:space="preserve"> V. A. Smirnov, V. I. Minkin, </w:t>
      </w:r>
      <w:r w:rsidR="00221CDF" w:rsidRPr="009D7E70">
        <w:rPr>
          <w:i/>
          <w:sz w:val="16"/>
          <w:szCs w:val="16"/>
        </w:rPr>
        <w:t xml:space="preserve">J. </w:t>
      </w:r>
      <w:proofErr w:type="spellStart"/>
      <w:r w:rsidR="00221CDF" w:rsidRPr="009D7E70">
        <w:rPr>
          <w:i/>
          <w:iCs/>
          <w:sz w:val="16"/>
          <w:szCs w:val="16"/>
        </w:rPr>
        <w:t>Photochem</w:t>
      </w:r>
      <w:proofErr w:type="spellEnd"/>
      <w:r w:rsidR="00221CDF" w:rsidRPr="009D7E70">
        <w:rPr>
          <w:i/>
          <w:iCs/>
          <w:sz w:val="16"/>
          <w:szCs w:val="16"/>
        </w:rPr>
        <w:t xml:space="preserve">. </w:t>
      </w:r>
      <w:proofErr w:type="spellStart"/>
      <w:r w:rsidR="00221CDF" w:rsidRPr="009D7E70">
        <w:rPr>
          <w:i/>
          <w:iCs/>
          <w:sz w:val="16"/>
          <w:szCs w:val="16"/>
        </w:rPr>
        <w:t>Photobiol</w:t>
      </w:r>
      <w:proofErr w:type="spellEnd"/>
      <w:r w:rsidR="00221CDF" w:rsidRPr="009D7E70">
        <w:rPr>
          <w:i/>
          <w:iCs/>
          <w:sz w:val="16"/>
          <w:szCs w:val="16"/>
        </w:rPr>
        <w:t>.</w:t>
      </w:r>
      <w:r w:rsidR="001C0218" w:rsidRPr="009D7E70">
        <w:rPr>
          <w:sz w:val="16"/>
          <w:szCs w:val="16"/>
        </w:rPr>
        <w:t>,</w:t>
      </w:r>
      <w:r w:rsidR="00221CDF" w:rsidRPr="009D7E70">
        <w:rPr>
          <w:i/>
          <w:iCs/>
          <w:sz w:val="16"/>
          <w:szCs w:val="16"/>
        </w:rPr>
        <w:t xml:space="preserve"> A</w:t>
      </w:r>
      <w:r w:rsidR="00221CDF" w:rsidRPr="009D7E70">
        <w:rPr>
          <w:sz w:val="16"/>
          <w:szCs w:val="16"/>
        </w:rPr>
        <w:t xml:space="preserve">, </w:t>
      </w:r>
      <w:r w:rsidR="00221CDF" w:rsidRPr="009D7E70">
        <w:rPr>
          <w:b/>
          <w:bCs/>
          <w:sz w:val="16"/>
          <w:szCs w:val="16"/>
        </w:rPr>
        <w:t>2016</w:t>
      </w:r>
      <w:r w:rsidR="00221CDF" w:rsidRPr="009D7E70">
        <w:rPr>
          <w:sz w:val="16"/>
          <w:szCs w:val="16"/>
        </w:rPr>
        <w:t xml:space="preserve">, </w:t>
      </w:r>
      <w:r w:rsidR="00221CDF" w:rsidRPr="009D7E70">
        <w:rPr>
          <w:i/>
          <w:iCs/>
          <w:sz w:val="16"/>
          <w:szCs w:val="16"/>
        </w:rPr>
        <w:t>327</w:t>
      </w:r>
      <w:r w:rsidR="00221CDF" w:rsidRPr="009D7E70">
        <w:rPr>
          <w:sz w:val="16"/>
          <w:szCs w:val="16"/>
        </w:rPr>
        <w:t>, 6</w:t>
      </w:r>
      <w:r w:rsidR="001C0218" w:rsidRPr="009D7E70">
        <w:rPr>
          <w:sz w:val="16"/>
          <w:szCs w:val="16"/>
        </w:rPr>
        <w:t>–</w:t>
      </w:r>
      <w:r w:rsidR="00221CDF" w:rsidRPr="009D7E70">
        <w:rPr>
          <w:sz w:val="16"/>
          <w:szCs w:val="16"/>
        </w:rPr>
        <w:t>14. DOI: 10.1016/j.jphotochem.2016.04.023</w:t>
      </w:r>
    </w:p>
    <w:p w:rsidR="00221CDF" w:rsidRPr="009D7E70" w:rsidRDefault="00702462" w:rsidP="00702462">
      <w:pPr>
        <w:pStyle w:val="References"/>
        <w:spacing w:line="264" w:lineRule="auto"/>
        <w:ind w:left="454" w:hanging="454"/>
        <w:rPr>
          <w:sz w:val="16"/>
          <w:szCs w:val="16"/>
        </w:rPr>
      </w:pPr>
      <w:r w:rsidRPr="009D7E70">
        <w:rPr>
          <w:sz w:val="16"/>
          <w:szCs w:val="16"/>
          <w:lang w:val="fi-FI"/>
        </w:rPr>
        <w:t>8.</w:t>
      </w:r>
      <w:r w:rsidRPr="009D7E70">
        <w:rPr>
          <w:sz w:val="16"/>
          <w:szCs w:val="16"/>
          <w:lang w:val="fi-FI"/>
        </w:rPr>
        <w:tab/>
      </w:r>
      <w:r w:rsidR="00221CDF" w:rsidRPr="009D7E70">
        <w:rPr>
          <w:sz w:val="16"/>
          <w:szCs w:val="16"/>
          <w:lang w:val="fi-FI"/>
        </w:rPr>
        <w:t>G. V. Loukova,</w:t>
      </w:r>
      <w:r w:rsidR="00221CDF" w:rsidRPr="009D7E70">
        <w:rPr>
          <w:bCs/>
          <w:sz w:val="16"/>
          <w:szCs w:val="16"/>
          <w:lang w:val="fi-FI"/>
        </w:rPr>
        <w:t xml:space="preserve"> A. A. Milov, V. P. Vasiliev, V. I. Minkin, </w:t>
      </w:r>
      <w:r w:rsidR="00221CDF" w:rsidRPr="009D7E70">
        <w:rPr>
          <w:i/>
          <w:iCs/>
          <w:sz w:val="16"/>
          <w:szCs w:val="16"/>
        </w:rPr>
        <w:t>Phys. Chem. Chem. Phys.</w:t>
      </w:r>
      <w:r w:rsidR="00221CDF" w:rsidRPr="009D7E70">
        <w:rPr>
          <w:sz w:val="16"/>
          <w:szCs w:val="16"/>
        </w:rPr>
        <w:t xml:space="preserve">, </w:t>
      </w:r>
      <w:r w:rsidR="00221CDF" w:rsidRPr="009D7E70">
        <w:rPr>
          <w:b/>
          <w:bCs/>
          <w:sz w:val="16"/>
          <w:szCs w:val="16"/>
        </w:rPr>
        <w:t>2016</w:t>
      </w:r>
      <w:r w:rsidR="00221CDF" w:rsidRPr="009D7E70">
        <w:rPr>
          <w:sz w:val="16"/>
          <w:szCs w:val="16"/>
        </w:rPr>
        <w:t xml:space="preserve">, </w:t>
      </w:r>
      <w:r w:rsidR="00221CDF" w:rsidRPr="009D7E70">
        <w:rPr>
          <w:i/>
          <w:iCs/>
          <w:sz w:val="16"/>
          <w:szCs w:val="16"/>
        </w:rPr>
        <w:t>18</w:t>
      </w:r>
      <w:r w:rsidR="00221CDF" w:rsidRPr="009D7E70">
        <w:rPr>
          <w:sz w:val="16"/>
          <w:szCs w:val="16"/>
        </w:rPr>
        <w:t>, 17822</w:t>
      </w:r>
      <w:r w:rsidR="001C0218" w:rsidRPr="009D7E70">
        <w:rPr>
          <w:sz w:val="16"/>
          <w:szCs w:val="16"/>
        </w:rPr>
        <w:t>–</w:t>
      </w:r>
      <w:r w:rsidR="00221CDF" w:rsidRPr="009D7E70">
        <w:rPr>
          <w:sz w:val="16"/>
          <w:szCs w:val="16"/>
        </w:rPr>
        <w:t xml:space="preserve">17826. </w:t>
      </w:r>
      <w:bookmarkStart w:id="11" w:name="_Hlk180609581"/>
      <w:r w:rsidR="00221CDF" w:rsidRPr="009D7E70">
        <w:rPr>
          <w:sz w:val="16"/>
          <w:szCs w:val="16"/>
        </w:rPr>
        <w:t>DOI: 10.1039/C6CP03348B</w:t>
      </w:r>
      <w:bookmarkEnd w:id="11"/>
    </w:p>
    <w:p w:rsidR="00221CDF" w:rsidRPr="009D7E70" w:rsidRDefault="00702462" w:rsidP="00702462">
      <w:pPr>
        <w:pStyle w:val="References"/>
        <w:spacing w:line="264" w:lineRule="auto"/>
        <w:ind w:left="454" w:hanging="454"/>
        <w:rPr>
          <w:sz w:val="16"/>
          <w:szCs w:val="16"/>
        </w:rPr>
      </w:pPr>
      <w:r w:rsidRPr="009D7E70">
        <w:rPr>
          <w:sz w:val="16"/>
          <w:szCs w:val="16"/>
        </w:rPr>
        <w:t>9.</w:t>
      </w:r>
      <w:r w:rsidRPr="009D7E70">
        <w:rPr>
          <w:sz w:val="16"/>
          <w:szCs w:val="16"/>
        </w:rPr>
        <w:tab/>
      </w:r>
      <w:r w:rsidR="00221CDF" w:rsidRPr="009D7E70">
        <w:rPr>
          <w:sz w:val="16"/>
          <w:szCs w:val="16"/>
        </w:rPr>
        <w:t xml:space="preserve">G. V. </w:t>
      </w:r>
      <w:proofErr w:type="spellStart"/>
      <w:r w:rsidR="00221CDF" w:rsidRPr="009D7E70">
        <w:rPr>
          <w:sz w:val="16"/>
          <w:szCs w:val="16"/>
        </w:rPr>
        <w:t>Loukova</w:t>
      </w:r>
      <w:proofErr w:type="spellEnd"/>
      <w:r w:rsidR="00221CDF" w:rsidRPr="009D7E70">
        <w:rPr>
          <w:sz w:val="16"/>
          <w:szCs w:val="16"/>
        </w:rPr>
        <w:t xml:space="preserve">, A. A. Milov, V. P. Vasiliev, V. I. Minkin, </w:t>
      </w:r>
      <w:r w:rsidR="00221CDF" w:rsidRPr="009D7E70">
        <w:rPr>
          <w:i/>
          <w:iCs/>
          <w:sz w:val="16"/>
          <w:szCs w:val="16"/>
        </w:rPr>
        <w:t>Russ. Chem. Bull</w:t>
      </w:r>
      <w:r w:rsidR="00221CDF" w:rsidRPr="009D7E70">
        <w:rPr>
          <w:sz w:val="16"/>
          <w:szCs w:val="16"/>
        </w:rPr>
        <w:t xml:space="preserve">., </w:t>
      </w:r>
      <w:r w:rsidR="00221CDF" w:rsidRPr="009D7E70">
        <w:rPr>
          <w:b/>
          <w:bCs/>
          <w:sz w:val="16"/>
          <w:szCs w:val="16"/>
        </w:rPr>
        <w:t>2020</w:t>
      </w:r>
      <w:r w:rsidR="00221CDF" w:rsidRPr="009D7E70">
        <w:rPr>
          <w:sz w:val="16"/>
          <w:szCs w:val="16"/>
        </w:rPr>
        <w:t xml:space="preserve">, </w:t>
      </w:r>
      <w:r w:rsidR="00221CDF" w:rsidRPr="009D7E70">
        <w:rPr>
          <w:i/>
          <w:iCs/>
          <w:sz w:val="16"/>
          <w:szCs w:val="16"/>
        </w:rPr>
        <w:t>69</w:t>
      </w:r>
      <w:r w:rsidR="00221CDF" w:rsidRPr="009D7E70">
        <w:rPr>
          <w:sz w:val="16"/>
          <w:szCs w:val="16"/>
        </w:rPr>
        <w:t>, 218</w:t>
      </w:r>
      <w:r w:rsidR="001C0218" w:rsidRPr="009D7E70">
        <w:rPr>
          <w:sz w:val="16"/>
          <w:szCs w:val="16"/>
        </w:rPr>
        <w:t>–</w:t>
      </w:r>
      <w:r w:rsidR="00221CDF" w:rsidRPr="009D7E70">
        <w:rPr>
          <w:sz w:val="16"/>
          <w:szCs w:val="16"/>
        </w:rPr>
        <w:t>228. DOI: 10.1007/s11172-020-2749-z</w:t>
      </w:r>
    </w:p>
    <w:p w:rsidR="00221CDF" w:rsidRPr="009D7E70" w:rsidRDefault="00702462" w:rsidP="00702462">
      <w:pPr>
        <w:pStyle w:val="References"/>
        <w:spacing w:line="264" w:lineRule="auto"/>
        <w:ind w:left="454" w:hanging="454"/>
        <w:rPr>
          <w:sz w:val="16"/>
          <w:szCs w:val="16"/>
        </w:rPr>
      </w:pPr>
      <w:r w:rsidRPr="009D7E70">
        <w:rPr>
          <w:sz w:val="16"/>
          <w:szCs w:val="16"/>
        </w:rPr>
        <w:t>10.</w:t>
      </w:r>
      <w:r w:rsidRPr="009D7E70">
        <w:rPr>
          <w:sz w:val="16"/>
          <w:szCs w:val="16"/>
        </w:rPr>
        <w:tab/>
      </w:r>
      <w:r w:rsidR="00221CDF" w:rsidRPr="009D7E70">
        <w:rPr>
          <w:sz w:val="16"/>
          <w:szCs w:val="16"/>
        </w:rPr>
        <w:t xml:space="preserve">G. V. </w:t>
      </w:r>
      <w:proofErr w:type="spellStart"/>
      <w:r w:rsidR="00221CDF" w:rsidRPr="009D7E70">
        <w:rPr>
          <w:sz w:val="16"/>
          <w:szCs w:val="16"/>
        </w:rPr>
        <w:t>Loukova</w:t>
      </w:r>
      <w:proofErr w:type="spellEnd"/>
      <w:r w:rsidR="00221CDF" w:rsidRPr="009D7E70">
        <w:rPr>
          <w:sz w:val="16"/>
          <w:szCs w:val="16"/>
        </w:rPr>
        <w:t xml:space="preserve">, A. A. Milov, </w:t>
      </w:r>
      <w:r w:rsidR="00221CDF" w:rsidRPr="009D7E70">
        <w:rPr>
          <w:i/>
          <w:iCs/>
          <w:sz w:val="16"/>
          <w:szCs w:val="16"/>
        </w:rPr>
        <w:t>High Energy Chem</w:t>
      </w:r>
      <w:r w:rsidR="00221CDF" w:rsidRPr="009D7E70">
        <w:rPr>
          <w:sz w:val="16"/>
          <w:szCs w:val="16"/>
        </w:rPr>
        <w:t xml:space="preserve">., </w:t>
      </w:r>
      <w:r w:rsidR="00221CDF" w:rsidRPr="009D7E70">
        <w:rPr>
          <w:b/>
          <w:bCs/>
          <w:sz w:val="16"/>
          <w:szCs w:val="16"/>
        </w:rPr>
        <w:t>2022</w:t>
      </w:r>
      <w:r w:rsidR="00221CDF" w:rsidRPr="009D7E70">
        <w:rPr>
          <w:sz w:val="16"/>
          <w:szCs w:val="16"/>
        </w:rPr>
        <w:t xml:space="preserve">, </w:t>
      </w:r>
      <w:r w:rsidR="00221CDF" w:rsidRPr="009D7E70">
        <w:rPr>
          <w:i/>
          <w:iCs/>
          <w:sz w:val="16"/>
          <w:szCs w:val="16"/>
        </w:rPr>
        <w:t>56</w:t>
      </w:r>
      <w:r w:rsidR="00221CDF" w:rsidRPr="009D7E70">
        <w:rPr>
          <w:sz w:val="16"/>
          <w:szCs w:val="16"/>
        </w:rPr>
        <w:t>, 70</w:t>
      </w:r>
      <w:r w:rsidR="001C0218" w:rsidRPr="009D7E70">
        <w:rPr>
          <w:sz w:val="16"/>
          <w:szCs w:val="16"/>
        </w:rPr>
        <w:t>–</w:t>
      </w:r>
      <w:r w:rsidR="00221CDF" w:rsidRPr="009D7E70">
        <w:rPr>
          <w:sz w:val="16"/>
          <w:szCs w:val="16"/>
        </w:rPr>
        <w:t>72. DOI: 10.1134/S0018143922010076</w:t>
      </w:r>
    </w:p>
    <w:p w:rsidR="00221CDF" w:rsidRPr="009D7E70" w:rsidRDefault="00702462" w:rsidP="00702462">
      <w:pPr>
        <w:pStyle w:val="References"/>
        <w:spacing w:line="264" w:lineRule="auto"/>
        <w:ind w:left="454" w:hanging="454"/>
        <w:rPr>
          <w:sz w:val="16"/>
          <w:szCs w:val="16"/>
        </w:rPr>
      </w:pPr>
      <w:r w:rsidRPr="009D7E70">
        <w:rPr>
          <w:sz w:val="16"/>
          <w:szCs w:val="16"/>
        </w:rPr>
        <w:t>11.</w:t>
      </w:r>
      <w:r w:rsidRPr="009D7E70">
        <w:rPr>
          <w:sz w:val="16"/>
          <w:szCs w:val="16"/>
        </w:rPr>
        <w:tab/>
      </w:r>
      <w:r w:rsidR="00221CDF" w:rsidRPr="009D7E70">
        <w:rPr>
          <w:sz w:val="16"/>
          <w:szCs w:val="16"/>
        </w:rPr>
        <w:t xml:space="preserve">M. J. Frisch, G. W. Trucks, H. B. Schlegel, </w:t>
      </w:r>
      <w:r w:rsidR="00B86726" w:rsidRPr="009D7E70">
        <w:rPr>
          <w:sz w:val="16"/>
          <w:szCs w:val="16"/>
        </w:rPr>
        <w:t xml:space="preserve">G. E. </w:t>
      </w:r>
      <w:proofErr w:type="spellStart"/>
      <w:r w:rsidR="00B86726" w:rsidRPr="009D7E70">
        <w:rPr>
          <w:sz w:val="16"/>
          <w:szCs w:val="16"/>
        </w:rPr>
        <w:t>Scuseria</w:t>
      </w:r>
      <w:proofErr w:type="spellEnd"/>
      <w:r w:rsidR="00B86726" w:rsidRPr="009D7E70">
        <w:rPr>
          <w:sz w:val="16"/>
          <w:szCs w:val="16"/>
        </w:rPr>
        <w:t xml:space="preserve">, M. A. Robb, J. R. Cheeseman, G. Scalmani, V. Barone, G. A. Petersson, H. </w:t>
      </w:r>
      <w:proofErr w:type="spellStart"/>
      <w:r w:rsidR="00B86726" w:rsidRPr="009D7E70">
        <w:rPr>
          <w:sz w:val="16"/>
          <w:szCs w:val="16"/>
        </w:rPr>
        <w:t>Nakatsuji</w:t>
      </w:r>
      <w:proofErr w:type="spellEnd"/>
      <w:r w:rsidR="00B86726" w:rsidRPr="009D7E70">
        <w:rPr>
          <w:sz w:val="16"/>
          <w:szCs w:val="16"/>
        </w:rPr>
        <w:t xml:space="preserve">, X. Li, M. Caricato, A. V. </w:t>
      </w:r>
      <w:proofErr w:type="spellStart"/>
      <w:r w:rsidR="00B86726" w:rsidRPr="009D7E70">
        <w:rPr>
          <w:sz w:val="16"/>
          <w:szCs w:val="16"/>
        </w:rPr>
        <w:t>Marenich</w:t>
      </w:r>
      <w:proofErr w:type="spellEnd"/>
      <w:r w:rsidR="00B86726" w:rsidRPr="009D7E70">
        <w:rPr>
          <w:sz w:val="16"/>
          <w:szCs w:val="16"/>
        </w:rPr>
        <w:t xml:space="preserve">, J. </w:t>
      </w:r>
      <w:proofErr w:type="spellStart"/>
      <w:r w:rsidR="00B86726" w:rsidRPr="009D7E70">
        <w:rPr>
          <w:sz w:val="16"/>
          <w:szCs w:val="16"/>
        </w:rPr>
        <w:t>Bloino</w:t>
      </w:r>
      <w:proofErr w:type="spellEnd"/>
      <w:r w:rsidR="00B86726" w:rsidRPr="009D7E70">
        <w:rPr>
          <w:sz w:val="16"/>
          <w:szCs w:val="16"/>
        </w:rPr>
        <w:t xml:space="preserve">, B. G. Janesko, R. Gomperts, B. </w:t>
      </w:r>
      <w:proofErr w:type="spellStart"/>
      <w:r w:rsidR="00B86726" w:rsidRPr="009D7E70">
        <w:rPr>
          <w:sz w:val="16"/>
          <w:szCs w:val="16"/>
        </w:rPr>
        <w:t>Mennucci</w:t>
      </w:r>
      <w:proofErr w:type="spellEnd"/>
      <w:r w:rsidR="00B86726" w:rsidRPr="009D7E70">
        <w:rPr>
          <w:sz w:val="16"/>
          <w:szCs w:val="16"/>
        </w:rPr>
        <w:t xml:space="preserve">, H. P. </w:t>
      </w:r>
      <w:proofErr w:type="spellStart"/>
      <w:r w:rsidR="00B86726" w:rsidRPr="009D7E70">
        <w:rPr>
          <w:sz w:val="16"/>
          <w:szCs w:val="16"/>
        </w:rPr>
        <w:t>Hratchian</w:t>
      </w:r>
      <w:proofErr w:type="spellEnd"/>
      <w:r w:rsidR="00B86726" w:rsidRPr="009D7E70">
        <w:rPr>
          <w:sz w:val="16"/>
          <w:szCs w:val="16"/>
        </w:rPr>
        <w:t xml:space="preserve">, J. V. Ortiz, A. F. Izmaylov, J. L. Sonnenberg, D. Williams-Young, F. Ding, F. Lipparini, F. Egidi, J. Goings, B. Peng, A. Petrone, T. Henderson, D. Ranasinghe, V. G. </w:t>
      </w:r>
      <w:r w:rsidR="001D7CA0" w:rsidRPr="009D7E70">
        <w:rPr>
          <w:sz w:val="16"/>
          <w:szCs w:val="16"/>
        </w:rPr>
        <w:br w:type="column"/>
      </w:r>
      <w:r w:rsidR="001D7CA0" w:rsidRPr="009D7E70">
        <w:rPr>
          <w:sz w:val="16"/>
          <w:szCs w:val="16"/>
        </w:rPr>
        <w:lastRenderedPageBreak/>
        <w:t xml:space="preserve">Zakrzewski, J. Gao, N. Rega, G. Zheng, W. Liang, M. Hada, M. Ehara, K. Toyota, R. Fukuda, J. Hasegawa, M. Ishida, T. Nakajima, Y. Honda, O. Kitao, H. Nakai, T. </w:t>
      </w:r>
      <w:proofErr w:type="spellStart"/>
      <w:r w:rsidR="001D7CA0" w:rsidRPr="009D7E70">
        <w:rPr>
          <w:sz w:val="16"/>
          <w:szCs w:val="16"/>
        </w:rPr>
        <w:t>Vreven</w:t>
      </w:r>
      <w:proofErr w:type="spellEnd"/>
      <w:r w:rsidR="001D7CA0" w:rsidRPr="009D7E70">
        <w:rPr>
          <w:sz w:val="16"/>
          <w:szCs w:val="16"/>
        </w:rPr>
        <w:t xml:space="preserve">, K. Throssell, J. A. Montgomery, Jr., J. E. Peralta, F. </w:t>
      </w:r>
      <w:proofErr w:type="spellStart"/>
      <w:r w:rsidR="001D7CA0" w:rsidRPr="009D7E70">
        <w:rPr>
          <w:sz w:val="16"/>
          <w:szCs w:val="16"/>
        </w:rPr>
        <w:t>Ogliaro</w:t>
      </w:r>
      <w:proofErr w:type="spellEnd"/>
      <w:r w:rsidR="001D7CA0" w:rsidRPr="009D7E70">
        <w:rPr>
          <w:sz w:val="16"/>
          <w:szCs w:val="16"/>
        </w:rPr>
        <w:t xml:space="preserve">, M. J. </w:t>
      </w:r>
      <w:r w:rsidR="00B86726" w:rsidRPr="009D7E70">
        <w:rPr>
          <w:sz w:val="16"/>
          <w:szCs w:val="16"/>
        </w:rPr>
        <w:t xml:space="preserve">Bearpark, J. J. Heyd, E. N. Brothers, K. N. Kudin, V. N. Staroverov, T. A. Keith, R. Kobayashi, J. Normand, K. </w:t>
      </w:r>
      <w:proofErr w:type="spellStart"/>
      <w:r w:rsidR="00B86726" w:rsidRPr="009D7E70">
        <w:rPr>
          <w:sz w:val="16"/>
          <w:szCs w:val="16"/>
        </w:rPr>
        <w:t>Raghavachari</w:t>
      </w:r>
      <w:proofErr w:type="spellEnd"/>
      <w:r w:rsidR="00B86726" w:rsidRPr="009D7E70">
        <w:rPr>
          <w:sz w:val="16"/>
          <w:szCs w:val="16"/>
        </w:rPr>
        <w:t xml:space="preserve">, A. P. Rendell, J. C. Burant, S. S. Iyengar, J. Tomasi, M. Cossi, J. M. Millam, M. Klene, C. Adamo, R. Cammi, J. W. </w:t>
      </w:r>
      <w:proofErr w:type="spellStart"/>
      <w:r w:rsidR="00B86726" w:rsidRPr="009D7E70">
        <w:rPr>
          <w:sz w:val="16"/>
          <w:szCs w:val="16"/>
        </w:rPr>
        <w:t>Ochterski</w:t>
      </w:r>
      <w:proofErr w:type="spellEnd"/>
      <w:r w:rsidR="00B86726" w:rsidRPr="009D7E70">
        <w:rPr>
          <w:sz w:val="16"/>
          <w:szCs w:val="16"/>
        </w:rPr>
        <w:t xml:space="preserve">, R. L. Martin, K. </w:t>
      </w:r>
      <w:proofErr w:type="spellStart"/>
      <w:r w:rsidR="00B86726" w:rsidRPr="009D7E70">
        <w:rPr>
          <w:sz w:val="16"/>
          <w:szCs w:val="16"/>
        </w:rPr>
        <w:t>Morokuma</w:t>
      </w:r>
      <w:proofErr w:type="spellEnd"/>
      <w:r w:rsidR="00B86726" w:rsidRPr="009D7E70">
        <w:rPr>
          <w:sz w:val="16"/>
          <w:szCs w:val="16"/>
        </w:rPr>
        <w:t>, O. Farkas, J. B. Foresman, D. J. Fox</w:t>
      </w:r>
      <w:r w:rsidR="00221CDF" w:rsidRPr="009D7E70">
        <w:rPr>
          <w:sz w:val="16"/>
          <w:szCs w:val="16"/>
        </w:rPr>
        <w:t xml:space="preserve">, GAUSSIAN 16, Revision C.01, Gaussian Inc., Wallingford CT, </w:t>
      </w:r>
      <w:r w:rsidR="00221CDF" w:rsidRPr="009D7E70">
        <w:rPr>
          <w:b/>
          <w:bCs/>
          <w:sz w:val="16"/>
          <w:szCs w:val="16"/>
        </w:rPr>
        <w:t>2016</w:t>
      </w:r>
      <w:r w:rsidR="00221CDF" w:rsidRPr="009D7E70">
        <w:rPr>
          <w:sz w:val="16"/>
          <w:szCs w:val="16"/>
        </w:rPr>
        <w:t>.</w:t>
      </w:r>
    </w:p>
    <w:p w:rsidR="00221CDF" w:rsidRPr="009D7E70" w:rsidRDefault="00702462" w:rsidP="00702462">
      <w:pPr>
        <w:pStyle w:val="References"/>
        <w:spacing w:line="264" w:lineRule="auto"/>
        <w:ind w:left="454" w:hanging="454"/>
        <w:rPr>
          <w:sz w:val="16"/>
          <w:szCs w:val="16"/>
        </w:rPr>
      </w:pPr>
      <w:r w:rsidRPr="009D7E70">
        <w:rPr>
          <w:sz w:val="16"/>
          <w:szCs w:val="16"/>
        </w:rPr>
        <w:t>12.</w:t>
      </w:r>
      <w:r w:rsidRPr="009D7E70">
        <w:rPr>
          <w:sz w:val="16"/>
          <w:szCs w:val="16"/>
        </w:rPr>
        <w:tab/>
      </w:r>
      <w:r w:rsidR="00221CDF" w:rsidRPr="009D7E70">
        <w:rPr>
          <w:sz w:val="16"/>
          <w:szCs w:val="16"/>
        </w:rPr>
        <w:t xml:space="preserve">R. S. Mulliken, </w:t>
      </w:r>
      <w:r w:rsidR="00221CDF" w:rsidRPr="009D7E70">
        <w:rPr>
          <w:i/>
          <w:iCs/>
          <w:sz w:val="16"/>
          <w:szCs w:val="16"/>
        </w:rPr>
        <w:t>J. Chem. Phys</w:t>
      </w:r>
      <w:r w:rsidR="00221CDF" w:rsidRPr="009D7E70">
        <w:rPr>
          <w:sz w:val="16"/>
          <w:szCs w:val="16"/>
        </w:rPr>
        <w:t xml:space="preserve">., </w:t>
      </w:r>
      <w:r w:rsidR="00221CDF" w:rsidRPr="009D7E70">
        <w:rPr>
          <w:b/>
          <w:bCs/>
          <w:sz w:val="16"/>
          <w:szCs w:val="16"/>
        </w:rPr>
        <w:t>1955</w:t>
      </w:r>
      <w:r w:rsidR="00221CDF" w:rsidRPr="009D7E70">
        <w:rPr>
          <w:sz w:val="16"/>
          <w:szCs w:val="16"/>
        </w:rPr>
        <w:t xml:space="preserve">, </w:t>
      </w:r>
      <w:r w:rsidR="00221CDF" w:rsidRPr="009D7E70">
        <w:rPr>
          <w:i/>
          <w:iCs/>
          <w:sz w:val="16"/>
          <w:szCs w:val="16"/>
        </w:rPr>
        <w:t>23</w:t>
      </w:r>
      <w:r w:rsidR="00221CDF" w:rsidRPr="009D7E70">
        <w:rPr>
          <w:sz w:val="16"/>
          <w:szCs w:val="16"/>
        </w:rPr>
        <w:t>, 1833</w:t>
      </w:r>
      <w:r w:rsidR="004C3B52" w:rsidRPr="009D7E70">
        <w:rPr>
          <w:sz w:val="16"/>
          <w:szCs w:val="16"/>
        </w:rPr>
        <w:t>–</w:t>
      </w:r>
      <w:r w:rsidR="00221CDF" w:rsidRPr="009D7E70">
        <w:rPr>
          <w:sz w:val="16"/>
          <w:szCs w:val="16"/>
        </w:rPr>
        <w:t>1840. DOI: 10.1063/1.1740588</w:t>
      </w:r>
    </w:p>
    <w:p w:rsidR="00221CDF" w:rsidRPr="009D7E70" w:rsidRDefault="00702462" w:rsidP="00702462">
      <w:pPr>
        <w:pStyle w:val="References"/>
        <w:spacing w:line="264" w:lineRule="auto"/>
        <w:ind w:left="454" w:hanging="454"/>
        <w:rPr>
          <w:sz w:val="16"/>
          <w:szCs w:val="16"/>
        </w:rPr>
      </w:pPr>
      <w:r w:rsidRPr="009D7E70">
        <w:rPr>
          <w:sz w:val="16"/>
          <w:szCs w:val="16"/>
        </w:rPr>
        <w:t>13.</w:t>
      </w:r>
      <w:r w:rsidRPr="009D7E70">
        <w:rPr>
          <w:sz w:val="16"/>
          <w:szCs w:val="16"/>
        </w:rPr>
        <w:tab/>
      </w:r>
      <w:r w:rsidR="00221CDF" w:rsidRPr="009D7E70">
        <w:rPr>
          <w:sz w:val="16"/>
          <w:szCs w:val="16"/>
        </w:rPr>
        <w:t xml:space="preserve">F. Weinhold, C. R. Landis, E. D. Glendening, </w:t>
      </w:r>
      <w:r w:rsidR="00221CDF" w:rsidRPr="009D7E70">
        <w:rPr>
          <w:i/>
          <w:iCs/>
          <w:sz w:val="16"/>
          <w:szCs w:val="16"/>
        </w:rPr>
        <w:t>Int. Rev. Phys. Chem</w:t>
      </w:r>
      <w:r w:rsidR="00221CDF" w:rsidRPr="009D7E70">
        <w:rPr>
          <w:sz w:val="16"/>
          <w:szCs w:val="16"/>
        </w:rPr>
        <w:t xml:space="preserve">., </w:t>
      </w:r>
      <w:r w:rsidR="00221CDF" w:rsidRPr="009D7E70">
        <w:rPr>
          <w:b/>
          <w:bCs/>
          <w:sz w:val="16"/>
          <w:szCs w:val="16"/>
        </w:rPr>
        <w:t>2016</w:t>
      </w:r>
      <w:r w:rsidR="00221CDF" w:rsidRPr="009D7E70">
        <w:rPr>
          <w:sz w:val="16"/>
          <w:szCs w:val="16"/>
        </w:rPr>
        <w:t xml:space="preserve">, </w:t>
      </w:r>
      <w:r w:rsidR="00221CDF" w:rsidRPr="009D7E70">
        <w:rPr>
          <w:i/>
          <w:iCs/>
          <w:sz w:val="16"/>
          <w:szCs w:val="16"/>
        </w:rPr>
        <w:t>35</w:t>
      </w:r>
      <w:r w:rsidR="00221CDF" w:rsidRPr="009D7E70">
        <w:rPr>
          <w:sz w:val="16"/>
          <w:szCs w:val="16"/>
        </w:rPr>
        <w:t>, 399</w:t>
      </w:r>
      <w:r w:rsidR="00B86726" w:rsidRPr="009D7E70">
        <w:rPr>
          <w:sz w:val="16"/>
          <w:szCs w:val="16"/>
        </w:rPr>
        <w:t>–</w:t>
      </w:r>
      <w:r w:rsidR="00221CDF" w:rsidRPr="009D7E70">
        <w:rPr>
          <w:sz w:val="16"/>
          <w:szCs w:val="16"/>
        </w:rPr>
        <w:t>440. DOI: 10.1080/0144235X.2016.1192262</w:t>
      </w:r>
    </w:p>
    <w:p w:rsidR="00221CDF" w:rsidRPr="009D7E70" w:rsidRDefault="00702462" w:rsidP="00702462">
      <w:pPr>
        <w:pStyle w:val="References"/>
        <w:spacing w:line="264" w:lineRule="auto"/>
        <w:ind w:left="454" w:hanging="454"/>
        <w:rPr>
          <w:sz w:val="16"/>
          <w:szCs w:val="16"/>
        </w:rPr>
      </w:pPr>
      <w:r w:rsidRPr="009D7E70">
        <w:rPr>
          <w:sz w:val="16"/>
          <w:szCs w:val="16"/>
        </w:rPr>
        <w:t>14.</w:t>
      </w:r>
      <w:r w:rsidRPr="009D7E70">
        <w:rPr>
          <w:sz w:val="16"/>
          <w:szCs w:val="16"/>
        </w:rPr>
        <w:tab/>
      </w:r>
      <w:r w:rsidR="00221CDF" w:rsidRPr="009D7E70">
        <w:rPr>
          <w:sz w:val="16"/>
          <w:szCs w:val="16"/>
        </w:rPr>
        <w:t xml:space="preserve">S. C. North, K. R. Jorgensen, J. </w:t>
      </w:r>
      <w:proofErr w:type="spellStart"/>
      <w:r w:rsidR="00221CDF" w:rsidRPr="009D7E70">
        <w:rPr>
          <w:sz w:val="16"/>
          <w:szCs w:val="16"/>
        </w:rPr>
        <w:t>Pricetolstoy</w:t>
      </w:r>
      <w:proofErr w:type="spellEnd"/>
      <w:r w:rsidR="00221CDF" w:rsidRPr="009D7E70">
        <w:rPr>
          <w:sz w:val="16"/>
          <w:szCs w:val="16"/>
        </w:rPr>
        <w:t xml:space="preserve">, A. K. Wilson, </w:t>
      </w:r>
      <w:r w:rsidR="00221CDF" w:rsidRPr="009D7E70">
        <w:rPr>
          <w:i/>
          <w:sz w:val="16"/>
          <w:szCs w:val="16"/>
        </w:rPr>
        <w:t>Front. Chem</w:t>
      </w:r>
      <w:r w:rsidR="00221CDF" w:rsidRPr="009D7E70">
        <w:rPr>
          <w:sz w:val="16"/>
          <w:szCs w:val="16"/>
        </w:rPr>
        <w:t xml:space="preserve">., </w:t>
      </w:r>
      <w:r w:rsidR="00221CDF" w:rsidRPr="009D7E70">
        <w:rPr>
          <w:b/>
          <w:sz w:val="16"/>
          <w:szCs w:val="16"/>
        </w:rPr>
        <w:t>2023</w:t>
      </w:r>
      <w:r w:rsidR="00221CDF" w:rsidRPr="009D7E70">
        <w:rPr>
          <w:sz w:val="16"/>
          <w:szCs w:val="16"/>
        </w:rPr>
        <w:t xml:space="preserve">, </w:t>
      </w:r>
      <w:r w:rsidR="00221CDF" w:rsidRPr="009D7E70">
        <w:rPr>
          <w:i/>
          <w:sz w:val="16"/>
          <w:szCs w:val="16"/>
        </w:rPr>
        <w:t>11</w:t>
      </w:r>
      <w:r w:rsidR="00221CDF" w:rsidRPr="009D7E70">
        <w:rPr>
          <w:sz w:val="16"/>
          <w:szCs w:val="16"/>
        </w:rPr>
        <w:t>, 1152500. DOI: 10.3389/fchem.2023.1152500</w:t>
      </w:r>
    </w:p>
    <w:p w:rsidR="00702462" w:rsidRPr="009D7E70" w:rsidRDefault="00702462" w:rsidP="00702462">
      <w:pPr>
        <w:pStyle w:val="References"/>
        <w:spacing w:line="264" w:lineRule="auto"/>
        <w:ind w:left="14" w:firstLine="0"/>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702462" w:rsidRPr="003A13B7" w:rsidTr="00FD6F2E">
        <w:trPr>
          <w:jc w:val="right"/>
        </w:trPr>
        <w:tc>
          <w:tcPr>
            <w:tcW w:w="3255" w:type="dxa"/>
            <w:vAlign w:val="center"/>
          </w:tcPr>
          <w:p w:rsidR="00702462" w:rsidRPr="009D7E70" w:rsidRDefault="00702462" w:rsidP="00FD6F2E">
            <w:pPr>
              <w:jc w:val="center"/>
              <w:rPr>
                <w:rFonts w:ascii="Arial" w:hAnsi="Arial" w:cs="Arial"/>
                <w:color w:val="263238"/>
                <w:shd w:val="clear" w:color="auto" w:fill="FFFFFF"/>
                <w:lang w:val="en-US"/>
              </w:rPr>
            </w:pPr>
            <w:r w:rsidRPr="009D7E70">
              <w:rPr>
                <w:rFonts w:ascii="Times New Roman" w:hAnsi="Times New Roman" w:cs="Times New Roman"/>
                <w:b/>
                <w:bCs/>
                <w:sz w:val="16"/>
                <w:szCs w:val="16"/>
                <w:lang w:val="it-IT"/>
              </w:rPr>
              <w:br w:type="column"/>
            </w:r>
            <w:r w:rsidRPr="009D7E70">
              <w:rPr>
                <w:sz w:val="16"/>
                <w:szCs w:val="16"/>
                <w:lang w:val="en-US"/>
              </w:rPr>
              <w:t>This article is licensed under a Creative Commons Attribution-</w:t>
            </w:r>
            <w:proofErr w:type="spellStart"/>
            <w:r w:rsidRPr="009D7E70">
              <w:rPr>
                <w:sz w:val="16"/>
                <w:szCs w:val="16"/>
                <w:lang w:val="en-US"/>
              </w:rPr>
              <w:t>NonCommercial</w:t>
            </w:r>
            <w:proofErr w:type="spellEnd"/>
            <w:r w:rsidRPr="009D7E70">
              <w:rPr>
                <w:sz w:val="16"/>
                <w:szCs w:val="16"/>
                <w:lang w:val="en-US"/>
              </w:rPr>
              <w:t xml:space="preserve"> 4.0 International License.</w:t>
            </w:r>
          </w:p>
        </w:tc>
        <w:tc>
          <w:tcPr>
            <w:tcW w:w="1236" w:type="dxa"/>
            <w:vAlign w:val="center"/>
          </w:tcPr>
          <w:p w:rsidR="00702462" w:rsidRPr="003A13B7" w:rsidRDefault="00702462" w:rsidP="00FD6F2E">
            <w:pPr>
              <w:autoSpaceDE w:val="0"/>
              <w:autoSpaceDN w:val="0"/>
              <w:adjustRightInd w:val="0"/>
              <w:jc w:val="center"/>
              <w:rPr>
                <w:rFonts w:ascii="Arial" w:hAnsi="Arial" w:cs="Arial"/>
                <w:color w:val="263238"/>
                <w:sz w:val="18"/>
                <w:szCs w:val="18"/>
                <w:shd w:val="clear" w:color="auto" w:fill="FFFFFF"/>
                <w:lang w:val="en-US"/>
              </w:rPr>
            </w:pPr>
            <w:r w:rsidRPr="009D7E70">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4"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166162" w:rsidRPr="007A3351" w:rsidRDefault="00166162" w:rsidP="00221CDF">
      <w:pPr>
        <w:pStyle w:val="References"/>
        <w:spacing w:line="264" w:lineRule="auto"/>
      </w:pPr>
    </w:p>
    <w:sectPr w:rsidR="00166162"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622" w:rsidRDefault="00064622" w:rsidP="00427E5A">
      <w:pPr>
        <w:spacing w:after="0" w:line="240" w:lineRule="auto"/>
      </w:pPr>
      <w:r>
        <w:separator/>
      </w:r>
    </w:p>
    <w:p w:rsidR="00064622" w:rsidRDefault="00064622"/>
  </w:endnote>
  <w:endnote w:type="continuationSeparator" w:id="0">
    <w:p w:rsidR="00064622" w:rsidRDefault="00064622" w:rsidP="00427E5A">
      <w:pPr>
        <w:spacing w:after="0" w:line="240" w:lineRule="auto"/>
      </w:pPr>
      <w:r>
        <w:continuationSeparator/>
      </w:r>
    </w:p>
    <w:p w:rsidR="00064622" w:rsidRDefault="000646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B86726" w:rsidP="007A3351">
    <w:pPr>
      <w:pStyle w:val="af"/>
      <w:jc w:val="center"/>
      <w:rPr>
        <w:rStyle w:val="MainText0"/>
        <w:i/>
      </w:rPr>
    </w:pPr>
    <w:r>
      <w:rPr>
        <w:rStyle w:val="MainText0"/>
      </w:rPr>
      <w:t>G. V. Loukova and A. A. Milov</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4D5F0D">
      <w:rPr>
        <w:rStyle w:val="MainText0"/>
      </w:rPr>
      <w:t>90</w:t>
    </w:r>
    <w:r w:rsidR="00DF4999">
      <w:rPr>
        <w:rStyle w:val="MainText0"/>
      </w:rPr>
      <w:t>–</w:t>
    </w:r>
    <w:r w:rsidR="004D5F0D">
      <w:rPr>
        <w:rStyle w:val="MainText0"/>
      </w:rPr>
      <w:t>92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622" w:rsidRDefault="00064622" w:rsidP="00427E5A">
      <w:pPr>
        <w:spacing w:after="0" w:line="240" w:lineRule="auto"/>
      </w:pPr>
      <w:r>
        <w:separator/>
      </w:r>
    </w:p>
    <w:p w:rsidR="00064622" w:rsidRDefault="00064622"/>
  </w:footnote>
  <w:footnote w:type="continuationSeparator" w:id="0">
    <w:p w:rsidR="00064622" w:rsidRDefault="00064622" w:rsidP="00427E5A">
      <w:pPr>
        <w:spacing w:after="0" w:line="240" w:lineRule="auto"/>
      </w:pPr>
      <w:r>
        <w:continuationSeparator/>
      </w:r>
    </w:p>
    <w:p w:rsidR="00064622" w:rsidRDefault="000646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4C0CFE"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4C0CFE" w:rsidRPr="001E7945">
          <w:rPr>
            <w:rFonts w:ascii="Times New Roman" w:hAnsi="Times New Roman" w:cs="Times New Roman"/>
            <w:i/>
          </w:rPr>
          <w:fldChar w:fldCharType="separate"/>
        </w:r>
        <w:r w:rsidR="00CA2A14">
          <w:rPr>
            <w:rFonts w:ascii="Times New Roman" w:hAnsi="Times New Roman" w:cs="Times New Roman"/>
            <w:i/>
            <w:noProof/>
            <w:lang w:val="en-US"/>
          </w:rPr>
          <w:t>90</w:t>
        </w:r>
        <w:r w:rsidR="004C0CFE"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63F67"/>
    <w:rsid w:val="00064622"/>
    <w:rsid w:val="00067EC7"/>
    <w:rsid w:val="00071D12"/>
    <w:rsid w:val="00080691"/>
    <w:rsid w:val="0008088D"/>
    <w:rsid w:val="000B5E27"/>
    <w:rsid w:val="000E1B06"/>
    <w:rsid w:val="00161894"/>
    <w:rsid w:val="00166162"/>
    <w:rsid w:val="001B0919"/>
    <w:rsid w:val="001B6750"/>
    <w:rsid w:val="001C0218"/>
    <w:rsid w:val="001D1401"/>
    <w:rsid w:val="001D7CA0"/>
    <w:rsid w:val="001E7945"/>
    <w:rsid w:val="00221CDF"/>
    <w:rsid w:val="002500A5"/>
    <w:rsid w:val="002D6411"/>
    <w:rsid w:val="0031578F"/>
    <w:rsid w:val="00321C31"/>
    <w:rsid w:val="0035086C"/>
    <w:rsid w:val="00382850"/>
    <w:rsid w:val="003B067D"/>
    <w:rsid w:val="003E2893"/>
    <w:rsid w:val="004161B4"/>
    <w:rsid w:val="00427E5A"/>
    <w:rsid w:val="00436D4B"/>
    <w:rsid w:val="00440577"/>
    <w:rsid w:val="00463737"/>
    <w:rsid w:val="004A44BC"/>
    <w:rsid w:val="004A5676"/>
    <w:rsid w:val="004A749D"/>
    <w:rsid w:val="004C0411"/>
    <w:rsid w:val="004C0CFE"/>
    <w:rsid w:val="004C3B52"/>
    <w:rsid w:val="004D5F0D"/>
    <w:rsid w:val="00502985"/>
    <w:rsid w:val="00524995"/>
    <w:rsid w:val="00533D73"/>
    <w:rsid w:val="00534762"/>
    <w:rsid w:val="005B3619"/>
    <w:rsid w:val="005C7369"/>
    <w:rsid w:val="005E76C3"/>
    <w:rsid w:val="005F64BD"/>
    <w:rsid w:val="00614FE4"/>
    <w:rsid w:val="00622DF1"/>
    <w:rsid w:val="0065245B"/>
    <w:rsid w:val="00683408"/>
    <w:rsid w:val="006A0974"/>
    <w:rsid w:val="006B335A"/>
    <w:rsid w:val="006E0C73"/>
    <w:rsid w:val="00702462"/>
    <w:rsid w:val="00706F05"/>
    <w:rsid w:val="0072037E"/>
    <w:rsid w:val="007516EA"/>
    <w:rsid w:val="007A3351"/>
    <w:rsid w:val="007B0BB9"/>
    <w:rsid w:val="007D3F5F"/>
    <w:rsid w:val="008114FB"/>
    <w:rsid w:val="00820A77"/>
    <w:rsid w:val="00842E5C"/>
    <w:rsid w:val="008622A1"/>
    <w:rsid w:val="00863A30"/>
    <w:rsid w:val="0086496E"/>
    <w:rsid w:val="00875175"/>
    <w:rsid w:val="0089304F"/>
    <w:rsid w:val="00894EE2"/>
    <w:rsid w:val="008A02BF"/>
    <w:rsid w:val="008A6A35"/>
    <w:rsid w:val="008C6630"/>
    <w:rsid w:val="008C68C0"/>
    <w:rsid w:val="008D2BCF"/>
    <w:rsid w:val="008E062B"/>
    <w:rsid w:val="008F0DAC"/>
    <w:rsid w:val="00904B7F"/>
    <w:rsid w:val="00916E1F"/>
    <w:rsid w:val="00930DA8"/>
    <w:rsid w:val="00941004"/>
    <w:rsid w:val="009667F3"/>
    <w:rsid w:val="009A6DAE"/>
    <w:rsid w:val="009B1ECD"/>
    <w:rsid w:val="009D7E70"/>
    <w:rsid w:val="00A231BA"/>
    <w:rsid w:val="00A6442F"/>
    <w:rsid w:val="00A74423"/>
    <w:rsid w:val="00A76F33"/>
    <w:rsid w:val="00B00D30"/>
    <w:rsid w:val="00B23601"/>
    <w:rsid w:val="00B5202A"/>
    <w:rsid w:val="00B55AC3"/>
    <w:rsid w:val="00B72C38"/>
    <w:rsid w:val="00B86726"/>
    <w:rsid w:val="00BB1D07"/>
    <w:rsid w:val="00BB7DFD"/>
    <w:rsid w:val="00BE4FEF"/>
    <w:rsid w:val="00C242FA"/>
    <w:rsid w:val="00C25E43"/>
    <w:rsid w:val="00CA2A14"/>
    <w:rsid w:val="00CA605E"/>
    <w:rsid w:val="00CD128C"/>
    <w:rsid w:val="00CD6FAC"/>
    <w:rsid w:val="00D33D37"/>
    <w:rsid w:val="00D36C9F"/>
    <w:rsid w:val="00D71473"/>
    <w:rsid w:val="00DA0A72"/>
    <w:rsid w:val="00DB2229"/>
    <w:rsid w:val="00DF1FCB"/>
    <w:rsid w:val="00DF4999"/>
    <w:rsid w:val="00E60451"/>
    <w:rsid w:val="00E76E65"/>
    <w:rsid w:val="00E81EDE"/>
    <w:rsid w:val="00E95346"/>
    <w:rsid w:val="00EA6C3B"/>
    <w:rsid w:val="00EB2FCC"/>
    <w:rsid w:val="00EE0429"/>
    <w:rsid w:val="00EE4066"/>
    <w:rsid w:val="00EF625A"/>
    <w:rsid w:val="00F376FB"/>
    <w:rsid w:val="00F44BBC"/>
    <w:rsid w:val="00F542E1"/>
    <w:rsid w:val="00F6796A"/>
    <w:rsid w:val="00F821D3"/>
    <w:rsid w:val="00F86864"/>
    <w:rsid w:val="00F90A88"/>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70246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D71BD-BD9A-4960-8AD3-EAF0FD37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1752</Words>
  <Characters>9988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User</cp:lastModifiedBy>
  <cp:revision>42</cp:revision>
  <dcterms:created xsi:type="dcterms:W3CDTF">2018-09-10T13:23:00Z</dcterms:created>
  <dcterms:modified xsi:type="dcterms:W3CDTF">2025-07-28T14:28:00Z</dcterms:modified>
</cp:coreProperties>
</file>