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46"/>
        <w:gridCol w:w="2477"/>
        <w:gridCol w:w="4720"/>
      </w:tblGrid>
      <w:tr w:rsidR="008622A1" w:rsidRPr="009017D1" w:rsidTr="00774E6C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2E73AE">
            <w:pPr>
              <w:pStyle w:val="MainText"/>
              <w:spacing w:after="60"/>
              <w:ind w:firstLine="6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774E6C" w:rsidP="005B113D">
            <w:pPr>
              <w:pStyle w:val="11"/>
            </w:pPr>
            <w:r>
              <w:t>Synthesis and properties</w:t>
            </w:r>
            <w:r w:rsidRPr="002E20F1">
              <w:t xml:space="preserve"> of n</w:t>
            </w:r>
            <w:r>
              <w:t>OVEL</w:t>
            </w:r>
            <w:r w:rsidR="005B113D">
              <w:br/>
            </w:r>
            <w:r>
              <w:t xml:space="preserve">arylamine </w:t>
            </w:r>
            <w:r w:rsidRPr="002E20F1">
              <w:t>derivatives</w:t>
            </w:r>
            <w:r w:rsidR="005B113D">
              <w:t xml:space="preserve"> oF</w:t>
            </w:r>
            <w:r w:rsidR="005B113D">
              <w:br/>
            </w:r>
            <w:r w:rsidRPr="006E10F1">
              <w:t>benzothieno[3,2-</w:t>
            </w:r>
            <w:r w:rsidR="005B113D" w:rsidRPr="005B113D">
              <w:rPr>
                <w:caps w:val="0"/>
              </w:rPr>
              <w:t>b</w:t>
            </w:r>
            <w:r w:rsidRPr="006E10F1">
              <w:t>][1]benzothiophene</w:t>
            </w:r>
          </w:p>
        </w:tc>
      </w:tr>
      <w:tr w:rsidR="00D71473" w:rsidRPr="009017D1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A37706">
              <w:rPr>
                <w:b/>
              </w:rPr>
              <w:t>25</w:t>
            </w:r>
            <w:r w:rsidRPr="00941F8C">
              <w:t xml:space="preserve">, </w:t>
            </w:r>
            <w:r w:rsidR="00A37706">
              <w:rPr>
                <w:i/>
                <w:iCs/>
              </w:rPr>
              <w:t>8</w:t>
            </w:r>
            <w:r w:rsidR="00EB02F1">
              <w:rPr>
                <w:i/>
                <w:iCs/>
              </w:rPr>
              <w:t xml:space="preserve"> </w:t>
            </w:r>
            <w:r w:rsidR="00A37706">
              <w:rPr>
                <w:i/>
                <w:iCs/>
              </w:rPr>
              <w:t>(1–3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A37706">
              <w:rPr>
                <w:i/>
                <w:szCs w:val="14"/>
                <w:highlight w:val="green"/>
              </w:rPr>
              <w:t xml:space="preserve">Received </w:t>
            </w:r>
            <w:r w:rsidR="008E062B" w:rsidRPr="00A37706">
              <w:rPr>
                <w:i/>
                <w:szCs w:val="14"/>
                <w:highlight w:val="green"/>
              </w:rPr>
              <w:t>XX</w:t>
            </w:r>
            <w:r w:rsidRPr="00A37706">
              <w:rPr>
                <w:i/>
                <w:szCs w:val="14"/>
                <w:highlight w:val="green"/>
              </w:rPr>
              <w:t xml:space="preserve"> </w:t>
            </w:r>
            <w:r w:rsidR="008E062B" w:rsidRPr="00A37706">
              <w:rPr>
                <w:i/>
                <w:szCs w:val="14"/>
                <w:highlight w:val="green"/>
              </w:rPr>
              <w:t>Month</w:t>
            </w:r>
            <w:r w:rsidRPr="00A37706">
              <w:rPr>
                <w:i/>
                <w:szCs w:val="14"/>
                <w:highlight w:val="green"/>
              </w:rPr>
              <w:t xml:space="preserve"> 2</w:t>
            </w:r>
            <w:r w:rsidR="008E062B" w:rsidRPr="00A37706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A37706">
              <w:rPr>
                <w:i/>
                <w:szCs w:val="14"/>
              </w:rPr>
              <w:t xml:space="preserve">15 February </w:t>
            </w:r>
            <w:r w:rsidR="008E062B">
              <w:rPr>
                <w:i/>
                <w:szCs w:val="14"/>
              </w:rPr>
              <w:t>20</w:t>
            </w:r>
            <w:r w:rsidR="00A37706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774E6C" w:rsidRDefault="00774E6C" w:rsidP="00774E6C">
            <w:pPr>
              <w:pStyle w:val="AuthorNames"/>
              <w:ind w:left="0"/>
              <w:contextualSpacing w:val="0"/>
            </w:pPr>
            <w:r>
              <w:t>E. A. Bobrova,</w:t>
            </w:r>
            <w:r w:rsidRPr="00774E6C">
              <w:rPr>
                <w:i/>
                <w:vertAlign w:val="superscript"/>
              </w:rPr>
              <w:t>a,b</w:t>
            </w:r>
            <w:r>
              <w:t xml:space="preserve"> </w:t>
            </w:r>
            <w:r w:rsidRPr="002E20F1">
              <w:t>O.</w:t>
            </w:r>
            <w:r>
              <w:t xml:space="preserve"> </w:t>
            </w:r>
            <w:r w:rsidRPr="002E20F1">
              <w:t>V. Borshchev</w:t>
            </w:r>
            <w:r>
              <w:t>,*</w:t>
            </w:r>
            <w:r w:rsidRPr="00774E6C">
              <w:rPr>
                <w:i/>
                <w:vertAlign w:val="superscript"/>
              </w:rPr>
              <w:t>a</w:t>
            </w:r>
            <w:r w:rsidRPr="00D71473">
              <w:t xml:space="preserve"> </w:t>
            </w:r>
            <w:r w:rsidRPr="00C20EA2">
              <w:t>N.</w:t>
            </w:r>
            <w:r>
              <w:t xml:space="preserve"> </w:t>
            </w:r>
            <w:r w:rsidRPr="00C20EA2">
              <w:t>M. Surin</w:t>
            </w:r>
            <w:r>
              <w:t>,</w:t>
            </w:r>
            <w:r w:rsidRPr="00774E6C">
              <w:rPr>
                <w:i/>
                <w:vertAlign w:val="superscript"/>
              </w:rPr>
              <w:t>a</w:t>
            </w:r>
            <w:r w:rsidRPr="00D71473">
              <w:t xml:space="preserve"> </w:t>
            </w:r>
            <w:r>
              <w:t xml:space="preserve">and </w:t>
            </w:r>
            <w:r w:rsidRPr="002E20F1">
              <w:t>S.</w:t>
            </w:r>
            <w:r>
              <w:t xml:space="preserve"> </w:t>
            </w:r>
            <w:r w:rsidRPr="002E20F1">
              <w:t>A. Ponomarenko</w:t>
            </w:r>
            <w:r w:rsidRPr="00774E6C">
              <w:rPr>
                <w:i/>
                <w:vertAlign w:val="superscript"/>
              </w:rPr>
              <w:t>a</w:t>
            </w:r>
          </w:p>
        </w:tc>
      </w:tr>
      <w:tr w:rsidR="00D71473" w:rsidRPr="009017D1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774E6C" w:rsidRDefault="00774E6C" w:rsidP="00774E6C">
            <w:pPr>
              <w:pStyle w:val="Affiliations"/>
              <w:ind w:left="0"/>
              <w:rPr>
                <w:rFonts w:cs="Times New Roman"/>
              </w:rPr>
            </w:pPr>
            <w:r>
              <w:rPr>
                <w:rFonts w:cs="Times New Roman"/>
                <w:vertAlign w:val="superscript"/>
                <w:lang w:val="en-US"/>
              </w:rPr>
              <w:t>a</w:t>
            </w:r>
            <w:r w:rsidRPr="00774E6C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B02F1" w:rsidRPr="00EB02F1">
              <w:rPr>
                <w:rFonts w:cs="Times New Roman"/>
                <w:iCs/>
                <w:lang w:val="en-US"/>
              </w:rPr>
              <w:t>Enikolopov</w:t>
            </w:r>
            <w:proofErr w:type="spellEnd"/>
            <w:r w:rsidR="00EB02F1" w:rsidRPr="00EB02F1">
              <w:rPr>
                <w:rFonts w:cs="Times New Roman"/>
                <w:iCs/>
                <w:lang w:val="en-US"/>
              </w:rPr>
              <w:t xml:space="preserve"> Institute of Synthetic Polymeric Materials, Russian Academy of Sciences, ul. </w:t>
            </w:r>
            <w:proofErr w:type="spellStart"/>
            <w:r w:rsidR="00EB02F1" w:rsidRPr="00EB02F1">
              <w:rPr>
                <w:rFonts w:cs="Times New Roman"/>
                <w:iCs/>
                <w:lang w:val="en-US"/>
              </w:rPr>
              <w:t>Profsoyuznaya</w:t>
            </w:r>
            <w:proofErr w:type="spellEnd"/>
            <w:r w:rsidR="00EB02F1" w:rsidRPr="00EB02F1">
              <w:rPr>
                <w:rFonts w:cs="Times New Roman"/>
                <w:iCs/>
                <w:lang w:val="en-US"/>
              </w:rPr>
              <w:t xml:space="preserve"> 70, Moscow, 117393 Russia</w:t>
            </w:r>
          </w:p>
          <w:p w:rsidR="00774E6C" w:rsidRPr="00EB02F1" w:rsidRDefault="00774E6C" w:rsidP="00774E6C">
            <w:pPr>
              <w:pStyle w:val="Affiliations"/>
              <w:ind w:left="0"/>
              <w:rPr>
                <w:lang w:val="en-US"/>
              </w:rPr>
            </w:pPr>
            <w:r>
              <w:rPr>
                <w:rFonts w:cs="Times New Roman"/>
                <w:vertAlign w:val="superscript"/>
              </w:rPr>
              <w:t>b</w:t>
            </w:r>
            <w:r w:rsidRPr="00774E6C">
              <w:rPr>
                <w:rFonts w:cs="Times New Roman"/>
              </w:rPr>
              <w:t xml:space="preserve"> </w:t>
            </w:r>
            <w:r w:rsidR="00EB02F1" w:rsidRPr="00EB02F1">
              <w:rPr>
                <w:rFonts w:cs="Times New Roman"/>
                <w:iCs/>
                <w:lang w:val="en-US"/>
              </w:rPr>
              <w:t xml:space="preserve">Moscow Institute of Physics and Technology (National Research University), </w:t>
            </w:r>
            <w:proofErr w:type="spellStart"/>
            <w:r w:rsidR="00EB02F1" w:rsidRPr="00EB02F1">
              <w:rPr>
                <w:rFonts w:cs="Times New Roman"/>
                <w:iCs/>
                <w:lang w:val="en-US"/>
              </w:rPr>
              <w:t>Institutskiy</w:t>
            </w:r>
            <w:proofErr w:type="spellEnd"/>
            <w:r w:rsidR="00EB02F1" w:rsidRPr="00EB02F1">
              <w:rPr>
                <w:rFonts w:cs="Times New Roman"/>
                <w:iCs/>
                <w:lang w:val="en-US"/>
              </w:rPr>
              <w:t xml:space="preserve"> per. 9, </w:t>
            </w:r>
            <w:proofErr w:type="spellStart"/>
            <w:r w:rsidR="00EB02F1" w:rsidRPr="00EB02F1">
              <w:rPr>
                <w:rFonts w:cs="Times New Roman"/>
                <w:iCs/>
                <w:lang w:val="en-US"/>
              </w:rPr>
              <w:t>Dolgoprudny</w:t>
            </w:r>
            <w:proofErr w:type="spellEnd"/>
            <w:r w:rsidR="00EB02F1" w:rsidRPr="00EB02F1">
              <w:rPr>
                <w:rFonts w:cs="Times New Roman"/>
                <w:iCs/>
                <w:lang w:val="en-US"/>
              </w:rPr>
              <w:t>, Moscow Oblast, 141700 Russia</w:t>
            </w:r>
          </w:p>
        </w:tc>
      </w:tr>
      <w:tr w:rsidR="00CD6FAC" w:rsidRPr="00A37706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A37706" w:rsidP="00A37706">
            <w:pPr>
              <w:pStyle w:val="MainText"/>
              <w:ind w:firstLine="284"/>
            </w:pPr>
            <w:proofErr w:type="spellStart"/>
            <w:r w:rsidRPr="00565E5F">
              <w:t>Thienothiophenes</w:t>
            </w:r>
            <w:proofErr w:type="spellEnd"/>
            <w:r w:rsidRPr="00565E5F">
              <w:t xml:space="preserve"> are essential components for the development of effective organic semiconductors. This study </w:t>
            </w:r>
            <w:r w:rsidR="001D2127">
              <w:t>is devoted to the synthesis of</w:t>
            </w:r>
            <w:r w:rsidRPr="00565E5F">
              <w:t xml:space="preserve"> novel </w:t>
            </w:r>
            <w:proofErr w:type="spellStart"/>
            <w:r w:rsidRPr="00565E5F">
              <w:t>arylamine</w:t>
            </w:r>
            <w:proofErr w:type="spellEnd"/>
            <w:r w:rsidRPr="00565E5F">
              <w:t xml:space="preserve"> derivatives of </w:t>
            </w:r>
            <w:proofErr w:type="spellStart"/>
            <w:proofErr w:type="gramStart"/>
            <w:r w:rsidRPr="00565E5F">
              <w:t>benzothieno</w:t>
            </w:r>
            <w:proofErr w:type="spellEnd"/>
            <w:r w:rsidRPr="00565E5F">
              <w:t>[</w:t>
            </w:r>
            <w:proofErr w:type="gramEnd"/>
            <w:r w:rsidRPr="00565E5F">
              <w:t>3,2-b][1]</w:t>
            </w:r>
            <w:proofErr w:type="spellStart"/>
            <w:r w:rsidRPr="00565E5F">
              <w:t>benzothiophene</w:t>
            </w:r>
            <w:proofErr w:type="spellEnd"/>
            <w:r w:rsidRPr="00565E5F">
              <w:t xml:space="preserve"> (BTBT) and </w:t>
            </w:r>
            <w:r w:rsidR="001D2127">
              <w:t>investigation of</w:t>
            </w:r>
            <w:r w:rsidRPr="00565E5F">
              <w:t xml:space="preserve"> their optical and thermal properties. </w:t>
            </w:r>
            <w:r w:rsidR="001D2127">
              <w:t>For this purpose</w:t>
            </w:r>
            <w:r w:rsidRPr="00565E5F">
              <w:t>, the Buchwaldt</w:t>
            </w:r>
            <w:r w:rsidR="001D2127">
              <w:t>–</w:t>
            </w:r>
            <w:r w:rsidRPr="00565E5F">
              <w:t xml:space="preserve">Hartwig reaction </w:t>
            </w:r>
            <w:r w:rsidR="001D2127">
              <w:t xml:space="preserve">was used </w:t>
            </w:r>
            <w:r w:rsidRPr="00565E5F">
              <w:t xml:space="preserve">to couple 2,7-dibromo-BTBT with various arylamines. </w:t>
            </w:r>
            <w:r w:rsidR="001D2127">
              <w:t>T</w:t>
            </w:r>
            <w:r w:rsidRPr="00565E5F">
              <w:t>he fluorescence quantum yield of the</w:t>
            </w:r>
            <w:r w:rsidR="001D2127">
              <w:t xml:space="preserve"> resulting</w:t>
            </w:r>
            <w:r w:rsidRPr="00565E5F">
              <w:t xml:space="preserve"> molecules decreased from 60 to 16%, as the complexity of the amine </w:t>
            </w:r>
            <w:r w:rsidR="001D2127">
              <w:t>moiety</w:t>
            </w:r>
            <w:r w:rsidRPr="00565E5F">
              <w:t xml:space="preserve"> increased. The materials synthesized exhibit relatively high glass transition temperatures and thermal stability, which suggests potential applications in organic electronics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F24DB0" w:rsidP="005C7369">
            <w:pPr>
              <w:pStyle w:val="MainText"/>
              <w:ind w:firstLine="0"/>
              <w:jc w:val="center"/>
            </w:pPr>
            <w:r>
              <w:object w:dxaOrig="9247" w:dyaOrig="4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85pt;height:99.85pt" o:ole="">
                  <v:imagedata r:id="rId9" o:title=""/>
                </v:shape>
                <o:OLEObject Type="Embed" ProgID="ChemDraw.Document.6.0" ShapeID="_x0000_i1025" DrawAspect="Content" ObjectID="_1810657382" r:id="rId10"/>
              </w:object>
            </w:r>
          </w:p>
        </w:tc>
      </w:tr>
      <w:tr w:rsidR="0065245B" w:rsidRPr="009017D1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proofErr w:type="spellStart"/>
            <w:proofErr w:type="gramStart"/>
            <w:r w:rsidR="00A37706" w:rsidRPr="005F390D">
              <w:t>benzothieno</w:t>
            </w:r>
            <w:proofErr w:type="spellEnd"/>
            <w:r w:rsidR="00A37706" w:rsidRPr="005F390D">
              <w:t>[</w:t>
            </w:r>
            <w:proofErr w:type="gramEnd"/>
            <w:r w:rsidR="00A37706" w:rsidRPr="005F390D">
              <w:t>3,2-b][1]</w:t>
            </w:r>
            <w:proofErr w:type="spellStart"/>
            <w:r w:rsidR="00A37706" w:rsidRPr="005F390D">
              <w:t>benzothiophene</w:t>
            </w:r>
            <w:proofErr w:type="spellEnd"/>
            <w:r w:rsidR="00A37706">
              <w:t xml:space="preserve">, </w:t>
            </w:r>
            <w:proofErr w:type="spellStart"/>
            <w:r w:rsidR="00A37706">
              <w:t>arylamine</w:t>
            </w:r>
            <w:proofErr w:type="spellEnd"/>
            <w:r w:rsidR="00A37706">
              <w:t>, synthesis</w:t>
            </w:r>
            <w:r w:rsidR="00A37706" w:rsidRPr="005F390D">
              <w:t xml:space="preserve">, </w:t>
            </w:r>
            <w:r w:rsidR="00A37706">
              <w:rPr>
                <w:rStyle w:val="ezkurwreuab5ozgtqnkl"/>
              </w:rPr>
              <w:t>fluorescence, thermal properties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A37706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A37706" w:rsidRDefault="00A37706" w:rsidP="00A37706">
      <w:pPr>
        <w:pStyle w:val="MainText"/>
        <w:ind w:firstLine="284"/>
      </w:pPr>
      <w:r w:rsidRPr="00B341A6">
        <w:t>Organic layers, in particular</w:t>
      </w:r>
      <w:r>
        <w:t xml:space="preserve">, </w:t>
      </w:r>
      <w:r w:rsidRPr="00B341A6">
        <w:t>hole transport layer</w:t>
      </w:r>
      <w:r>
        <w:t>s</w:t>
      </w:r>
      <w:r w:rsidRPr="00B341A6">
        <w:t xml:space="preserve"> play a crucial role in the operation of organic light-emitting diode</w:t>
      </w:r>
      <w:r w:rsidR="00AA44CC">
        <w:t>s</w:t>
      </w:r>
      <w:r w:rsidRPr="00B341A6">
        <w:t xml:space="preserve"> (OLED) </w:t>
      </w:r>
      <w:r w:rsidR="005F44C7">
        <w:t xml:space="preserve">devices </w:t>
      </w:r>
      <w:r>
        <w:t>[1]</w:t>
      </w:r>
      <w:r w:rsidRPr="00B341A6">
        <w:t xml:space="preserve">. Recently, Shi </w:t>
      </w:r>
      <w:r w:rsidRPr="00A37706">
        <w:rPr>
          <w:i/>
        </w:rPr>
        <w:t>et al.</w:t>
      </w:r>
      <w:r w:rsidRPr="00803257">
        <w:t xml:space="preserve"> </w:t>
      </w:r>
      <w:r>
        <w:t xml:space="preserve">[2] described </w:t>
      </w:r>
      <w:r w:rsidRPr="00B341A6">
        <w:t xml:space="preserve">a new hole transporting material (HTM) based on </w:t>
      </w:r>
      <w:proofErr w:type="spellStart"/>
      <w:proofErr w:type="gramStart"/>
      <w:r w:rsidRPr="00B341A6">
        <w:t>benzo</w:t>
      </w:r>
      <w:proofErr w:type="spellEnd"/>
      <w:r w:rsidRPr="00B341A6">
        <w:t>[</w:t>
      </w:r>
      <w:proofErr w:type="gramEnd"/>
      <w:r w:rsidRPr="00B341A6">
        <w:t>4,5]</w:t>
      </w:r>
      <w:proofErr w:type="spellStart"/>
      <w:r w:rsidRPr="00B341A6">
        <w:t>thieno</w:t>
      </w:r>
      <w:proofErr w:type="spellEnd"/>
      <w:r w:rsidRPr="00B341A6">
        <w:t>[3,2-b]</w:t>
      </w:r>
      <w:proofErr w:type="spellStart"/>
      <w:r w:rsidRPr="00B341A6">
        <w:t>benzofuran</w:t>
      </w:r>
      <w:proofErr w:type="spellEnd"/>
      <w:r w:rsidRPr="00B341A6">
        <w:t xml:space="preserve"> w</w:t>
      </w:r>
      <w:r>
        <w:t xml:space="preserve">ith diphenylamine </w:t>
      </w:r>
      <w:proofErr w:type="spellStart"/>
      <w:r>
        <w:t>substituents</w:t>
      </w:r>
      <w:proofErr w:type="spellEnd"/>
      <w:r w:rsidRPr="00C53A2C">
        <w:t xml:space="preserve">. </w:t>
      </w:r>
      <w:r w:rsidRPr="00B341A6">
        <w:t xml:space="preserve">This material demonstrated excellent charge carrier mobility, good thermal stability, and a high triplet energy, which are better than those of the commercial HTM derived from the benzidine derivative </w:t>
      </w:r>
      <w:r w:rsidRPr="00A37706">
        <w:rPr>
          <w:i/>
        </w:rPr>
        <w:t>N,N'</w:t>
      </w:r>
      <w:r w:rsidRPr="00B341A6">
        <w:t>-di(naphthalene-1-yl)-</w:t>
      </w:r>
      <w:r w:rsidRPr="00A37706">
        <w:rPr>
          <w:i/>
        </w:rPr>
        <w:t>N',N'</w:t>
      </w:r>
      <w:r w:rsidRPr="00B341A6">
        <w:t>-diphenyl-[1,1'-biphenyl]-4,4'-diamine (NPD). Since many derivatives of BTBT have very high charge carrier mobility</w:t>
      </w:r>
      <w:r w:rsidRPr="00C01C2C">
        <w:t xml:space="preserve"> </w:t>
      </w:r>
      <w:r>
        <w:t>[3]</w:t>
      </w:r>
      <w:r w:rsidRPr="00747001">
        <w:t xml:space="preserve"> </w:t>
      </w:r>
      <w:r w:rsidRPr="00B341A6">
        <w:t>and thermal stability</w:t>
      </w:r>
      <w:r w:rsidRPr="00C01C2C">
        <w:t xml:space="preserve"> </w:t>
      </w:r>
      <w:r>
        <w:t>[4]</w:t>
      </w:r>
      <w:r w:rsidR="00335D5C">
        <w:t xml:space="preserve"> </w:t>
      </w:r>
      <w:r w:rsidR="00335D5C" w:rsidRPr="00335D5C">
        <w:rPr>
          <w:highlight w:val="green"/>
        </w:rPr>
        <w:t>and</w:t>
      </w:r>
      <w:r w:rsidR="00335D5C">
        <w:t xml:space="preserve"> </w:t>
      </w:r>
      <w:r w:rsidRPr="00B341A6">
        <w:t xml:space="preserve">can be processed into thin films, </w:t>
      </w:r>
      <w:r w:rsidRPr="00335D5C">
        <w:rPr>
          <w:highlight w:val="green"/>
        </w:rPr>
        <w:t>and</w:t>
      </w:r>
      <w:r w:rsidRPr="00B341A6">
        <w:t xml:space="preserve"> </w:t>
      </w:r>
      <w:r w:rsidR="00335D5C">
        <w:t xml:space="preserve">since </w:t>
      </w:r>
      <w:r>
        <w:t>BTBT is a very</w:t>
      </w:r>
      <w:r w:rsidRPr="00B341A6">
        <w:t xml:space="preserve"> popular building block for organic electronic devices, it was proposed to synthesize and investigate </w:t>
      </w:r>
      <w:r>
        <w:t>some novel</w:t>
      </w:r>
      <w:r w:rsidRPr="00B341A6">
        <w:t xml:space="preserve"> derivatives of BTBT with aromatic amine substituents and </w:t>
      </w:r>
      <w:r>
        <w:t>investigate</w:t>
      </w:r>
      <w:r w:rsidRPr="00B341A6">
        <w:t xml:space="preserve"> their properties.</w:t>
      </w:r>
    </w:p>
    <w:p w:rsidR="008E727C" w:rsidRPr="008E727C" w:rsidRDefault="00A37706" w:rsidP="008E727C">
      <w:pPr>
        <w:pStyle w:val="MainText"/>
        <w:ind w:firstLine="284"/>
        <w:rPr>
          <w:rStyle w:val="ezkurwreuab5ozgtqnkl"/>
          <w:lang w:val="ru-RU"/>
        </w:rPr>
      </w:pPr>
      <w:r>
        <w:rPr>
          <w:rStyle w:val="ezkurwreuab5ozgtqnkl"/>
        </w:rPr>
        <w:t>Albeit</w:t>
      </w:r>
      <w:r w:rsidRPr="009E3E2B">
        <w:rPr>
          <w:rStyle w:val="ezkurwreuab5ozgtqnkl"/>
        </w:rPr>
        <w:t xml:space="preserve"> BTBT derivatives are rarely used in OLEDs</w:t>
      </w:r>
      <w:r>
        <w:rPr>
          <w:rStyle w:val="ezkurwreuab5ozgtqnkl"/>
        </w:rPr>
        <w:t>,</w:t>
      </w:r>
      <w:r w:rsidRPr="009E3E2B">
        <w:rPr>
          <w:rStyle w:val="ezkurwreuab5ozgtqnkl"/>
        </w:rPr>
        <w:t xml:space="preserve"> </w:t>
      </w:r>
      <w:r>
        <w:rPr>
          <w:rStyle w:val="ezkurwreuab5ozgtqnkl"/>
        </w:rPr>
        <w:t>d</w:t>
      </w:r>
      <w:r w:rsidRPr="009E3E2B">
        <w:rPr>
          <w:rStyle w:val="ezkurwreuab5ozgtqnkl"/>
        </w:rPr>
        <w:t>iarylamine derivatives of Ph</w:t>
      </w:r>
      <w:r w:rsidRPr="009E3E2B">
        <w:rPr>
          <w:rStyle w:val="ezkurwreuab5ozgtqnkl"/>
          <w:vertAlign w:val="subscript"/>
        </w:rPr>
        <w:t>2</w:t>
      </w:r>
      <w:r w:rsidRPr="009E3E2B">
        <w:rPr>
          <w:rStyle w:val="ezkurwreuab5ozgtqnkl"/>
        </w:rPr>
        <w:t xml:space="preserve">BTBT [5] and </w:t>
      </w:r>
      <w:proofErr w:type="spellStart"/>
      <w:r w:rsidRPr="009E3E2B">
        <w:rPr>
          <w:rStyle w:val="ezkurwreuab5ozgtqnkl"/>
        </w:rPr>
        <w:t>diphenylfluorene</w:t>
      </w:r>
      <w:proofErr w:type="spellEnd"/>
      <w:r w:rsidRPr="009E3E2B">
        <w:rPr>
          <w:rStyle w:val="ezkurwreuab5ozgtqnkl"/>
        </w:rPr>
        <w:t xml:space="preserve"> derivatives of BTBT [6] have shown characteristics comparable</w:t>
      </w:r>
      <w:r w:rsidR="002C7EFF">
        <w:rPr>
          <w:rStyle w:val="ezkurwreuab5ozgtqnkl"/>
        </w:rPr>
        <w:t xml:space="preserve"> to</w:t>
      </w:r>
      <w:r w:rsidRPr="009E3E2B">
        <w:rPr>
          <w:rStyle w:val="ezkurwreuab5ozgtqnkl"/>
        </w:rPr>
        <w:t xml:space="preserve"> and </w:t>
      </w:r>
      <w:r>
        <w:rPr>
          <w:rStyle w:val="ezkurwreuab5ozgtqnkl"/>
        </w:rPr>
        <w:t xml:space="preserve">even </w:t>
      </w:r>
      <w:r w:rsidRPr="009E3E2B">
        <w:rPr>
          <w:rStyle w:val="ezkurwreuab5ozgtqnkl"/>
        </w:rPr>
        <w:t>superior t</w:t>
      </w:r>
      <w:r w:rsidR="00335D5C">
        <w:rPr>
          <w:rStyle w:val="ezkurwreuab5ozgtqnkl"/>
        </w:rPr>
        <w:t>han</w:t>
      </w:r>
      <w:r w:rsidRPr="009E3E2B">
        <w:rPr>
          <w:rStyle w:val="ezkurwreuab5ozgtqnkl"/>
        </w:rPr>
        <w:t xml:space="preserve"> those of NPD in terms of performance, heat resistance, and service life in OLED displays. 2,7-Dioctyl </w:t>
      </w:r>
      <w:proofErr w:type="spellStart"/>
      <w:r w:rsidRPr="009E3E2B">
        <w:rPr>
          <w:rStyle w:val="ezkurwreuab5ozgtqnkl"/>
        </w:rPr>
        <w:t>benzothiene</w:t>
      </w:r>
      <w:proofErr w:type="spellEnd"/>
      <w:r w:rsidRPr="009E3E2B">
        <w:rPr>
          <w:rStyle w:val="ezkurwreuab5ozgtqnkl"/>
        </w:rPr>
        <w:t>[1],[3,2-b]-</w:t>
      </w:r>
      <w:proofErr w:type="spellStart"/>
      <w:r w:rsidRPr="009E3E2B">
        <w:rPr>
          <w:rStyle w:val="ezkurwreuab5ozgtqnkl"/>
        </w:rPr>
        <w:t>benzothiophene</w:t>
      </w:r>
      <w:proofErr w:type="spellEnd"/>
      <w:r w:rsidRPr="009E3E2B">
        <w:rPr>
          <w:rStyle w:val="ezkurwreuab5ozgtqnkl"/>
        </w:rPr>
        <w:t xml:space="preserve"> (C8</w:t>
      </w:r>
      <w:r w:rsidRPr="00D523C2">
        <w:rPr>
          <w:rStyle w:val="ezkurwreuab5ozgtqnkl"/>
        </w:rPr>
        <w:t>-</w:t>
      </w:r>
      <w:r w:rsidRPr="009E3E2B">
        <w:rPr>
          <w:rStyle w:val="ezkurwreuab5ozgtqnkl"/>
        </w:rPr>
        <w:t>BTBT) has been used as a p-type charge transfer material in OLEDs and has shown outstanding electrical characteristics, with ON/OFF ratios exceeding 10</w:t>
      </w:r>
      <w:r w:rsidRPr="00D523C2">
        <w:rPr>
          <w:rStyle w:val="ezkurwreuab5ozgtqnkl"/>
          <w:vertAlign w:val="superscript"/>
        </w:rPr>
        <w:t>6</w:t>
      </w:r>
      <w:r w:rsidRPr="009E3E2B">
        <w:rPr>
          <w:rStyle w:val="ezkurwreuab5ozgtqnkl"/>
        </w:rPr>
        <w:t xml:space="preserve"> and mobilities in the range of </w:t>
      </w:r>
      <w:r w:rsidR="005D6112">
        <w:rPr>
          <w:rStyle w:val="ezkurwreuab5ozgtqnkl"/>
        </w:rPr>
        <w:t>~</w:t>
      </w:r>
      <w:r w:rsidRPr="001647DC">
        <w:rPr>
          <w:rStyle w:val="ezkurwreuab5ozgtqnkl"/>
          <w:highlight w:val="magenta"/>
        </w:rPr>
        <w:t>0.5–2.3</w:t>
      </w:r>
      <w:r w:rsidR="00335D5C">
        <w:rPr>
          <w:rStyle w:val="ezkurwreuab5ozgtqnkl"/>
        </w:rPr>
        <w:br/>
      </w:r>
      <w:r w:rsidRPr="009E3E2B">
        <w:rPr>
          <w:rStyle w:val="ezkurwreuab5ozgtqnkl"/>
        </w:rPr>
        <w:t>cm</w:t>
      </w:r>
      <w:r w:rsidRPr="00D523C2">
        <w:rPr>
          <w:rStyle w:val="ezkurwreuab5ozgtqnkl"/>
          <w:vertAlign w:val="superscript"/>
        </w:rPr>
        <w:t>2</w:t>
      </w:r>
      <w:r w:rsidR="00335D5C">
        <w:rPr>
          <w:rStyle w:val="ezkurwreuab5ozgtqnkl"/>
        </w:rPr>
        <w:t>·</w:t>
      </w:r>
      <w:r w:rsidRPr="009E3E2B">
        <w:rPr>
          <w:rStyle w:val="ezkurwreuab5ozgtqnkl"/>
        </w:rPr>
        <w:t>V</w:t>
      </w:r>
      <w:r w:rsidR="00335D5C">
        <w:rPr>
          <w:rStyle w:val="ezkurwreuab5ozgtqnkl"/>
          <w:vertAlign w:val="superscript"/>
        </w:rPr>
        <w:t>–</w:t>
      </w:r>
      <w:r w:rsidRPr="00D523C2">
        <w:rPr>
          <w:rStyle w:val="ezkurwreuab5ozgtqnkl"/>
          <w:vertAlign w:val="superscript"/>
        </w:rPr>
        <w:t>1</w:t>
      </w:r>
      <w:r w:rsidR="00335D5C">
        <w:rPr>
          <w:rStyle w:val="ezkurwreuab5ozgtqnkl"/>
        </w:rPr>
        <w:t>·</w:t>
      </w:r>
      <w:r w:rsidRPr="009E3E2B">
        <w:rPr>
          <w:rStyle w:val="ezkurwreuab5ozgtqnkl"/>
        </w:rPr>
        <w:t>s</w:t>
      </w:r>
      <w:r w:rsidR="00335D5C">
        <w:rPr>
          <w:rStyle w:val="ezkurwreuab5ozgtqnkl"/>
          <w:vertAlign w:val="superscript"/>
        </w:rPr>
        <w:t>–</w:t>
      </w:r>
      <w:r w:rsidRPr="00D523C2">
        <w:rPr>
          <w:rStyle w:val="ezkurwreuab5ozgtqnkl"/>
          <w:vertAlign w:val="superscript"/>
        </w:rPr>
        <w:t>1</w:t>
      </w:r>
      <w:r w:rsidRPr="00335D5C">
        <w:rPr>
          <w:rStyle w:val="ezkurwreuab5ozgtqnkl"/>
        </w:rPr>
        <w:t xml:space="preserve"> </w:t>
      </w:r>
      <w:r w:rsidRPr="000D0673">
        <w:rPr>
          <w:rStyle w:val="ezkurwreuab5ozgtqnkl"/>
        </w:rPr>
        <w:t>[7].</w:t>
      </w:r>
    </w:p>
    <w:p w:rsidR="00427E5A" w:rsidRPr="00F376FB" w:rsidRDefault="00A37706" w:rsidP="00A37706">
      <w:pPr>
        <w:pStyle w:val="MainText"/>
        <w:ind w:firstLine="284"/>
      </w:pPr>
      <w:r>
        <w:t>The s</w:t>
      </w:r>
      <w:r w:rsidRPr="00963B6C">
        <w:t>tructures containing both BTBT</w:t>
      </w:r>
      <w:r w:rsidR="00335D5C">
        <w:t xml:space="preserve"> </w:t>
      </w:r>
      <w:r w:rsidRPr="00963B6C">
        <w:t xml:space="preserve">and </w:t>
      </w:r>
      <w:proofErr w:type="spellStart"/>
      <w:r w:rsidRPr="00963B6C">
        <w:t>arylamines</w:t>
      </w:r>
      <w:proofErr w:type="spellEnd"/>
      <w:r w:rsidRPr="00963B6C">
        <w:t xml:space="preserve"> have not been adequately describ</w:t>
      </w:r>
      <w:r w:rsidR="008E727C">
        <w:t>ed in the literature and remain</w:t>
      </w:r>
      <w:r w:rsidR="007B34AA">
        <w:t xml:space="preserve"> </w:t>
      </w:r>
      <w:r w:rsidRPr="00963B6C">
        <w:t>unexplored</w:t>
      </w:r>
      <w:r w:rsidR="00335D5C">
        <w:t>, w</w:t>
      </w:r>
      <w:r w:rsidRPr="00963B6C">
        <w:t>hile</w:t>
      </w:r>
      <w:r>
        <w:t xml:space="preserve"> </w:t>
      </w:r>
      <w:r w:rsidRPr="00963B6C">
        <w:t>several individual molecules</w:t>
      </w:r>
      <w:r>
        <w:t xml:space="preserve"> </w:t>
      </w:r>
      <w:r w:rsidRPr="00963B6C">
        <w:t xml:space="preserve">of these </w:t>
      </w:r>
      <w:r w:rsidRPr="00963B6C">
        <w:lastRenderedPageBreak/>
        <w:t>structures</w:t>
      </w:r>
      <w:r w:rsidR="00335D5C">
        <w:t xml:space="preserve"> </w:t>
      </w:r>
      <w:r w:rsidRPr="00963B6C">
        <w:t xml:space="preserve">can be found in </w:t>
      </w:r>
      <w:r>
        <w:t xml:space="preserve">the </w:t>
      </w:r>
      <w:r w:rsidRPr="00963B6C">
        <w:t>patent</w:t>
      </w:r>
      <w:r>
        <w:t xml:space="preserve"> literature</w:t>
      </w:r>
      <w:r w:rsidRPr="00963B6C">
        <w:t>. The</w:t>
      </w:r>
      <w:r w:rsidR="00335D5C">
        <w:t xml:space="preserve"> </w:t>
      </w:r>
      <w:r>
        <w:t>goal</w:t>
      </w:r>
      <w:r w:rsidRPr="00963B6C">
        <w:t xml:space="preserve"> of this work </w:t>
      </w:r>
      <w:r w:rsidR="00335D5C">
        <w:t>wa</w:t>
      </w:r>
      <w:r w:rsidRPr="00963B6C">
        <w:t>s to synthesize and investigate</w:t>
      </w:r>
      <w:r w:rsidR="00335D5C">
        <w:t xml:space="preserve"> </w:t>
      </w:r>
      <w:r>
        <w:t>such</w:t>
      </w:r>
      <w:r w:rsidR="00335D5C">
        <w:t xml:space="preserve"> </w:t>
      </w:r>
      <w:r w:rsidRPr="00963B6C">
        <w:t>structures</w:t>
      </w:r>
      <w:r w:rsidR="008E062B">
        <w:t>.</w:t>
      </w:r>
    </w:p>
    <w:p w:rsidR="00875175" w:rsidRDefault="00875175" w:rsidP="005F44C7">
      <w:pPr>
        <w:pStyle w:val="Header1"/>
        <w:spacing w:before="240" w:after="120"/>
      </w:pPr>
      <w:r w:rsidRPr="00875175">
        <w:t>Results and discussion</w:t>
      </w:r>
    </w:p>
    <w:p w:rsidR="00427E5A" w:rsidRDefault="00875175" w:rsidP="003741F9">
      <w:pPr>
        <w:pStyle w:val="Header2"/>
        <w:ind w:firstLine="284"/>
        <w:rPr>
          <w:rFonts w:ascii="Arial" w:hAnsi="Arial" w:cs="Arial"/>
        </w:rPr>
      </w:pPr>
      <w:r w:rsidRPr="00161894">
        <w:rPr>
          <w:rFonts w:ascii="Arial" w:hAnsi="Arial" w:cs="Arial"/>
        </w:rPr>
        <w:t>Synthes</w:t>
      </w:r>
      <w:r w:rsidR="008E062B" w:rsidRPr="00161894">
        <w:rPr>
          <w:rFonts w:ascii="Arial" w:hAnsi="Arial" w:cs="Arial"/>
        </w:rPr>
        <w:t>e</w:t>
      </w:r>
      <w:r w:rsidRPr="00161894">
        <w:rPr>
          <w:rFonts w:ascii="Arial" w:hAnsi="Arial" w:cs="Arial"/>
        </w:rPr>
        <w:t>s</w:t>
      </w:r>
    </w:p>
    <w:p w:rsidR="003741F9" w:rsidRPr="00DD7CEE" w:rsidRDefault="003741F9" w:rsidP="00335D5C">
      <w:pPr>
        <w:pStyle w:val="MainText"/>
        <w:ind w:firstLine="284"/>
      </w:pPr>
      <w:r>
        <w:t xml:space="preserve">A </w:t>
      </w:r>
      <w:r w:rsidR="00335D5C">
        <w:t>synthetic route to</w:t>
      </w:r>
      <w:r>
        <w:t xml:space="preserve"> </w:t>
      </w:r>
      <w:r w:rsidRPr="00DD7CEE">
        <w:t xml:space="preserve">the </w:t>
      </w:r>
      <w:r w:rsidR="00335D5C">
        <w:t>target</w:t>
      </w:r>
      <w:r w:rsidRPr="00DD7CEE">
        <w:t xml:space="preserve"> compounds</w:t>
      </w:r>
      <w:r>
        <w:t xml:space="preserve"> </w:t>
      </w:r>
      <w:r w:rsidRPr="00BE7967">
        <w:rPr>
          <w:b/>
          <w:bCs/>
          <w:szCs w:val="16"/>
        </w:rPr>
        <w:t>(DPA)</w:t>
      </w:r>
      <w:r w:rsidRPr="00BE7967">
        <w:rPr>
          <w:b/>
          <w:bCs/>
          <w:szCs w:val="16"/>
          <w:vertAlign w:val="subscript"/>
        </w:rPr>
        <w:t>2</w:t>
      </w:r>
      <w:r w:rsidRPr="00BE7967">
        <w:rPr>
          <w:b/>
          <w:bCs/>
          <w:szCs w:val="16"/>
        </w:rPr>
        <w:t>-ВТВТ</w:t>
      </w:r>
      <w:r w:rsidRPr="00BE7967">
        <w:rPr>
          <w:rStyle w:val="Captions0"/>
          <w:b w:val="0"/>
          <w:szCs w:val="16"/>
        </w:rPr>
        <w:t>,</w:t>
      </w:r>
      <w:r w:rsidR="00335D5C">
        <w:rPr>
          <w:rStyle w:val="Captions0"/>
          <w:b w:val="0"/>
          <w:szCs w:val="16"/>
        </w:rPr>
        <w:t xml:space="preserve"> </w:t>
      </w:r>
      <w:r w:rsidRPr="00BE7967">
        <w:rPr>
          <w:b/>
          <w:bCs/>
          <w:szCs w:val="16"/>
        </w:rPr>
        <w:t>(NPA)</w:t>
      </w:r>
      <w:r w:rsidRPr="00BE7967">
        <w:rPr>
          <w:b/>
          <w:bCs/>
          <w:szCs w:val="16"/>
          <w:vertAlign w:val="subscript"/>
        </w:rPr>
        <w:t>2</w:t>
      </w:r>
      <w:r w:rsidRPr="00BE7967">
        <w:rPr>
          <w:b/>
          <w:bCs/>
          <w:szCs w:val="16"/>
        </w:rPr>
        <w:t>-ВТВТ</w:t>
      </w:r>
      <w:r w:rsidR="00335D5C" w:rsidRPr="00335D5C">
        <w:rPr>
          <w:rStyle w:val="Captions0"/>
          <w:b w:val="0"/>
          <w:szCs w:val="16"/>
        </w:rPr>
        <w:t xml:space="preserve"> </w:t>
      </w:r>
      <w:r w:rsidRPr="00BE7967">
        <w:rPr>
          <w:rStyle w:val="Captions0"/>
          <w:b w:val="0"/>
          <w:szCs w:val="16"/>
        </w:rPr>
        <w:t>and</w:t>
      </w:r>
      <w:r w:rsidR="00335D5C">
        <w:rPr>
          <w:rStyle w:val="Captions0"/>
          <w:b w:val="0"/>
          <w:szCs w:val="16"/>
        </w:rPr>
        <w:t xml:space="preserve"> </w:t>
      </w:r>
      <w:r w:rsidRPr="00BE7967">
        <w:rPr>
          <w:b/>
          <w:bCs/>
          <w:szCs w:val="16"/>
        </w:rPr>
        <w:t>(NTPDA)</w:t>
      </w:r>
      <w:r w:rsidRPr="00BE7967">
        <w:rPr>
          <w:b/>
          <w:bCs/>
          <w:szCs w:val="16"/>
          <w:vertAlign w:val="subscript"/>
        </w:rPr>
        <w:t>2</w:t>
      </w:r>
      <w:r w:rsidRPr="00BE7967">
        <w:rPr>
          <w:b/>
          <w:bCs/>
          <w:szCs w:val="16"/>
        </w:rPr>
        <w:t>-ВТВТ</w:t>
      </w:r>
      <w:r>
        <w:t xml:space="preserve"> </w:t>
      </w:r>
      <w:r w:rsidR="00335D5C">
        <w:t>wa</w:t>
      </w:r>
      <w:r>
        <w:t xml:space="preserve">s based on the </w:t>
      </w:r>
      <w:r w:rsidRPr="00DD7CEE">
        <w:t>Buchwald</w:t>
      </w:r>
      <w:r w:rsidR="00335D5C">
        <w:t>–</w:t>
      </w:r>
      <w:r w:rsidRPr="00DD7CEE">
        <w:t xml:space="preserve">Hartwig reaction </w:t>
      </w:r>
      <w:r w:rsidR="00335D5C">
        <w:t>between</w:t>
      </w:r>
      <w:r>
        <w:t xml:space="preserve"> </w:t>
      </w:r>
      <w:r w:rsidRPr="00DD7CEE">
        <w:t>2,7-dibromo-BTBT</w:t>
      </w:r>
      <w:r>
        <w:t xml:space="preserve"> </w:t>
      </w:r>
      <w:r w:rsidR="00335D5C">
        <w:t>and</w:t>
      </w:r>
      <w:r>
        <w:t xml:space="preserve"> the corresponding s</w:t>
      </w:r>
      <w:r w:rsidRPr="00DD7CEE">
        <w:t>econdary</w:t>
      </w:r>
      <w:r>
        <w:t xml:space="preserve"> </w:t>
      </w:r>
      <w:r w:rsidRPr="00DD7CEE">
        <w:t>amines</w:t>
      </w:r>
      <w:r w:rsidR="00335D5C">
        <w:t xml:space="preserve"> </w:t>
      </w:r>
      <w:r w:rsidRPr="00DD7CEE">
        <w:t>in the presence of a palladium catalyst</w:t>
      </w:r>
      <w:r w:rsidR="00A849FD">
        <w:t xml:space="preserve"> (</w:t>
      </w:r>
      <w:r w:rsidRPr="00DD7CEE">
        <w:t>Scheme</w:t>
      </w:r>
      <w:r>
        <w:t xml:space="preserve"> </w:t>
      </w:r>
      <w:r w:rsidRPr="00DD7CEE">
        <w:t>1</w:t>
      </w:r>
      <w:r w:rsidR="004718BE">
        <w:t xml:space="preserve">, </w:t>
      </w:r>
      <w:r w:rsidR="004718BE" w:rsidRPr="004718BE">
        <w:rPr>
          <w:highlight w:val="green"/>
        </w:rPr>
        <w:t>Table 1</w:t>
      </w:r>
      <w:r w:rsidR="00A849FD">
        <w:t>)</w:t>
      </w:r>
      <w:r>
        <w:t xml:space="preserve">. </w:t>
      </w:r>
      <w:r w:rsidRPr="00DD7CEE">
        <w:t>2,7-</w:t>
      </w:r>
      <w:r w:rsidR="00A849FD">
        <w:t>D</w:t>
      </w:r>
      <w:r w:rsidRPr="00DD7CEE">
        <w:t>ibromo-BTBT</w:t>
      </w:r>
      <w:r>
        <w:t xml:space="preserve"> </w:t>
      </w:r>
      <w:r w:rsidRPr="00DD7CEE">
        <w:t>w</w:t>
      </w:r>
      <w:r>
        <w:t>as</w:t>
      </w:r>
      <w:r w:rsidR="00A849FD">
        <w:t xml:space="preserve"> </w:t>
      </w:r>
      <w:r w:rsidRPr="00DD7CEE">
        <w:t xml:space="preserve">synthesized according to the </w:t>
      </w:r>
      <w:r w:rsidR="00A849FD">
        <w:t xml:space="preserve">published </w:t>
      </w:r>
      <w:r w:rsidR="004F7A0A">
        <w:t>procedure</w:t>
      </w:r>
      <w:r w:rsidRPr="00DD7CEE">
        <w:t xml:space="preserve"> [8].</w:t>
      </w:r>
      <w:r>
        <w:t xml:space="preserve"> </w:t>
      </w:r>
      <w:r w:rsidRPr="00DD7CEE">
        <w:t>T</w:t>
      </w:r>
      <w:r w:rsidR="007A78A4">
        <w:t>he results presented in T</w:t>
      </w:r>
      <w:r w:rsidRPr="00DD7CEE">
        <w:t>able 1</w:t>
      </w:r>
      <w:r>
        <w:t xml:space="preserve"> </w:t>
      </w:r>
      <w:r w:rsidRPr="00DD7CEE">
        <w:t>demonstrate</w:t>
      </w:r>
      <w:r>
        <w:t xml:space="preserve"> </w:t>
      </w:r>
      <w:r w:rsidRPr="00DD7CEE">
        <w:t>that</w:t>
      </w:r>
      <w:r w:rsidR="007A78A4">
        <w:t>,</w:t>
      </w:r>
      <w:r>
        <w:t xml:space="preserve"> </w:t>
      </w:r>
      <w:r w:rsidRPr="00DD7CEE">
        <w:t>as</w:t>
      </w:r>
      <w:r>
        <w:t xml:space="preserve"> </w:t>
      </w:r>
      <w:r w:rsidRPr="00DD7CEE">
        <w:t>the</w:t>
      </w:r>
      <w:r>
        <w:t xml:space="preserve"> </w:t>
      </w:r>
      <w:r w:rsidRPr="00DD7CEE">
        <w:t>amine structure</w:t>
      </w:r>
      <w:r w:rsidR="00A849FD">
        <w:t xml:space="preserve"> </w:t>
      </w:r>
      <w:r w:rsidRPr="00DD7CEE">
        <w:t>becomes more complex, the reaction</w:t>
      </w:r>
      <w:r w:rsidR="00A849FD">
        <w:t xml:space="preserve"> </w:t>
      </w:r>
      <w:r w:rsidRPr="00DD7CEE">
        <w:t>yields</w:t>
      </w:r>
      <w:r w:rsidR="00A849FD">
        <w:t xml:space="preserve"> </w:t>
      </w:r>
      <w:r w:rsidRPr="00DD7CEE">
        <w:t>decrease due to steric</w:t>
      </w:r>
      <w:r w:rsidR="00A849FD">
        <w:t xml:space="preserve"> </w:t>
      </w:r>
      <w:r w:rsidRPr="00DD7CEE">
        <w:t>hinderance</w:t>
      </w:r>
      <w:r w:rsidR="007A78A4">
        <w:t>s</w:t>
      </w:r>
      <w:r w:rsidRPr="00DD7CEE">
        <w:t>. This is</w:t>
      </w:r>
      <w:r w:rsidR="00A849FD">
        <w:t xml:space="preserve"> </w:t>
      </w:r>
      <w:r w:rsidRPr="00DD7CEE">
        <w:t>mainly</w:t>
      </w:r>
      <w:r w:rsidR="00A849FD">
        <w:t xml:space="preserve"> </w:t>
      </w:r>
      <w:r w:rsidRPr="00DD7CEE">
        <w:t>due to the formation of</w:t>
      </w:r>
      <w:r>
        <w:t xml:space="preserve"> the </w:t>
      </w:r>
      <w:r w:rsidRPr="00DD7CEE">
        <w:t>larger</w:t>
      </w:r>
      <w:r w:rsidR="007A78A4">
        <w:t xml:space="preserve"> </w:t>
      </w:r>
      <w:r w:rsidRPr="00DD7CEE">
        <w:t>molecular weight by</w:t>
      </w:r>
      <w:r w:rsidR="007A78A4">
        <w:t>-</w:t>
      </w:r>
      <w:r w:rsidRPr="00DD7CEE">
        <w:t>products.</w:t>
      </w:r>
    </w:p>
    <w:p w:rsidR="007A78A4" w:rsidRDefault="007B34AA" w:rsidP="007A78A4">
      <w:pPr>
        <w:pStyle w:val="Header2"/>
        <w:spacing w:before="200" w:line="276" w:lineRule="auto"/>
        <w:ind w:left="284" w:hanging="284"/>
        <w:jc w:val="center"/>
        <w:rPr>
          <w:rFonts w:cstheme="majorHAnsi"/>
        </w:rPr>
      </w:pPr>
      <w:r>
        <w:object w:dxaOrig="7526" w:dyaOrig="2867">
          <v:shape id="_x0000_i1026" type="#_x0000_t75" style="width:233.65pt;height:94.4pt" o:ole="">
            <v:imagedata r:id="rId13" o:title=""/>
          </v:shape>
          <o:OLEObject Type="Embed" ProgID="ChemDraw.Document.6.0" ShapeID="_x0000_i1026" DrawAspect="Content" ObjectID="_1810657383" r:id="rId14"/>
        </w:object>
      </w:r>
    </w:p>
    <w:p w:rsidR="003741F9" w:rsidRDefault="003741F9" w:rsidP="007A78A4">
      <w:pPr>
        <w:pStyle w:val="Header2"/>
        <w:spacing w:after="200" w:line="276" w:lineRule="auto"/>
        <w:jc w:val="both"/>
        <w:rPr>
          <w:rStyle w:val="Captions0"/>
          <w:sz w:val="16"/>
          <w:szCs w:val="16"/>
        </w:rPr>
      </w:pPr>
      <w:proofErr w:type="gramStart"/>
      <w:r w:rsidRPr="007A78A4">
        <w:rPr>
          <w:rStyle w:val="Captions0"/>
          <w:b/>
          <w:sz w:val="16"/>
          <w:szCs w:val="16"/>
        </w:rPr>
        <w:t>Scheme 1.</w:t>
      </w:r>
      <w:proofErr w:type="gramEnd"/>
      <w:r w:rsidRPr="007A78A4">
        <w:rPr>
          <w:rStyle w:val="Captions0"/>
          <w:sz w:val="16"/>
          <w:szCs w:val="16"/>
        </w:rPr>
        <w:t xml:space="preserve"> </w:t>
      </w:r>
      <w:r w:rsidR="007A78A4">
        <w:rPr>
          <w:rStyle w:val="Captions0"/>
          <w:sz w:val="16"/>
          <w:szCs w:val="16"/>
        </w:rPr>
        <w:t>S</w:t>
      </w:r>
      <w:r w:rsidRPr="007A78A4">
        <w:rPr>
          <w:rStyle w:val="Captions0"/>
          <w:sz w:val="16"/>
          <w:szCs w:val="16"/>
        </w:rPr>
        <w:t xml:space="preserve">ynthesis of </w:t>
      </w:r>
      <w:r w:rsidRPr="007A78A4">
        <w:rPr>
          <w:bCs/>
          <w:sz w:val="16"/>
          <w:szCs w:val="16"/>
        </w:rPr>
        <w:t>(DPA</w:t>
      </w:r>
      <w:proofErr w:type="gramStart"/>
      <w:r w:rsidRPr="007A78A4">
        <w:rPr>
          <w:bCs/>
          <w:sz w:val="16"/>
          <w:szCs w:val="16"/>
        </w:rPr>
        <w:t>)</w:t>
      </w:r>
      <w:r w:rsidRPr="007A78A4">
        <w:rPr>
          <w:bCs/>
          <w:sz w:val="16"/>
          <w:szCs w:val="16"/>
          <w:vertAlign w:val="subscript"/>
        </w:rPr>
        <w:t>2</w:t>
      </w:r>
      <w:proofErr w:type="gramEnd"/>
      <w:r w:rsidRPr="007A78A4">
        <w:rPr>
          <w:bCs/>
          <w:sz w:val="16"/>
          <w:szCs w:val="16"/>
        </w:rPr>
        <w:t>-</w:t>
      </w:r>
      <w:r w:rsidRPr="007A78A4">
        <w:rPr>
          <w:bCs/>
          <w:sz w:val="16"/>
          <w:szCs w:val="16"/>
          <w:lang w:val="ru-RU"/>
        </w:rPr>
        <w:t>ВТВТ</w:t>
      </w:r>
      <w:r w:rsidRPr="007A78A4">
        <w:rPr>
          <w:rStyle w:val="Captions0"/>
          <w:sz w:val="16"/>
          <w:szCs w:val="16"/>
        </w:rPr>
        <w:t>,</w:t>
      </w:r>
      <w:r w:rsidR="007A78A4">
        <w:rPr>
          <w:rStyle w:val="Captions0"/>
          <w:sz w:val="16"/>
          <w:szCs w:val="16"/>
        </w:rPr>
        <w:t xml:space="preserve"> </w:t>
      </w:r>
      <w:r w:rsidRPr="007A78A4">
        <w:rPr>
          <w:bCs/>
          <w:sz w:val="16"/>
          <w:szCs w:val="16"/>
        </w:rPr>
        <w:t>(NPA)</w:t>
      </w:r>
      <w:r w:rsidRPr="007A78A4">
        <w:rPr>
          <w:bCs/>
          <w:sz w:val="16"/>
          <w:szCs w:val="16"/>
          <w:vertAlign w:val="subscript"/>
        </w:rPr>
        <w:t>2</w:t>
      </w:r>
      <w:r w:rsidRPr="007A78A4">
        <w:rPr>
          <w:bCs/>
          <w:sz w:val="16"/>
          <w:szCs w:val="16"/>
        </w:rPr>
        <w:t>-</w:t>
      </w:r>
      <w:r w:rsidRPr="007A78A4">
        <w:rPr>
          <w:bCs/>
          <w:sz w:val="16"/>
          <w:szCs w:val="16"/>
          <w:lang w:val="ru-RU"/>
        </w:rPr>
        <w:t>ВТВТ</w:t>
      </w:r>
      <w:r w:rsidRPr="007A78A4">
        <w:rPr>
          <w:rStyle w:val="Captions0"/>
          <w:bCs/>
          <w:sz w:val="16"/>
          <w:szCs w:val="16"/>
        </w:rPr>
        <w:t xml:space="preserve"> </w:t>
      </w:r>
      <w:r w:rsidRPr="007A78A4">
        <w:rPr>
          <w:rStyle w:val="Captions0"/>
          <w:sz w:val="16"/>
          <w:szCs w:val="16"/>
        </w:rPr>
        <w:t>and</w:t>
      </w:r>
      <w:r w:rsidR="007A78A4">
        <w:rPr>
          <w:rStyle w:val="Captions0"/>
          <w:sz w:val="16"/>
          <w:szCs w:val="16"/>
        </w:rPr>
        <w:t xml:space="preserve"> </w:t>
      </w:r>
      <w:r w:rsidRPr="007A78A4">
        <w:rPr>
          <w:bCs/>
          <w:sz w:val="16"/>
          <w:szCs w:val="16"/>
        </w:rPr>
        <w:t>(NTPDA)</w:t>
      </w:r>
      <w:r w:rsidRPr="007A78A4">
        <w:rPr>
          <w:bCs/>
          <w:sz w:val="16"/>
          <w:szCs w:val="16"/>
          <w:vertAlign w:val="subscript"/>
        </w:rPr>
        <w:t>2</w:t>
      </w:r>
      <w:r w:rsidRPr="007A78A4">
        <w:rPr>
          <w:bCs/>
          <w:sz w:val="16"/>
          <w:szCs w:val="16"/>
        </w:rPr>
        <w:t>-</w:t>
      </w:r>
      <w:r w:rsidRPr="007A78A4">
        <w:rPr>
          <w:bCs/>
          <w:sz w:val="16"/>
          <w:szCs w:val="16"/>
          <w:lang w:val="ru-RU"/>
        </w:rPr>
        <w:t>ВТВТ</w:t>
      </w:r>
      <w:r w:rsidRPr="007A78A4">
        <w:rPr>
          <w:rStyle w:val="Captions0"/>
          <w:sz w:val="16"/>
          <w:szCs w:val="16"/>
        </w:rPr>
        <w:t>.</w:t>
      </w:r>
    </w:p>
    <w:p w:rsidR="007B34AA" w:rsidRPr="007B34AA" w:rsidRDefault="007B34AA" w:rsidP="007B34AA">
      <w:pPr>
        <w:pStyle w:val="MainText"/>
        <w:ind w:firstLine="284"/>
      </w:pPr>
      <w:r>
        <w:t>T</w:t>
      </w:r>
      <w:r w:rsidRPr="009A492A">
        <w:t xml:space="preserve">he </w:t>
      </w:r>
      <w:r>
        <w:t xml:space="preserve">crude </w:t>
      </w:r>
      <w:r w:rsidRPr="009A492A">
        <w:t>products were purified using standard methods (</w:t>
      </w:r>
      <w:proofErr w:type="spellStart"/>
      <w:r w:rsidRPr="009A492A">
        <w:t>recrystallization</w:t>
      </w:r>
      <w:proofErr w:type="spellEnd"/>
      <w:r w:rsidRPr="009A492A">
        <w:t xml:space="preserve"> or column/flash chromatography), which </w:t>
      </w:r>
      <w:r>
        <w:t>afforded</w:t>
      </w:r>
      <w:r w:rsidRPr="009A492A">
        <w:t xml:space="preserve"> the target compounds with </w:t>
      </w:r>
      <w:r>
        <w:t>ov</w:t>
      </w:r>
      <w:r w:rsidRPr="009A492A">
        <w:t>er 99%</w:t>
      </w:r>
      <w:r w:rsidRPr="00E73C4E">
        <w:t xml:space="preserve"> </w:t>
      </w:r>
      <w:r>
        <w:t xml:space="preserve">purity </w:t>
      </w:r>
      <w:r w:rsidRPr="00632AD0">
        <w:t xml:space="preserve">according </w:t>
      </w:r>
      <w:r w:rsidRPr="00632AD0">
        <w:lastRenderedPageBreak/>
        <w:t xml:space="preserve">to </w:t>
      </w:r>
      <w:r>
        <w:t xml:space="preserve">the results of </w:t>
      </w:r>
      <w:r w:rsidRPr="00632AD0">
        <w:t>gel permeation chromatograph</w:t>
      </w:r>
      <w:r>
        <w:t>ic analysis</w:t>
      </w:r>
      <w:r w:rsidRPr="009A492A">
        <w:t>. This is very important for measuring the electrical properties and manufacturing organic electronic devices. The resulting compounds are soluble in THF, toluene, and DCM.</w:t>
      </w:r>
    </w:p>
    <w:p w:rsidR="003741F9" w:rsidRPr="007A78A4" w:rsidRDefault="003741F9" w:rsidP="007A78A4">
      <w:pPr>
        <w:pStyle w:val="Captions"/>
        <w:spacing w:after="120" w:line="276" w:lineRule="auto"/>
        <w:ind w:firstLine="0"/>
        <w:rPr>
          <w:rStyle w:val="Captions0"/>
          <w:b/>
          <w:sz w:val="16"/>
          <w:szCs w:val="16"/>
        </w:rPr>
      </w:pPr>
      <w:proofErr w:type="gramStart"/>
      <w:r w:rsidRPr="007A78A4">
        <w:rPr>
          <w:sz w:val="16"/>
          <w:szCs w:val="16"/>
        </w:rPr>
        <w:t>Table 1.</w:t>
      </w:r>
      <w:proofErr w:type="gramEnd"/>
      <w:r w:rsidRPr="007A78A4">
        <w:rPr>
          <w:sz w:val="16"/>
          <w:szCs w:val="16"/>
        </w:rPr>
        <w:t xml:space="preserve"> </w:t>
      </w:r>
      <w:r w:rsidR="001351EB">
        <w:rPr>
          <w:b w:val="0"/>
          <w:bCs/>
          <w:sz w:val="16"/>
          <w:szCs w:val="16"/>
        </w:rPr>
        <w:t>Conditions for the</w:t>
      </w:r>
      <w:r w:rsidRPr="007A78A4">
        <w:rPr>
          <w:b w:val="0"/>
          <w:sz w:val="16"/>
          <w:szCs w:val="16"/>
        </w:rPr>
        <w:t xml:space="preserve"> synthesis </w:t>
      </w:r>
      <w:r w:rsidR="001351EB">
        <w:rPr>
          <w:b w:val="0"/>
          <w:sz w:val="16"/>
          <w:szCs w:val="16"/>
        </w:rPr>
        <w:t xml:space="preserve">and yields </w:t>
      </w:r>
      <w:r w:rsidRPr="007A78A4">
        <w:rPr>
          <w:b w:val="0"/>
          <w:sz w:val="16"/>
          <w:szCs w:val="16"/>
        </w:rPr>
        <w:t xml:space="preserve">of </w:t>
      </w:r>
      <w:r w:rsidR="001351EB">
        <w:rPr>
          <w:b w:val="0"/>
          <w:sz w:val="16"/>
          <w:szCs w:val="16"/>
        </w:rPr>
        <w:t xml:space="preserve">the </w:t>
      </w:r>
      <w:r w:rsidRPr="007A78A4">
        <w:rPr>
          <w:b w:val="0"/>
          <w:sz w:val="16"/>
          <w:szCs w:val="16"/>
        </w:rPr>
        <w:t>target molecules</w:t>
      </w:r>
    </w:p>
    <w:tbl>
      <w:tblPr>
        <w:tblStyle w:val="af2"/>
        <w:tblW w:w="47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/>
      </w:tblPr>
      <w:tblGrid>
        <w:gridCol w:w="1474"/>
        <w:gridCol w:w="850"/>
        <w:gridCol w:w="1474"/>
        <w:gridCol w:w="907"/>
      </w:tblGrid>
      <w:tr w:rsidR="003741F9" w:rsidRPr="007A78A4" w:rsidTr="00D6288E">
        <w:trPr>
          <w:cantSplit/>
          <w:trHeight w:val="478"/>
        </w:trPr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BTBT derivative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Reaction time</w:t>
            </w:r>
            <w:r w:rsidRPr="007A78A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78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Purification method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7A78A4" w:rsidRDefault="003B4ADC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r w:rsidR="003741F9" w:rsidRPr="007A78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solated yield, %</w:t>
            </w:r>
          </w:p>
        </w:tc>
      </w:tr>
      <w:tr w:rsidR="003741F9" w:rsidRPr="007A78A4" w:rsidTr="004C5593">
        <w:trPr>
          <w:cantSplit/>
          <w:trHeight w:val="227"/>
        </w:trPr>
        <w:tc>
          <w:tcPr>
            <w:tcW w:w="1474" w:type="dxa"/>
            <w:tcBorders>
              <w:top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(DPA)</w:t>
            </w: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-ВТВТ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  <w:hideMark/>
          </w:tcPr>
          <w:p w:rsidR="003741F9" w:rsidRPr="007A78A4" w:rsidRDefault="003B4ADC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</w:t>
            </w:r>
            <w:r w:rsidR="003741F9" w:rsidRPr="007A78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ecrystallization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</w:tr>
      <w:tr w:rsidR="003741F9" w:rsidRPr="007A78A4" w:rsidTr="004C5593">
        <w:trPr>
          <w:cantSplit/>
          <w:trHeight w:val="227"/>
        </w:trPr>
        <w:tc>
          <w:tcPr>
            <w:tcW w:w="1474" w:type="dxa"/>
            <w:vAlign w:val="center"/>
            <w:hideMark/>
          </w:tcPr>
          <w:p w:rsidR="003741F9" w:rsidRPr="007A78A4" w:rsidRDefault="003741F9" w:rsidP="00394C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NPA)</w:t>
            </w: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-</w:t>
            </w: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ВТВТ</w:t>
            </w:r>
          </w:p>
        </w:tc>
        <w:tc>
          <w:tcPr>
            <w:tcW w:w="850" w:type="dxa"/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74" w:type="dxa"/>
            <w:vMerge w:val="restart"/>
            <w:vAlign w:val="center"/>
            <w:hideMark/>
          </w:tcPr>
          <w:p w:rsidR="003741F9" w:rsidRPr="007A78A4" w:rsidRDefault="003B4ADC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3741F9" w:rsidRPr="007A78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olumn chromatography</w:t>
            </w:r>
          </w:p>
        </w:tc>
        <w:tc>
          <w:tcPr>
            <w:tcW w:w="907" w:type="dxa"/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</w:tr>
      <w:tr w:rsidR="003741F9" w:rsidRPr="007A78A4" w:rsidTr="004C5593">
        <w:trPr>
          <w:cantSplit/>
          <w:trHeight w:val="227"/>
        </w:trPr>
        <w:tc>
          <w:tcPr>
            <w:tcW w:w="1474" w:type="dxa"/>
            <w:tcBorders>
              <w:bottom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(NTPDA)</w:t>
            </w: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7A78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-ВТВТ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47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  <w:hideMark/>
          </w:tcPr>
          <w:p w:rsidR="003741F9" w:rsidRPr="007A78A4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8A4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</w:tr>
    </w:tbl>
    <w:p w:rsidR="003741F9" w:rsidRPr="0030765F" w:rsidRDefault="003741F9" w:rsidP="007B34AA">
      <w:pPr>
        <w:pStyle w:val="Header2"/>
        <w:spacing w:line="276" w:lineRule="auto"/>
        <w:ind w:firstLine="284"/>
        <w:jc w:val="both"/>
        <w:rPr>
          <w:rFonts w:ascii="Arial" w:hAnsi="Arial" w:cs="Arial"/>
        </w:rPr>
      </w:pPr>
      <w:r w:rsidRPr="0030765F">
        <w:rPr>
          <w:rFonts w:ascii="Arial" w:hAnsi="Arial" w:cs="Arial"/>
        </w:rPr>
        <w:t xml:space="preserve">Investigation of </w:t>
      </w:r>
      <w:r>
        <w:rPr>
          <w:rFonts w:ascii="Arial" w:hAnsi="Arial" w:cs="Arial"/>
        </w:rPr>
        <w:t xml:space="preserve">the </w:t>
      </w:r>
      <w:r w:rsidRPr="0030765F">
        <w:rPr>
          <w:rFonts w:ascii="Arial" w:hAnsi="Arial" w:cs="Arial"/>
        </w:rPr>
        <w:t>optical properties</w:t>
      </w:r>
    </w:p>
    <w:p w:rsidR="00761939" w:rsidRPr="00E92F19" w:rsidRDefault="003741F9" w:rsidP="00761939">
      <w:pPr>
        <w:pStyle w:val="MainText"/>
        <w:ind w:firstLine="284"/>
        <w:rPr>
          <w:lang w:val="ru-RU"/>
        </w:rPr>
      </w:pPr>
      <w:r>
        <w:t xml:space="preserve">The absorption and fluorescence spectra of the </w:t>
      </w:r>
      <w:r w:rsidR="00E06BD3">
        <w:t xml:space="preserve">resulting </w:t>
      </w:r>
      <w:r>
        <w:t xml:space="preserve">molecules are shown in Fig. 1. Table 2 </w:t>
      </w:r>
      <w:r w:rsidR="00E06BD3">
        <w:t>present</w:t>
      </w:r>
      <w:r>
        <w:t xml:space="preserve">s their main optical characteristics obtained for dilute solutions in THF: molar extinction coefficients and fluorescence quantum yields. An increase in the size of the donor </w:t>
      </w:r>
      <w:r w:rsidR="00A970C0">
        <w:t>moiety</w:t>
      </w:r>
      <w:r>
        <w:t xml:space="preserve"> (amine) in the DPA</w:t>
      </w:r>
      <w:r w:rsidR="00A970C0">
        <w:t xml:space="preserve">, </w:t>
      </w:r>
      <w:r>
        <w:t>NPA</w:t>
      </w:r>
      <w:r w:rsidR="00A970C0">
        <w:t xml:space="preserve">, </w:t>
      </w:r>
      <w:r>
        <w:t xml:space="preserve">NTPDA series </w:t>
      </w:r>
      <w:r w:rsidR="00A970C0">
        <w:t>only slightly affects</w:t>
      </w:r>
      <w:r>
        <w:t xml:space="preserve"> the position of the long-wavelength absorption maximum and significantly increases the molar extinction coefficient.</w:t>
      </w:r>
      <w:r w:rsidR="001647DC">
        <w:t xml:space="preserve"> </w:t>
      </w:r>
      <w:r>
        <w:t xml:space="preserve">This is due </w:t>
      </w:r>
      <w:r w:rsidR="00D024B1">
        <w:t xml:space="preserve">to </w:t>
      </w:r>
      <w:r>
        <w:t xml:space="preserve">both an increase in the π-system as a whole and an increase in the number of electrons of heteroatoms (nitrogen) involved in </w:t>
      </w:r>
      <w:r w:rsidR="00D024B1">
        <w:t xml:space="preserve">the </w:t>
      </w:r>
      <w:r>
        <w:t xml:space="preserve">π-conjugation. The spectral width of the absorption bands increases with </w:t>
      </w:r>
      <w:r w:rsidR="00D024B1">
        <w:t xml:space="preserve">an </w:t>
      </w:r>
      <w:r>
        <w:t xml:space="preserve">increasing size of the donor </w:t>
      </w:r>
      <w:r w:rsidR="00D024B1">
        <w:t>moiety</w:t>
      </w:r>
      <w:r>
        <w:t xml:space="preserve"> (amine) in the DPA</w:t>
      </w:r>
      <w:r w:rsidR="00D024B1">
        <w:t xml:space="preserve">, </w:t>
      </w:r>
      <w:r>
        <w:t>NPA</w:t>
      </w:r>
      <w:r w:rsidR="00D024B1">
        <w:t>,</w:t>
      </w:r>
      <w:r>
        <w:t xml:space="preserve"> NTPDA series: 3000</w:t>
      </w:r>
      <w:r w:rsidRPr="003060BD">
        <w:t xml:space="preserve"> </w:t>
      </w:r>
      <w:r>
        <w:t>cm</w:t>
      </w:r>
      <w:r w:rsidR="00D024B1">
        <w:rPr>
          <w:vertAlign w:val="superscript"/>
        </w:rPr>
        <w:t>–</w:t>
      </w:r>
      <w:r w:rsidRPr="003060BD">
        <w:rPr>
          <w:vertAlign w:val="superscript"/>
        </w:rPr>
        <w:t>1</w:t>
      </w:r>
      <w:r w:rsidR="00D024B1">
        <w:t>,</w:t>
      </w:r>
      <w:r>
        <w:t xml:space="preserve"> 4400 cm</w:t>
      </w:r>
      <w:r w:rsidR="00D024B1">
        <w:rPr>
          <w:vertAlign w:val="superscript"/>
        </w:rPr>
        <w:t>–</w:t>
      </w:r>
      <w:r w:rsidRPr="003060BD">
        <w:rPr>
          <w:vertAlign w:val="superscript"/>
        </w:rPr>
        <w:t>1</w:t>
      </w:r>
      <w:r w:rsidR="00D024B1">
        <w:t>,</w:t>
      </w:r>
      <w:r>
        <w:t xml:space="preserve"> </w:t>
      </w:r>
      <w:r w:rsidRPr="001647DC">
        <w:rPr>
          <w:highlight w:val="magenta"/>
        </w:rPr>
        <w:t>6000</w:t>
      </w:r>
      <w:r w:rsidR="001647DC">
        <w:br/>
      </w:r>
      <w:r>
        <w:t>cm</w:t>
      </w:r>
      <w:r w:rsidR="00D024B1">
        <w:rPr>
          <w:vertAlign w:val="superscript"/>
        </w:rPr>
        <w:t>–</w:t>
      </w:r>
      <w:r w:rsidRPr="003060BD">
        <w:rPr>
          <w:vertAlign w:val="superscript"/>
        </w:rPr>
        <w:t>1</w:t>
      </w:r>
      <w:r>
        <w:t xml:space="preserve">. This is caused by an increase in the conformational diversity and natural oscillation frequencies due to a greater number of branches and corresponding rotational capabilities in the donor </w:t>
      </w:r>
      <w:r w:rsidR="00B22671">
        <w:t>moieties</w:t>
      </w:r>
      <w:r>
        <w:t xml:space="preserve">. The position of the maximum of the fluorescence spectrum shifts towards higher wavelengths with </w:t>
      </w:r>
      <w:r w:rsidR="00B22671">
        <w:t xml:space="preserve">an </w:t>
      </w:r>
      <w:r>
        <w:t xml:space="preserve">increasing size of the donor </w:t>
      </w:r>
      <w:r w:rsidR="00B22671">
        <w:t>moiety</w:t>
      </w:r>
      <w:r>
        <w:t>.</w:t>
      </w:r>
    </w:p>
    <w:p w:rsidR="003741F9" w:rsidRPr="00F151A4" w:rsidRDefault="00F151A4" w:rsidP="00F151A4">
      <w:pPr>
        <w:pStyle w:val="MainText"/>
        <w:spacing w:before="200" w:after="120"/>
        <w:ind w:firstLine="0"/>
      </w:pPr>
      <w:r>
        <w:object w:dxaOrig="14945" w:dyaOrig="7265">
          <v:shape id="_x0000_i1027" type="#_x0000_t75" style="width:230.95pt;height:120.9pt" o:ole="">
            <v:imagedata r:id="rId15" o:title="" cropleft="2486f" cropright="2486f"/>
          </v:shape>
          <o:OLEObject Type="Embed" ProgID="Origin95.Graph" ShapeID="_x0000_i1027" DrawAspect="Content" ObjectID="_1810657384" r:id="rId16"/>
        </w:object>
      </w:r>
      <w:proofErr w:type="gramStart"/>
      <w:r w:rsidR="003741F9" w:rsidRPr="00B22671">
        <w:rPr>
          <w:rStyle w:val="Captions0"/>
          <w:sz w:val="16"/>
          <w:szCs w:val="16"/>
        </w:rPr>
        <w:t>Figure 1.</w:t>
      </w:r>
      <w:proofErr w:type="gramEnd"/>
      <w:r w:rsidR="003741F9" w:rsidRPr="00B22671">
        <w:rPr>
          <w:rStyle w:val="Captions0"/>
          <w:sz w:val="16"/>
          <w:szCs w:val="16"/>
        </w:rPr>
        <w:t xml:space="preserve"> Absorption and luminescence spectra of </w:t>
      </w:r>
      <w:r w:rsidR="003741F9" w:rsidRPr="00B22671">
        <w:rPr>
          <w:bCs/>
          <w:sz w:val="16"/>
          <w:szCs w:val="16"/>
        </w:rPr>
        <w:t>(DPA</w:t>
      </w:r>
      <w:proofErr w:type="gramStart"/>
      <w:r w:rsidR="003741F9" w:rsidRPr="00B22671">
        <w:rPr>
          <w:bCs/>
          <w:sz w:val="16"/>
          <w:szCs w:val="16"/>
        </w:rPr>
        <w:t>)</w:t>
      </w:r>
      <w:r w:rsidR="003741F9" w:rsidRPr="00B22671">
        <w:rPr>
          <w:bCs/>
          <w:sz w:val="16"/>
          <w:szCs w:val="16"/>
          <w:vertAlign w:val="subscript"/>
        </w:rPr>
        <w:t>2</w:t>
      </w:r>
      <w:proofErr w:type="gramEnd"/>
      <w:r w:rsidR="003741F9" w:rsidRPr="00B22671">
        <w:rPr>
          <w:bCs/>
          <w:sz w:val="16"/>
          <w:szCs w:val="16"/>
        </w:rPr>
        <w:t>-</w:t>
      </w:r>
      <w:r w:rsidR="003741F9" w:rsidRPr="00B22671">
        <w:rPr>
          <w:bCs/>
          <w:sz w:val="16"/>
          <w:szCs w:val="16"/>
          <w:lang w:val="ru-RU"/>
        </w:rPr>
        <w:t>ВТВТ</w:t>
      </w:r>
      <w:r w:rsidR="003741F9" w:rsidRPr="00B22671">
        <w:rPr>
          <w:rStyle w:val="Captions0"/>
          <w:sz w:val="16"/>
          <w:szCs w:val="16"/>
        </w:rPr>
        <w:t>,</w:t>
      </w:r>
      <w:r w:rsidR="00B22671">
        <w:rPr>
          <w:rStyle w:val="Captions0"/>
          <w:sz w:val="16"/>
          <w:szCs w:val="16"/>
        </w:rPr>
        <w:t xml:space="preserve"> </w:t>
      </w:r>
      <w:r w:rsidR="003741F9" w:rsidRPr="00B22671">
        <w:rPr>
          <w:bCs/>
          <w:sz w:val="16"/>
          <w:szCs w:val="16"/>
        </w:rPr>
        <w:t>(NPA)</w:t>
      </w:r>
      <w:r w:rsidR="003741F9" w:rsidRPr="00B22671">
        <w:rPr>
          <w:bCs/>
          <w:sz w:val="16"/>
          <w:szCs w:val="16"/>
          <w:vertAlign w:val="subscript"/>
        </w:rPr>
        <w:t>2</w:t>
      </w:r>
      <w:r w:rsidR="003741F9" w:rsidRPr="00B22671">
        <w:rPr>
          <w:bCs/>
          <w:sz w:val="16"/>
          <w:szCs w:val="16"/>
        </w:rPr>
        <w:t>-</w:t>
      </w:r>
      <w:r w:rsidR="003741F9" w:rsidRPr="00B22671">
        <w:rPr>
          <w:bCs/>
          <w:sz w:val="16"/>
          <w:szCs w:val="16"/>
          <w:lang w:val="ru-RU"/>
        </w:rPr>
        <w:t>ВТВТ</w:t>
      </w:r>
      <w:r w:rsidR="00B22671">
        <w:rPr>
          <w:rStyle w:val="Captions0"/>
          <w:bCs/>
          <w:sz w:val="16"/>
          <w:szCs w:val="16"/>
        </w:rPr>
        <w:t xml:space="preserve">, </w:t>
      </w:r>
      <w:r w:rsidR="003741F9" w:rsidRPr="00B22671">
        <w:rPr>
          <w:rStyle w:val="Captions0"/>
          <w:sz w:val="16"/>
          <w:szCs w:val="16"/>
        </w:rPr>
        <w:t>and</w:t>
      </w:r>
      <w:r w:rsidR="00B22671">
        <w:rPr>
          <w:rStyle w:val="Captions0"/>
          <w:sz w:val="16"/>
          <w:szCs w:val="16"/>
        </w:rPr>
        <w:t xml:space="preserve"> </w:t>
      </w:r>
      <w:r w:rsidR="003741F9" w:rsidRPr="00B22671">
        <w:rPr>
          <w:bCs/>
          <w:sz w:val="16"/>
          <w:szCs w:val="16"/>
        </w:rPr>
        <w:t>(NTPDA)</w:t>
      </w:r>
      <w:r w:rsidR="003741F9" w:rsidRPr="00B22671">
        <w:rPr>
          <w:bCs/>
          <w:sz w:val="16"/>
          <w:szCs w:val="16"/>
          <w:vertAlign w:val="subscript"/>
        </w:rPr>
        <w:t>2</w:t>
      </w:r>
      <w:r w:rsidR="003741F9" w:rsidRPr="00B22671">
        <w:rPr>
          <w:bCs/>
          <w:sz w:val="16"/>
          <w:szCs w:val="16"/>
        </w:rPr>
        <w:t>-</w:t>
      </w:r>
      <w:r w:rsidR="003741F9" w:rsidRPr="00B22671">
        <w:rPr>
          <w:bCs/>
          <w:sz w:val="16"/>
          <w:szCs w:val="16"/>
          <w:lang w:val="ru-RU"/>
        </w:rPr>
        <w:t>ВТВТ</w:t>
      </w:r>
      <w:r w:rsidR="003741F9" w:rsidRPr="00B22671">
        <w:rPr>
          <w:rStyle w:val="Captions0"/>
          <w:sz w:val="16"/>
          <w:szCs w:val="16"/>
        </w:rPr>
        <w:t>.</w:t>
      </w:r>
    </w:p>
    <w:p w:rsidR="003741F9" w:rsidRPr="007E770D" w:rsidRDefault="003741F9" w:rsidP="00B22671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7E770D">
        <w:rPr>
          <w:rFonts w:ascii="Times New Roman" w:hAnsi="Times New Roman" w:cs="Times New Roman"/>
          <w:b/>
          <w:sz w:val="16"/>
          <w:szCs w:val="16"/>
          <w:lang w:val="en-US"/>
        </w:rPr>
        <w:t>Table 2.</w:t>
      </w:r>
      <w:proofErr w:type="gramEnd"/>
      <w:r w:rsidRPr="007E770D">
        <w:rPr>
          <w:rFonts w:ascii="Times New Roman" w:hAnsi="Times New Roman" w:cs="Times New Roman"/>
          <w:sz w:val="16"/>
          <w:szCs w:val="16"/>
          <w:lang w:val="en-US"/>
        </w:rPr>
        <w:t xml:space="preserve"> Optical properties</w:t>
      </w:r>
      <w:r w:rsidR="007E770D">
        <w:rPr>
          <w:rFonts w:ascii="Times New Roman" w:hAnsi="Times New Roman" w:cs="Times New Roman"/>
          <w:sz w:val="16"/>
          <w:szCs w:val="16"/>
          <w:lang w:val="en-US"/>
        </w:rPr>
        <w:t xml:space="preserve"> of the compounds </w:t>
      </w:r>
      <w:r w:rsidR="00740861">
        <w:rPr>
          <w:rFonts w:ascii="Times New Roman" w:hAnsi="Times New Roman" w:cs="Times New Roman"/>
          <w:sz w:val="16"/>
          <w:szCs w:val="16"/>
          <w:lang w:val="en-US"/>
        </w:rPr>
        <w:t xml:space="preserve">obtained </w:t>
      </w:r>
      <w:r w:rsidRPr="007E770D">
        <w:rPr>
          <w:rFonts w:ascii="Times New Roman" w:hAnsi="Times New Roman" w:cs="Times New Roman"/>
          <w:sz w:val="16"/>
          <w:szCs w:val="16"/>
          <w:lang w:val="en-US"/>
        </w:rPr>
        <w:t>in diluted THF solution</w:t>
      </w:r>
      <w:r w:rsidR="007E770D" w:rsidRPr="007E770D">
        <w:rPr>
          <w:rFonts w:ascii="Times New Roman" w:hAnsi="Times New Roman" w:cs="Times New Roman"/>
          <w:sz w:val="16"/>
          <w:szCs w:val="16"/>
          <w:lang w:val="en-US"/>
        </w:rPr>
        <w:t>s</w:t>
      </w:r>
    </w:p>
    <w:tbl>
      <w:tblPr>
        <w:tblStyle w:val="af2"/>
        <w:tblW w:w="4705" w:type="dxa"/>
        <w:jc w:val="center"/>
        <w:tblInd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/>
      </w:tblPr>
      <w:tblGrid>
        <w:gridCol w:w="1417"/>
        <w:gridCol w:w="907"/>
        <w:gridCol w:w="907"/>
        <w:gridCol w:w="907"/>
        <w:gridCol w:w="567"/>
      </w:tblGrid>
      <w:tr w:rsidR="00C25075" w:rsidRPr="007E770D" w:rsidTr="00C25075">
        <w:trPr>
          <w:cantSplit/>
          <w:trHeight w:val="227"/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BTBT derivative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C25075" w:rsidRDefault="00C80843" w:rsidP="00C250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abs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max</m:t>
                  </m:r>
                </m:sup>
              </m:sSubSup>
            </m:oMath>
            <w:r w:rsidR="00C25075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, nm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7E770D" w:rsidRDefault="00C80843" w:rsidP="00C250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fluor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max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</m:oMath>
            <w:r>
              <w:rPr>
                <w:rFonts w:ascii="Times New Roman" w:eastAsiaTheme="minorEastAsia" w:hAnsi="Times New Roman"/>
                <w:sz w:val="16"/>
                <w:szCs w:val="16"/>
                <w:lang w:val="en-US"/>
              </w:rPr>
              <w:t xml:space="preserve"> </w:t>
            </w:r>
            <w:r w:rsidR="003741F9" w:rsidRPr="007E770D">
              <w:rPr>
                <w:rFonts w:ascii="Times New Roman" w:hAnsi="Times New Roman"/>
                <w:sz w:val="16"/>
                <w:szCs w:val="16"/>
                <w:lang w:val="en-US"/>
              </w:rPr>
              <w:t>nm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C80843" w:rsidRDefault="00C80843" w:rsidP="00C808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max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3741F9" w:rsidRPr="00C80843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="003741F9" w:rsidRPr="00C8084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−1</w:t>
            </w:r>
            <w:r w:rsidR="003741F9" w:rsidRPr="00C80843">
              <w:rPr>
                <w:rFonts w:ascii="Cambria Math" w:hAnsi="Cambria Math" w:cs="Cambria Math"/>
                <w:sz w:val="16"/>
                <w:szCs w:val="16"/>
              </w:rPr>
              <w:t>⋅</w:t>
            </w:r>
            <w:r w:rsidR="003741F9" w:rsidRPr="007E770D">
              <w:rPr>
                <w:rFonts w:ascii="Times New Roman" w:hAnsi="Times New Roman" w:cs="Times New Roman"/>
                <w:sz w:val="16"/>
                <w:szCs w:val="16"/>
              </w:rPr>
              <w:t>cm</w:t>
            </w:r>
            <w:r w:rsidR="003741F9" w:rsidRPr="00C80843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Q,</w:t>
            </w:r>
            <w:r w:rsid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</w:p>
        </w:tc>
      </w:tr>
      <w:tr w:rsidR="00C25075" w:rsidRPr="007E770D" w:rsidTr="00C25075">
        <w:trPr>
          <w:cantSplit/>
          <w:trHeight w:val="227"/>
          <w:jc w:val="center"/>
        </w:trPr>
        <w:tc>
          <w:tcPr>
            <w:tcW w:w="1417" w:type="dxa"/>
            <w:tcBorders>
              <w:top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(DPA)</w:t>
            </w: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-ВТВТ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/>
                <w:sz w:val="16"/>
                <w:szCs w:val="16"/>
                <w:lang w:val="en-US"/>
              </w:rPr>
              <w:t>391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/>
                <w:sz w:val="16"/>
                <w:szCs w:val="16"/>
                <w:lang w:val="en-US"/>
              </w:rPr>
              <w:t>411</w:t>
            </w:r>
            <w:r w:rsidRPr="007E770D">
              <w:rPr>
                <w:rFonts w:ascii="Times New Roman" w:hAnsi="Times New Roman"/>
                <w:sz w:val="16"/>
                <w:szCs w:val="16"/>
              </w:rPr>
              <w:t>/430</w:t>
            </w:r>
            <w:proofErr w:type="spellStart"/>
            <w:r w:rsidRPr="007E770D">
              <w:rPr>
                <w:rFonts w:ascii="Times New Roman" w:hAnsi="Times New Roman"/>
                <w:sz w:val="16"/>
                <w:szCs w:val="16"/>
                <w:vertAlign w:val="superscript"/>
                <w:lang w:val="en-US"/>
              </w:rPr>
              <w:t>sh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29700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</w:t>
            </w:r>
          </w:p>
        </w:tc>
      </w:tr>
      <w:tr w:rsidR="00C25075" w:rsidRPr="007E770D" w:rsidTr="00C25075">
        <w:trPr>
          <w:cantSplit/>
          <w:trHeight w:val="227"/>
          <w:jc w:val="center"/>
        </w:trPr>
        <w:tc>
          <w:tcPr>
            <w:tcW w:w="1417" w:type="dxa"/>
            <w:vAlign w:val="center"/>
            <w:hideMark/>
          </w:tcPr>
          <w:p w:rsidR="003741F9" w:rsidRPr="007E770D" w:rsidRDefault="003741F9" w:rsidP="007E770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NPA)</w:t>
            </w: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-</w:t>
            </w: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ВТВТ</w:t>
            </w:r>
          </w:p>
        </w:tc>
        <w:tc>
          <w:tcPr>
            <w:tcW w:w="907" w:type="dxa"/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/>
                <w:sz w:val="16"/>
                <w:szCs w:val="16"/>
                <w:lang w:val="en-US"/>
              </w:rPr>
              <w:t>392</w:t>
            </w:r>
          </w:p>
        </w:tc>
        <w:tc>
          <w:tcPr>
            <w:tcW w:w="907" w:type="dxa"/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/>
                <w:sz w:val="16"/>
                <w:szCs w:val="16"/>
                <w:lang w:val="en-US"/>
              </w:rPr>
              <w:t>420</w:t>
            </w:r>
            <w:r w:rsidRPr="007E770D">
              <w:rPr>
                <w:rFonts w:ascii="Times New Roman" w:hAnsi="Times New Roman"/>
                <w:sz w:val="16"/>
                <w:szCs w:val="16"/>
                <w:vertAlign w:val="superscript"/>
                <w:lang w:val="en-US"/>
              </w:rPr>
              <w:t>sh</w:t>
            </w:r>
            <w:r w:rsidRPr="007E770D">
              <w:rPr>
                <w:rFonts w:ascii="Times New Roman" w:hAnsi="Times New Roman"/>
                <w:sz w:val="16"/>
                <w:szCs w:val="16"/>
                <w:lang w:val="en-US"/>
              </w:rPr>
              <w:t>/446</w:t>
            </w:r>
          </w:p>
        </w:tc>
        <w:tc>
          <w:tcPr>
            <w:tcW w:w="907" w:type="dxa"/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68500</w:t>
            </w:r>
          </w:p>
        </w:tc>
        <w:tc>
          <w:tcPr>
            <w:tcW w:w="567" w:type="dxa"/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</w:tr>
      <w:tr w:rsidR="00C25075" w:rsidRPr="007E770D" w:rsidTr="00C25075">
        <w:trPr>
          <w:cantSplit/>
          <w:trHeight w:val="227"/>
          <w:jc w:val="center"/>
        </w:trPr>
        <w:tc>
          <w:tcPr>
            <w:tcW w:w="1417" w:type="dxa"/>
            <w:tcBorders>
              <w:bottom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(NTPDA)</w:t>
            </w: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7E770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-ВТВТ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/>
                <w:sz w:val="16"/>
                <w:szCs w:val="16"/>
                <w:lang w:val="en-US"/>
              </w:rPr>
              <w:t>398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/>
                <w:sz w:val="16"/>
                <w:szCs w:val="16"/>
                <w:lang w:val="en-US"/>
              </w:rPr>
              <w:t>488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67900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  <w:hideMark/>
          </w:tcPr>
          <w:p w:rsidR="003741F9" w:rsidRPr="007E770D" w:rsidRDefault="003741F9" w:rsidP="007E770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E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</w:tr>
    </w:tbl>
    <w:p w:rsidR="003741F9" w:rsidRDefault="003741F9" w:rsidP="003741F9">
      <w:pPr>
        <w:pStyle w:val="Header1"/>
        <w:spacing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1F2366">
        <w:rPr>
          <w:rFonts w:ascii="Times New Roman" w:hAnsi="Times New Roman" w:cs="Times New Roman"/>
          <w:b w:val="0"/>
          <w:sz w:val="18"/>
          <w:szCs w:val="18"/>
        </w:rPr>
        <w:t>At the same time, the magnitude of the Stokes shift in the DPA</w:t>
      </w:r>
      <w:r w:rsidR="007E770D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>NPA</w:t>
      </w:r>
      <w:r w:rsidR="007E770D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gramStart"/>
      <w:r w:rsidRPr="001F2366">
        <w:rPr>
          <w:rFonts w:ascii="Times New Roman" w:hAnsi="Times New Roman" w:cs="Times New Roman"/>
          <w:b w:val="0"/>
          <w:sz w:val="18"/>
          <w:szCs w:val="18"/>
        </w:rPr>
        <w:t>NTPDA</w:t>
      </w:r>
      <w:proofErr w:type="gramEnd"/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series increases: 1200 cm</w:t>
      </w:r>
      <w:r w:rsidR="007E770D">
        <w:rPr>
          <w:rFonts w:ascii="Times New Roman" w:hAnsi="Times New Roman" w:cs="Times New Roman"/>
          <w:b w:val="0"/>
          <w:sz w:val="18"/>
          <w:szCs w:val="18"/>
          <w:vertAlign w:val="superscript"/>
        </w:rPr>
        <w:t>–</w:t>
      </w:r>
      <w:r w:rsidRPr="003060B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="00E60D15">
        <w:rPr>
          <w:rFonts w:ascii="Times New Roman" w:hAnsi="Times New Roman" w:cs="Times New Roman"/>
          <w:b w:val="0"/>
          <w:sz w:val="18"/>
          <w:szCs w:val="18"/>
        </w:rPr>
        <w:t>,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1700 cm</w:t>
      </w:r>
      <w:r w:rsidR="00E60D15">
        <w:rPr>
          <w:rFonts w:ascii="Times New Roman" w:hAnsi="Times New Roman" w:cs="Times New Roman"/>
          <w:b w:val="0"/>
          <w:sz w:val="18"/>
          <w:szCs w:val="18"/>
          <w:vertAlign w:val="superscript"/>
        </w:rPr>
        <w:t>–</w:t>
      </w:r>
      <w:r w:rsidRPr="003060B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="00E60D15">
        <w:rPr>
          <w:rFonts w:ascii="Times New Roman" w:hAnsi="Times New Roman" w:cs="Times New Roman"/>
          <w:b w:val="0"/>
          <w:sz w:val="18"/>
          <w:szCs w:val="18"/>
        </w:rPr>
        <w:t>,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4500 cm</w:t>
      </w:r>
      <w:r w:rsidR="00E60D15">
        <w:rPr>
          <w:rFonts w:ascii="Times New Roman" w:hAnsi="Times New Roman" w:cs="Times New Roman"/>
          <w:b w:val="0"/>
          <w:sz w:val="18"/>
          <w:szCs w:val="18"/>
          <w:vertAlign w:val="superscript"/>
        </w:rPr>
        <w:t>–</w:t>
      </w:r>
      <w:r w:rsidRPr="003060B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E60D15">
        <w:rPr>
          <w:rFonts w:ascii="Times New Roman" w:hAnsi="Times New Roman" w:cs="Times New Roman"/>
          <w:b w:val="0"/>
          <w:sz w:val="18"/>
          <w:szCs w:val="18"/>
        </w:rPr>
        <w:t>A</w:t>
      </w:r>
      <w:r w:rsidR="00740861">
        <w:rPr>
          <w:rFonts w:ascii="Times New Roman" w:hAnsi="Times New Roman" w:cs="Times New Roman"/>
          <w:b w:val="0"/>
          <w:sz w:val="18"/>
          <w:szCs w:val="18"/>
        </w:rPr>
        <w:t>n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increase in the Stokes shift is explained by the large energy losses due to rotational vibrations of the rings, which are part</w:t>
      </w:r>
      <w:r w:rsidR="0063064E">
        <w:rPr>
          <w:rFonts w:ascii="Times New Roman" w:hAnsi="Times New Roman" w:cs="Times New Roman"/>
          <w:b w:val="0"/>
          <w:sz w:val="18"/>
          <w:szCs w:val="18"/>
        </w:rPr>
        <w:t>s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of the DPA</w:t>
      </w:r>
      <w:r w:rsidR="0063064E">
        <w:rPr>
          <w:rFonts w:ascii="Times New Roman" w:hAnsi="Times New Roman" w:cs="Times New Roman"/>
          <w:b w:val="0"/>
          <w:sz w:val="18"/>
          <w:szCs w:val="18"/>
        </w:rPr>
        <w:t>,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NPA</w:t>
      </w:r>
      <w:r w:rsidR="0063064E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NTPDA </w:t>
      </w:r>
      <w:r w:rsidR="0063064E">
        <w:rPr>
          <w:rFonts w:ascii="Times New Roman" w:hAnsi="Times New Roman" w:cs="Times New Roman"/>
          <w:b w:val="0"/>
          <w:sz w:val="18"/>
          <w:szCs w:val="18"/>
        </w:rPr>
        <w:t>moieties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. The spectral width of the fluorescence bands increases in the same 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lastRenderedPageBreak/>
        <w:t>way as the long-wavelength absorption bands: 2400 cm</w:t>
      </w:r>
      <w:r w:rsidR="00C12D5C">
        <w:rPr>
          <w:rFonts w:ascii="Times New Roman" w:hAnsi="Times New Roman" w:cs="Times New Roman"/>
          <w:b w:val="0"/>
          <w:sz w:val="18"/>
          <w:szCs w:val="18"/>
          <w:vertAlign w:val="superscript"/>
        </w:rPr>
        <w:t>–</w:t>
      </w:r>
      <w:r w:rsidRPr="003060B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="00C12D5C">
        <w:rPr>
          <w:rFonts w:ascii="Times New Roman" w:hAnsi="Times New Roman" w:cs="Times New Roman"/>
          <w:b w:val="0"/>
          <w:sz w:val="18"/>
          <w:szCs w:val="18"/>
        </w:rPr>
        <w:t>,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3900 cm</w:t>
      </w:r>
      <w:r w:rsidR="00C12D5C">
        <w:rPr>
          <w:rFonts w:ascii="Times New Roman" w:hAnsi="Times New Roman" w:cs="Times New Roman"/>
          <w:b w:val="0"/>
          <w:sz w:val="18"/>
          <w:szCs w:val="18"/>
          <w:vertAlign w:val="superscript"/>
        </w:rPr>
        <w:t>–</w:t>
      </w:r>
      <w:r w:rsidRPr="003060B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="00C12D5C">
        <w:rPr>
          <w:rFonts w:ascii="Times New Roman" w:hAnsi="Times New Roman" w:cs="Times New Roman"/>
          <w:b w:val="0"/>
          <w:sz w:val="18"/>
          <w:szCs w:val="18"/>
        </w:rPr>
        <w:t>,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4200 cm</w:t>
      </w:r>
      <w:r w:rsidR="00C12D5C">
        <w:rPr>
          <w:rFonts w:ascii="Times New Roman" w:hAnsi="Times New Roman" w:cs="Times New Roman"/>
          <w:b w:val="0"/>
          <w:sz w:val="18"/>
          <w:szCs w:val="18"/>
          <w:vertAlign w:val="superscript"/>
        </w:rPr>
        <w:t>–</w:t>
      </w:r>
      <w:r w:rsidRPr="003060BD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>. There is a fairly good mirror symmetry of the absorption and fluorescence spectra. Consequently, the sets of conformations and natural oscillation frequencies of the ground and excited states are approximately the same.</w:t>
      </w:r>
    </w:p>
    <w:p w:rsidR="003741F9" w:rsidRPr="00B65347" w:rsidRDefault="003741F9" w:rsidP="00C12D5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1F2366">
        <w:rPr>
          <w:rFonts w:ascii="Times New Roman" w:hAnsi="Times New Roman" w:cs="Times New Roman"/>
          <w:b w:val="0"/>
          <w:sz w:val="18"/>
          <w:szCs w:val="18"/>
        </w:rPr>
        <w:t>The quantum yield of fluorescence in the DPA</w:t>
      </w:r>
      <w:r w:rsidR="00C12D5C">
        <w:rPr>
          <w:rFonts w:ascii="Times New Roman" w:hAnsi="Times New Roman" w:cs="Times New Roman"/>
          <w:b w:val="0"/>
          <w:sz w:val="18"/>
          <w:szCs w:val="18"/>
        </w:rPr>
        <w:t>,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NPA</w:t>
      </w:r>
      <w:r w:rsidR="00C12D5C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>NTPDA series is consistently decreasing (Table 2). This is due to changes in the relative position</w:t>
      </w:r>
      <w:r w:rsidR="00C12D5C">
        <w:rPr>
          <w:rFonts w:ascii="Times New Roman" w:hAnsi="Times New Roman" w:cs="Times New Roman"/>
          <w:b w:val="0"/>
          <w:sz w:val="18"/>
          <w:szCs w:val="18"/>
        </w:rPr>
        <w:t>s</w:t>
      </w:r>
      <w:r w:rsidRPr="001F2366">
        <w:rPr>
          <w:rFonts w:ascii="Times New Roman" w:hAnsi="Times New Roman" w:cs="Times New Roman"/>
          <w:b w:val="0"/>
          <w:sz w:val="18"/>
          <w:szCs w:val="18"/>
        </w:rPr>
        <w:t xml:space="preserve"> of singlet and triplet ππ* and nπ* junctions, which is determined by the geometry of the molecule and the number of heteroatoms included in the conjugation chain.</w:t>
      </w:r>
    </w:p>
    <w:p w:rsidR="003741F9" w:rsidRDefault="003741F9" w:rsidP="00C12D5C">
      <w:pPr>
        <w:pStyle w:val="Header1"/>
        <w:spacing w:before="120" w:after="120"/>
        <w:ind w:firstLine="284"/>
        <w:jc w:val="both"/>
        <w:rPr>
          <w:sz w:val="20"/>
          <w:szCs w:val="20"/>
        </w:rPr>
      </w:pPr>
      <w:r w:rsidRPr="00874C79">
        <w:rPr>
          <w:sz w:val="20"/>
          <w:szCs w:val="20"/>
        </w:rPr>
        <w:t>Investigation of the thermal properties and phase behavior</w:t>
      </w:r>
    </w:p>
    <w:p w:rsidR="003741F9" w:rsidRDefault="003741F9" w:rsidP="003741F9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80EF4">
        <w:rPr>
          <w:rFonts w:ascii="Times New Roman" w:hAnsi="Times New Roman" w:cs="Times New Roman"/>
          <w:sz w:val="18"/>
          <w:szCs w:val="18"/>
          <w:lang w:val="en-US"/>
        </w:rPr>
        <w:t xml:space="preserve">As </w:t>
      </w:r>
      <w:r w:rsidR="00C12D5C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580EF4">
        <w:rPr>
          <w:rFonts w:ascii="Times New Roman" w:hAnsi="Times New Roman" w:cs="Times New Roman"/>
          <w:sz w:val="18"/>
          <w:szCs w:val="18"/>
          <w:lang w:val="en-US"/>
        </w:rPr>
        <w:t>shown in Table 3, the materials under investigation exhibited good thermal stability and melting points (</w:t>
      </w:r>
      <w:r w:rsidRPr="005F44C7">
        <w:rPr>
          <w:rFonts w:ascii="Times New Roman" w:hAnsi="Times New Roman" w:cs="Times New Roman"/>
          <w:i/>
          <w:iCs/>
          <w:sz w:val="18"/>
          <w:szCs w:val="18"/>
          <w:lang w:val="en-US"/>
        </w:rPr>
        <w:t>T</w:t>
      </w:r>
      <w:r w:rsidRPr="005F44C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m</w:t>
      </w:r>
      <w:r w:rsidRPr="00580EF4">
        <w:rPr>
          <w:rFonts w:ascii="Times New Roman" w:hAnsi="Times New Roman" w:cs="Times New Roman"/>
          <w:sz w:val="18"/>
          <w:szCs w:val="18"/>
          <w:lang w:val="en-US"/>
        </w:rPr>
        <w:t>) that fall within the operating and manufacturing range of OLED devices.</w:t>
      </w:r>
    </w:p>
    <w:p w:rsidR="003741F9" w:rsidRPr="00C12D5C" w:rsidRDefault="003741F9" w:rsidP="00AB02BB">
      <w:pPr>
        <w:spacing w:before="200" w:after="120"/>
        <w:jc w:val="both"/>
        <w:rPr>
          <w:sz w:val="16"/>
          <w:szCs w:val="16"/>
          <w:lang w:val="en-US"/>
        </w:rPr>
      </w:pPr>
      <w:r w:rsidRPr="00C12D5C">
        <w:rPr>
          <w:rFonts w:ascii="Times New Roman" w:hAnsi="Times New Roman" w:cs="Times New Roman"/>
          <w:b/>
          <w:sz w:val="16"/>
          <w:szCs w:val="16"/>
          <w:lang w:val="en-US"/>
        </w:rPr>
        <w:t>Table 3.</w:t>
      </w:r>
      <w:r w:rsidRPr="00C12D5C">
        <w:rPr>
          <w:sz w:val="16"/>
          <w:szCs w:val="16"/>
          <w:lang w:val="en-US"/>
        </w:rPr>
        <w:t xml:space="preserve"> </w:t>
      </w:r>
      <w:r w:rsidRPr="00C12D5C">
        <w:rPr>
          <w:rFonts w:ascii="Times New Roman" w:hAnsi="Times New Roman" w:cs="Times New Roman"/>
          <w:sz w:val="16"/>
          <w:szCs w:val="16"/>
          <w:lang w:val="en-US"/>
        </w:rPr>
        <w:t xml:space="preserve">Thermal properties of </w:t>
      </w:r>
      <w:r w:rsidR="00116F30">
        <w:rPr>
          <w:rFonts w:ascii="Times New Roman" w:hAnsi="Times New Roman" w:cs="Times New Roman"/>
          <w:sz w:val="16"/>
          <w:szCs w:val="16"/>
          <w:lang w:val="en-US"/>
        </w:rPr>
        <w:t xml:space="preserve">the resulting </w:t>
      </w:r>
      <w:r w:rsidRPr="00C12D5C">
        <w:rPr>
          <w:rFonts w:ascii="Times New Roman" w:hAnsi="Times New Roman" w:cs="Times New Roman"/>
          <w:sz w:val="16"/>
          <w:szCs w:val="16"/>
          <w:lang w:val="en-US"/>
        </w:rPr>
        <w:t>materials</w:t>
      </w:r>
    </w:p>
    <w:tbl>
      <w:tblPr>
        <w:tblStyle w:val="af2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/>
      </w:tblPr>
      <w:tblGrid>
        <w:gridCol w:w="1560"/>
        <w:gridCol w:w="1039"/>
        <w:gridCol w:w="1039"/>
        <w:gridCol w:w="1040"/>
      </w:tblGrid>
      <w:tr w:rsidR="003741F9" w:rsidRPr="00C12D5C" w:rsidTr="004C5593">
        <w:trPr>
          <w:cantSplit/>
          <w:trHeight w:val="22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C12D5C" w:rsidRDefault="003741F9" w:rsidP="00394C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BTBT derivative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D5C">
              <w:rPr>
                <w:rStyle w:val="af4"/>
                <w:rFonts w:ascii="Times New Roman" w:hAnsi="Times New Roman" w:cs="Times New Roman"/>
                <w:color w:val="1F1F1F"/>
                <w:sz w:val="16"/>
                <w:szCs w:val="16"/>
              </w:rPr>
              <w:t>T</w:t>
            </w:r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  <w:vertAlign w:val="subscript"/>
              </w:rPr>
              <w:t>d</w:t>
            </w:r>
            <w:proofErr w:type="spellEnd"/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</w:rPr>
              <w:t>,</w:t>
            </w:r>
            <w:r w:rsidR="00C12D5C"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  <w:lang w:val="en-US"/>
              </w:rPr>
              <w:t xml:space="preserve"> </w:t>
            </w:r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</w:rPr>
              <w:t>℃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C12D5C" w:rsidRDefault="003741F9" w:rsidP="00394C5E">
            <w:pPr>
              <w:ind w:hanging="2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Style w:val="af4"/>
                <w:rFonts w:ascii="Times New Roman" w:hAnsi="Times New Roman" w:cs="Times New Roman"/>
                <w:color w:val="1F1F1F"/>
                <w:sz w:val="16"/>
                <w:szCs w:val="16"/>
              </w:rPr>
              <w:t>T</w:t>
            </w:r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  <w:vertAlign w:val="subscript"/>
                <w:lang w:val="en-US"/>
              </w:rPr>
              <w:t>m</w:t>
            </w:r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</w:rPr>
              <w:t>,</w:t>
            </w:r>
            <w:r w:rsidR="00C12D5C"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  <w:lang w:val="en-US"/>
              </w:rPr>
              <w:t xml:space="preserve"> </w:t>
            </w:r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</w:rPr>
              <w:t>℃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D5C">
              <w:rPr>
                <w:rStyle w:val="af4"/>
                <w:rFonts w:ascii="Times New Roman" w:hAnsi="Times New Roman" w:cs="Times New Roman"/>
                <w:color w:val="1F1F1F"/>
                <w:sz w:val="16"/>
                <w:szCs w:val="16"/>
              </w:rPr>
              <w:t>T</w:t>
            </w:r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  <w:vertAlign w:val="subscript"/>
              </w:rPr>
              <w:t>g</w:t>
            </w:r>
            <w:proofErr w:type="spellEnd"/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</w:rPr>
              <w:t>,</w:t>
            </w:r>
            <w:r w:rsidR="00C12D5C"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  <w:lang w:val="en-US"/>
              </w:rPr>
              <w:t xml:space="preserve"> </w:t>
            </w:r>
            <w:r w:rsidRPr="002C7EFF">
              <w:rPr>
                <w:rStyle w:val="af4"/>
                <w:rFonts w:ascii="Times New Roman" w:hAnsi="Times New Roman" w:cs="Times New Roman"/>
                <w:i w:val="0"/>
                <w:iCs w:val="0"/>
                <w:color w:val="1F1F1F"/>
                <w:sz w:val="16"/>
                <w:szCs w:val="16"/>
              </w:rPr>
              <w:t>℃</w:t>
            </w:r>
          </w:p>
        </w:tc>
      </w:tr>
      <w:tr w:rsidR="003741F9" w:rsidRPr="00C12D5C" w:rsidTr="004C5593">
        <w:trPr>
          <w:cantSplit/>
          <w:trHeight w:val="227"/>
        </w:trPr>
        <w:tc>
          <w:tcPr>
            <w:tcW w:w="1560" w:type="dxa"/>
            <w:tcBorders>
              <w:top w:val="single" w:sz="4" w:space="0" w:color="auto"/>
            </w:tcBorders>
            <w:vAlign w:val="center"/>
            <w:hideMark/>
          </w:tcPr>
          <w:p w:rsidR="003741F9" w:rsidRPr="00C12D5C" w:rsidRDefault="003741F9" w:rsidP="00394C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(DPA)</w:t>
            </w: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-ВТВТ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44</w:t>
            </w:r>
            <w:r w:rsidRPr="00C12D5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3741F9" w:rsidRPr="00C12D5C" w:rsidRDefault="003741F9" w:rsidP="00394C5E">
            <w:pPr>
              <w:ind w:hanging="2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  <w:r w:rsidRPr="00C12D5C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:rsidR="003741F9" w:rsidRPr="00C12D5C" w:rsidRDefault="002C7EFF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</w:p>
        </w:tc>
      </w:tr>
      <w:tr w:rsidR="003741F9" w:rsidRPr="00C12D5C" w:rsidTr="004C5593">
        <w:trPr>
          <w:cantSplit/>
          <w:trHeight w:val="227"/>
        </w:trPr>
        <w:tc>
          <w:tcPr>
            <w:tcW w:w="1560" w:type="dxa"/>
            <w:vAlign w:val="center"/>
            <w:hideMark/>
          </w:tcPr>
          <w:p w:rsidR="003741F9" w:rsidRPr="00C12D5C" w:rsidRDefault="003741F9" w:rsidP="00394C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(NPA)</w:t>
            </w: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-</w:t>
            </w: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ВТВТ</w:t>
            </w:r>
          </w:p>
        </w:tc>
        <w:tc>
          <w:tcPr>
            <w:tcW w:w="1039" w:type="dxa"/>
            <w:vAlign w:val="center"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</w:t>
            </w:r>
            <w:r w:rsidRPr="00C12D5C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039" w:type="dxa"/>
            <w:vAlign w:val="center"/>
          </w:tcPr>
          <w:p w:rsidR="003741F9" w:rsidRPr="00C12D5C" w:rsidRDefault="003741F9" w:rsidP="00394C5E">
            <w:pPr>
              <w:ind w:hanging="2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  <w:r w:rsidRPr="00C12D5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40" w:type="dxa"/>
            <w:vAlign w:val="center"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</w:tr>
      <w:tr w:rsidR="003741F9" w:rsidRPr="00C12D5C" w:rsidTr="004C5593">
        <w:trPr>
          <w:cantSplit/>
          <w:trHeight w:val="227"/>
        </w:trPr>
        <w:tc>
          <w:tcPr>
            <w:tcW w:w="1560" w:type="dxa"/>
            <w:vAlign w:val="center"/>
            <w:hideMark/>
          </w:tcPr>
          <w:p w:rsidR="003741F9" w:rsidRPr="00116F30" w:rsidRDefault="003741F9" w:rsidP="00394C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(NTPDA)</w:t>
            </w: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-ВТВТ</w:t>
            </w:r>
          </w:p>
        </w:tc>
        <w:tc>
          <w:tcPr>
            <w:tcW w:w="1039" w:type="dxa"/>
            <w:vAlign w:val="center"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526</w:t>
            </w:r>
          </w:p>
        </w:tc>
        <w:tc>
          <w:tcPr>
            <w:tcW w:w="1039" w:type="dxa"/>
            <w:vAlign w:val="center"/>
          </w:tcPr>
          <w:p w:rsidR="003741F9" w:rsidRPr="00C12D5C" w:rsidRDefault="003741F9" w:rsidP="00394C5E">
            <w:pPr>
              <w:ind w:hanging="2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  <w:r w:rsidRPr="00C12D5C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40" w:type="dxa"/>
            <w:vAlign w:val="center"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</w:rPr>
              <w:t>163</w:t>
            </w:r>
          </w:p>
        </w:tc>
      </w:tr>
      <w:tr w:rsidR="003741F9" w:rsidRPr="00C12D5C" w:rsidTr="004C5593">
        <w:trPr>
          <w:cantSplit/>
          <w:trHeight w:val="227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741F9" w:rsidRPr="00C12D5C" w:rsidRDefault="003741F9" w:rsidP="00394C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12D5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NPD</w:t>
            </w:r>
            <w:r w:rsidRPr="00116F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16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[2]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3741F9" w:rsidRPr="00C12D5C" w:rsidRDefault="002C7EFF" w:rsidP="00394C5E">
            <w:pPr>
              <w:ind w:hanging="2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:rsidR="003741F9" w:rsidRPr="00C12D5C" w:rsidRDefault="003741F9" w:rsidP="00394C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D5C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</w:tr>
    </w:tbl>
    <w:p w:rsidR="003741F9" w:rsidRPr="003741F9" w:rsidRDefault="00CD0B92" w:rsidP="002C7EFF">
      <w:pPr>
        <w:pStyle w:val="MainText"/>
        <w:spacing w:before="200"/>
        <w:ind w:firstLine="284"/>
      </w:pPr>
      <w:r>
        <w:t>The</w:t>
      </w:r>
      <w:r w:rsidR="003741F9" w:rsidRPr="006B614E">
        <w:t xml:space="preserve"> higher </w:t>
      </w:r>
      <w:r w:rsidR="003741F9">
        <w:t xml:space="preserve">glass transition </w:t>
      </w:r>
      <w:r w:rsidR="002C7EFF">
        <w:t xml:space="preserve">temperature </w:t>
      </w:r>
      <w:r w:rsidR="003741F9">
        <w:t>(</w:t>
      </w:r>
      <w:proofErr w:type="spellStart"/>
      <w:proofErr w:type="gramStart"/>
      <w:r w:rsidR="003741F9" w:rsidRPr="002C7EFF">
        <w:rPr>
          <w:i/>
          <w:iCs/>
        </w:rPr>
        <w:t>T</w:t>
      </w:r>
      <w:r w:rsidR="003741F9" w:rsidRPr="002C7EFF">
        <w:rPr>
          <w:vertAlign w:val="subscript"/>
        </w:rPr>
        <w:t>g</w:t>
      </w:r>
      <w:proofErr w:type="spellEnd"/>
      <w:proofErr w:type="gramEnd"/>
      <w:r w:rsidR="003741F9">
        <w:t>)</w:t>
      </w:r>
      <w:r w:rsidR="003741F9" w:rsidRPr="006B614E">
        <w:t xml:space="preserve"> indicates </w:t>
      </w:r>
      <w:r w:rsidR="003741F9">
        <w:t xml:space="preserve">the </w:t>
      </w:r>
      <w:r w:rsidR="003741F9" w:rsidRPr="006B614E">
        <w:t xml:space="preserve">better morphological stability </w:t>
      </w:r>
      <w:r>
        <w:t xml:space="preserve">of the </w:t>
      </w:r>
      <w:r w:rsidR="003741F9" w:rsidRPr="006B614E">
        <w:t xml:space="preserve">BTBT-based compounds compared to commercially available HTM-NPD [2]. Therefore, the </w:t>
      </w:r>
      <w:r w:rsidR="003741F9">
        <w:t xml:space="preserve">novel </w:t>
      </w:r>
      <w:r w:rsidR="003741F9" w:rsidRPr="006B614E">
        <w:t xml:space="preserve">materials are expected to have good charge transport properties </w:t>
      </w:r>
      <w:r w:rsidR="002C7EFF">
        <w:t>owing</w:t>
      </w:r>
      <w:r w:rsidR="003741F9" w:rsidRPr="006B614E">
        <w:t xml:space="preserve"> to their composition and excellent thermal stability. The thermal properties of these materials are comparable to or better than those of commercially available NPD, which opens up opportunities for further research.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8C3F87" w:rsidRDefault="003741F9" w:rsidP="003741F9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sz w:val="18"/>
          <w:szCs w:val="18"/>
        </w:rPr>
        <w:t>The n</w:t>
      </w:r>
      <w:r w:rsidRPr="000E6E8A">
        <w:rPr>
          <w:rFonts w:ascii="Times New Roman" w:hAnsi="Times New Roman" w:cs="Times New Roman"/>
          <w:b w:val="0"/>
          <w:sz w:val="18"/>
          <w:szCs w:val="18"/>
        </w:rPr>
        <w:t xml:space="preserve">ew </w:t>
      </w:r>
      <w:r>
        <w:rPr>
          <w:rFonts w:ascii="Times New Roman" w:hAnsi="Times New Roman" w:cs="Times New Roman"/>
          <w:b w:val="0"/>
          <w:sz w:val="18"/>
          <w:szCs w:val="18"/>
        </w:rPr>
        <w:t>BTBT</w:t>
      </w:r>
      <w:r w:rsidRPr="000E6E8A">
        <w:rPr>
          <w:rFonts w:ascii="Times New Roman" w:hAnsi="Times New Roman" w:cs="Times New Roman"/>
          <w:b w:val="0"/>
          <w:sz w:val="18"/>
          <w:szCs w:val="18"/>
        </w:rPr>
        <w:t xml:space="preserve"> derivatives were synthesized and their optical and thermal properties were </w:t>
      </w:r>
      <w:r>
        <w:rPr>
          <w:rFonts w:ascii="Times New Roman" w:hAnsi="Times New Roman" w:cs="Times New Roman"/>
          <w:b w:val="0"/>
          <w:sz w:val="18"/>
          <w:szCs w:val="18"/>
        </w:rPr>
        <w:t>investigated</w:t>
      </w:r>
      <w:r w:rsidRPr="000E6E8A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>T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he results indicate that </w:t>
      </w:r>
      <w:r w:rsidRPr="006668CF">
        <w:rPr>
          <w:rFonts w:ascii="Times New Roman" w:hAnsi="Times New Roman" w:cs="Times New Roman"/>
          <w:bCs/>
          <w:sz w:val="18"/>
          <w:szCs w:val="18"/>
        </w:rPr>
        <w:t>(DPA)</w:t>
      </w:r>
      <w:r w:rsidRPr="006668CF">
        <w:rPr>
          <w:rFonts w:ascii="Times New Roman" w:hAnsi="Times New Roman" w:cs="Times New Roman"/>
          <w:bCs/>
          <w:sz w:val="18"/>
          <w:szCs w:val="18"/>
          <w:vertAlign w:val="subscript"/>
        </w:rPr>
        <w:t>2</w:t>
      </w:r>
      <w:r w:rsidRPr="006668CF">
        <w:rPr>
          <w:rFonts w:ascii="Times New Roman" w:hAnsi="Times New Roman" w:cs="Times New Roman"/>
          <w:bCs/>
          <w:sz w:val="18"/>
          <w:szCs w:val="18"/>
        </w:rPr>
        <w:t>-ВТВТ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668CF">
        <w:rPr>
          <w:rFonts w:ascii="Times New Roman" w:hAnsi="Times New Roman" w:cs="Times New Roman"/>
          <w:bCs/>
          <w:sz w:val="18"/>
          <w:szCs w:val="18"/>
        </w:rPr>
        <w:t>(NPA)</w:t>
      </w:r>
      <w:r w:rsidRPr="006668CF">
        <w:rPr>
          <w:rFonts w:ascii="Times New Roman" w:hAnsi="Times New Roman" w:cs="Times New Roman"/>
          <w:bCs/>
          <w:sz w:val="18"/>
          <w:szCs w:val="18"/>
          <w:vertAlign w:val="subscript"/>
        </w:rPr>
        <w:t>2</w:t>
      </w:r>
      <w:r w:rsidRPr="006668CF">
        <w:rPr>
          <w:rFonts w:ascii="Times New Roman" w:hAnsi="Times New Roman" w:cs="Times New Roman"/>
          <w:bCs/>
          <w:sz w:val="18"/>
          <w:szCs w:val="18"/>
        </w:rPr>
        <w:t>-</w:t>
      </w:r>
      <w:r w:rsidRPr="006668CF">
        <w:rPr>
          <w:rFonts w:ascii="Times New Roman" w:hAnsi="Times New Roman" w:cs="Times New Roman"/>
          <w:bCs/>
          <w:sz w:val="18"/>
          <w:szCs w:val="18"/>
          <w:lang w:val="ru-RU"/>
        </w:rPr>
        <w:t>ВТВТ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, and </w:t>
      </w:r>
      <w:r w:rsidRPr="006668CF">
        <w:rPr>
          <w:rFonts w:ascii="Times New Roman" w:hAnsi="Times New Roman" w:cs="Times New Roman"/>
          <w:bCs/>
          <w:sz w:val="18"/>
          <w:szCs w:val="18"/>
        </w:rPr>
        <w:t>(NTPDA)</w:t>
      </w:r>
      <w:r w:rsidRPr="006668CF">
        <w:rPr>
          <w:rFonts w:ascii="Times New Roman" w:hAnsi="Times New Roman" w:cs="Times New Roman"/>
          <w:bCs/>
          <w:sz w:val="18"/>
          <w:szCs w:val="18"/>
          <w:vertAlign w:val="subscript"/>
        </w:rPr>
        <w:t>2</w:t>
      </w:r>
      <w:r w:rsidRPr="006668CF">
        <w:rPr>
          <w:rFonts w:ascii="Times New Roman" w:hAnsi="Times New Roman" w:cs="Times New Roman"/>
          <w:bCs/>
          <w:sz w:val="18"/>
          <w:szCs w:val="18"/>
        </w:rPr>
        <w:t>-</w:t>
      </w:r>
      <w:r w:rsidRPr="006668CF">
        <w:rPr>
          <w:rFonts w:ascii="Times New Roman" w:hAnsi="Times New Roman" w:cs="Times New Roman"/>
          <w:bCs/>
          <w:sz w:val="18"/>
          <w:szCs w:val="18"/>
          <w:lang w:val="ru-RU"/>
        </w:rPr>
        <w:t>ВТВТ</w:t>
      </w:r>
      <w:r w:rsidRPr="00D47990">
        <w:rPr>
          <w:rFonts w:ascii="Times New Roman" w:hAnsi="Times New Roman" w:cs="Times New Roman"/>
          <w:b w:val="0"/>
          <w:bCs/>
          <w:sz w:val="18"/>
          <w:szCs w:val="18"/>
        </w:rPr>
        <w:t xml:space="preserve"> may be of interest as light-emitting components of OLED</w:t>
      </w:r>
      <w:r w:rsidR="002C7EFF">
        <w:rPr>
          <w:rFonts w:ascii="Times New Roman" w:hAnsi="Times New Roman" w:cs="Times New Roman"/>
          <w:b w:val="0"/>
          <w:bCs/>
          <w:sz w:val="18"/>
          <w:szCs w:val="18"/>
        </w:rPr>
        <w:t>s</w:t>
      </w:r>
      <w:r w:rsidRPr="00D47990">
        <w:rPr>
          <w:rFonts w:ascii="Times New Roman" w:hAnsi="Times New Roman" w:cs="Times New Roman"/>
          <w:b w:val="0"/>
          <w:bCs/>
          <w:sz w:val="18"/>
          <w:szCs w:val="18"/>
        </w:rPr>
        <w:t xml:space="preserve"> and/or as auxiliary transport components of the same devices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2C7EFF">
        <w:rPr>
          <w:rFonts w:ascii="Times New Roman" w:hAnsi="Times New Roman" w:cs="Times New Roman"/>
          <w:b w:val="0"/>
          <w:sz w:val="18"/>
          <w:szCs w:val="18"/>
        </w:rPr>
        <w:t>owing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to their high glass transition temperatures and </w:t>
      </w:r>
      <w:r w:rsidR="002C7EFF">
        <w:rPr>
          <w:rFonts w:ascii="Times New Roman" w:hAnsi="Times New Roman" w:cs="Times New Roman"/>
          <w:b w:val="0"/>
          <w:sz w:val="18"/>
          <w:szCs w:val="18"/>
        </w:rPr>
        <w:t>appropriate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spectral characteristics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. To assess the potential for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their 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application, the main focus will remain on </w:t>
      </w:r>
      <w:r>
        <w:rPr>
          <w:rFonts w:ascii="Times New Roman" w:hAnsi="Times New Roman" w:cs="Times New Roman"/>
          <w:b w:val="0"/>
          <w:sz w:val="18"/>
          <w:szCs w:val="18"/>
        </w:rPr>
        <w:t>estimating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 the electrical properties and the </w:t>
      </w:r>
      <w:r>
        <w:rPr>
          <w:rFonts w:ascii="Times New Roman" w:hAnsi="Times New Roman" w:cs="Times New Roman"/>
          <w:b w:val="0"/>
          <w:sz w:val="18"/>
          <w:szCs w:val="18"/>
        </w:rPr>
        <w:t>lifetime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 of devices.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Furthermore, our molecular design strategy and the expansion of </w:t>
      </w:r>
      <w:r w:rsidR="002C7EFF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2C7EFF" w:rsidRPr="007618DC">
        <w:rPr>
          <w:rFonts w:ascii="Times New Roman" w:hAnsi="Times New Roman" w:cs="Times New Roman"/>
          <w:b w:val="0"/>
          <w:sz w:val="18"/>
          <w:szCs w:val="18"/>
        </w:rPr>
        <w:t xml:space="preserve">library </w:t>
      </w:r>
      <w:r w:rsidR="002C7EFF">
        <w:rPr>
          <w:rFonts w:ascii="Times New Roman" w:hAnsi="Times New Roman" w:cs="Times New Roman"/>
          <w:b w:val="0"/>
          <w:sz w:val="18"/>
          <w:szCs w:val="18"/>
        </w:rPr>
        <w:t xml:space="preserve">of </w:t>
      </w:r>
      <w:r>
        <w:rPr>
          <w:rFonts w:ascii="Times New Roman" w:hAnsi="Times New Roman" w:cs="Times New Roman"/>
          <w:b w:val="0"/>
          <w:sz w:val="18"/>
          <w:szCs w:val="18"/>
        </w:rPr>
        <w:t>B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TBT-based materials demonstrated in this work will contribute to the commercialization of OLED devices. We believe that BTBT derivatives may also perform well in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solution-processed 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 xml:space="preserve">TADF OLED, OPV, PLED, and QLED systems, providing outstanding solubility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and </w:t>
      </w:r>
      <w:r w:rsidRPr="007618DC">
        <w:rPr>
          <w:rFonts w:ascii="Times New Roman" w:hAnsi="Times New Roman" w:cs="Times New Roman"/>
          <w:b w:val="0"/>
          <w:sz w:val="18"/>
          <w:szCs w:val="18"/>
        </w:rPr>
        <w:t>stability</w:t>
      </w:r>
      <w:r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3741F9" w:rsidP="00F94740">
      <w:pPr>
        <w:pStyle w:val="MainText"/>
        <w:ind w:firstLine="284"/>
      </w:pPr>
      <w:r w:rsidRPr="00383E24">
        <w:t>This work was supported by</w:t>
      </w:r>
      <w:r>
        <w:t xml:space="preserve"> </w:t>
      </w:r>
      <w:r w:rsidRPr="007919C2">
        <w:t xml:space="preserve">the Ministry of Science and Higher Education of </w:t>
      </w:r>
      <w:r>
        <w:t xml:space="preserve">the </w:t>
      </w:r>
      <w:r w:rsidRPr="007919C2">
        <w:t xml:space="preserve">Russian Federation </w:t>
      </w:r>
      <w:r w:rsidRPr="00383E24">
        <w:t>(project FFSM-2024-0003).</w:t>
      </w:r>
      <w:r>
        <w:t xml:space="preserve"> </w:t>
      </w:r>
      <w:r w:rsidR="002C7EFF">
        <w:t>The a</w:t>
      </w:r>
      <w:r w:rsidRPr="00F4754E">
        <w:t xml:space="preserve">nalysis </w:t>
      </w:r>
      <w:r w:rsidR="002C7EFF">
        <w:t xml:space="preserve">of the compounds </w:t>
      </w:r>
      <w:r w:rsidRPr="00F4754E">
        <w:t>by optical methods w</w:t>
      </w:r>
      <w:r w:rsidR="002C7EFF">
        <w:t>as</w:t>
      </w:r>
      <w:r w:rsidRPr="00F4754E">
        <w:t xml:space="preserve"> performed using the equipment of </w:t>
      </w:r>
      <w:r w:rsidR="002C7EFF">
        <w:t xml:space="preserve">the </w:t>
      </w:r>
      <w:r w:rsidR="00FD477F">
        <w:t>C</w:t>
      </w:r>
      <w:r w:rsidRPr="00F4754E">
        <w:t xml:space="preserve">ollaborative Access Center </w:t>
      </w:r>
      <w:r w:rsidR="00F1496D">
        <w:t>"</w:t>
      </w:r>
      <w:r w:rsidRPr="00F4754E">
        <w:t>Center for Polymer Research</w:t>
      </w:r>
      <w:r w:rsidR="00F1496D">
        <w:t>"</w:t>
      </w:r>
      <w:r>
        <w:t xml:space="preserve"> </w:t>
      </w:r>
      <w:r w:rsidRPr="00F4754E">
        <w:t>of ISPM RAS</w:t>
      </w:r>
      <w: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lastRenderedPageBreak/>
        <w:t xml:space="preserve">Corresponding </w:t>
      </w:r>
      <w:r w:rsidR="005C7369">
        <w:t>a</w:t>
      </w:r>
      <w:r w:rsidRPr="00F86864"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3741F9" w:rsidRPr="003741F9">
        <w:rPr>
          <w:iCs/>
          <w:lang w:val="it-IT"/>
        </w:rPr>
        <w:t>borshchev@ispm.ru</w:t>
      </w:r>
      <w:r w:rsidR="003741F9" w:rsidRPr="00F86864">
        <w:t>.</w:t>
      </w:r>
      <w:r w:rsidR="003741F9">
        <w:t xml:space="preserve"> Tel: +7(495)332-5897</w:t>
      </w:r>
      <w:r w:rsidR="003741F9">
        <w:br/>
        <w:t>(O. V. Borshchev).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4B355D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4B355D">
        <w:rPr>
          <w:rFonts w:ascii="Times New Roman" w:hAnsi="Times New Roman" w:cs="Times New Roman"/>
          <w:b w:val="0"/>
          <w:sz w:val="18"/>
          <w:szCs w:val="18"/>
        </w:rPr>
        <w:t xml:space="preserve">Electronic supplementary information (ESI) available online: </w:t>
      </w:r>
      <w:r w:rsidRPr="000B6DB6">
        <w:rPr>
          <w:rFonts w:ascii="Times New Roman" w:hAnsi="Times New Roman" w:cs="Times New Roman"/>
          <w:b w:val="0"/>
          <w:sz w:val="18"/>
          <w:szCs w:val="18"/>
          <w:highlight w:val="green"/>
        </w:rPr>
        <w:t>the synthetic procedures and NMR, GPC, DSC, TGA</w:t>
      </w:r>
      <w:r w:rsidR="000B6DB6" w:rsidRPr="000B6DB6">
        <w:rPr>
          <w:rFonts w:ascii="Times New Roman" w:hAnsi="Times New Roman" w:cs="Times New Roman"/>
          <w:b w:val="0"/>
          <w:sz w:val="18"/>
          <w:szCs w:val="18"/>
          <w:highlight w:val="green"/>
        </w:rPr>
        <w:t>,</w:t>
      </w:r>
      <w:r w:rsidRPr="000B6DB6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 and optical data for the compounds obtained</w:t>
      </w:r>
      <w:r w:rsidRPr="004B355D">
        <w:rPr>
          <w:rFonts w:ascii="Times New Roman" w:hAnsi="Times New Roman" w:cs="Times New Roman"/>
          <w:b w:val="0"/>
          <w:sz w:val="18"/>
          <w:szCs w:val="18"/>
        </w:rPr>
        <w:t>. For ESI, see DOI: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10.32931/</w:t>
      </w:r>
      <w:proofErr w:type="spellStart"/>
      <w:r>
        <w:rPr>
          <w:rFonts w:ascii="Times New Roman" w:hAnsi="Times New Roman" w:cs="Times New Roman"/>
          <w:b w:val="0"/>
          <w:sz w:val="18"/>
          <w:szCs w:val="18"/>
        </w:rPr>
        <w:t>ioXXXXx</w:t>
      </w:r>
      <w:proofErr w:type="spellEnd"/>
      <w:r w:rsidR="00161894" w:rsidRPr="004B355D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3741F9" w:rsidP="00161894">
      <w:pPr>
        <w:pStyle w:val="Header1"/>
        <w:spacing w:before="240" w:after="240"/>
      </w:pPr>
      <w:r>
        <w:t>References</w:t>
      </w:r>
    </w:p>
    <w:p w:rsidR="003741F9" w:rsidRPr="003741F9" w:rsidRDefault="003741F9" w:rsidP="003741F9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85562">
        <w:rPr>
          <w:sz w:val="16"/>
          <w:szCs w:val="16"/>
          <w:highlight w:val="green"/>
        </w:rPr>
        <w:t>1.</w:t>
      </w:r>
      <w:r>
        <w:rPr>
          <w:sz w:val="16"/>
          <w:szCs w:val="16"/>
        </w:rPr>
        <w:tab/>
      </w:r>
      <w:r w:rsidRPr="003741F9">
        <w:rPr>
          <w:sz w:val="16"/>
          <w:szCs w:val="16"/>
        </w:rPr>
        <w:t xml:space="preserve">M. </w:t>
      </w:r>
      <w:r w:rsidR="00F85562" w:rsidRPr="00F85562">
        <w:rPr>
          <w:sz w:val="16"/>
          <w:szCs w:val="16"/>
          <w:highlight w:val="green"/>
        </w:rPr>
        <w:t>S.</w:t>
      </w:r>
      <w:r w:rsidR="00F85562">
        <w:rPr>
          <w:sz w:val="16"/>
          <w:szCs w:val="16"/>
        </w:rPr>
        <w:t xml:space="preserve"> </w:t>
      </w:r>
      <w:proofErr w:type="spellStart"/>
      <w:r w:rsidRPr="003741F9">
        <w:rPr>
          <w:sz w:val="16"/>
          <w:szCs w:val="16"/>
        </w:rPr>
        <w:t>Polinskaya</w:t>
      </w:r>
      <w:proofErr w:type="spellEnd"/>
      <w:r w:rsidRPr="003741F9">
        <w:rPr>
          <w:sz w:val="16"/>
          <w:szCs w:val="16"/>
        </w:rPr>
        <w:t xml:space="preserve"> A. </w:t>
      </w:r>
      <w:r w:rsidR="00F85562" w:rsidRPr="00F85562">
        <w:rPr>
          <w:sz w:val="16"/>
          <w:szCs w:val="16"/>
          <w:highlight w:val="green"/>
        </w:rPr>
        <w:t>A.</w:t>
      </w:r>
      <w:r w:rsidR="00F85562">
        <w:rPr>
          <w:sz w:val="16"/>
          <w:szCs w:val="16"/>
        </w:rPr>
        <w:t xml:space="preserve"> </w:t>
      </w:r>
      <w:r w:rsidRPr="003741F9">
        <w:rPr>
          <w:sz w:val="16"/>
          <w:szCs w:val="16"/>
        </w:rPr>
        <w:t>Trul, O.</w:t>
      </w:r>
      <w:r w:rsidR="00F85562">
        <w:rPr>
          <w:sz w:val="16"/>
          <w:szCs w:val="16"/>
        </w:rPr>
        <w:t xml:space="preserve"> </w:t>
      </w:r>
      <w:r w:rsidR="00F85562" w:rsidRPr="00F85562">
        <w:rPr>
          <w:sz w:val="16"/>
          <w:szCs w:val="16"/>
          <w:highlight w:val="green"/>
        </w:rPr>
        <w:t>V.</w:t>
      </w:r>
      <w:r w:rsidRPr="003741F9">
        <w:rPr>
          <w:sz w:val="16"/>
          <w:szCs w:val="16"/>
        </w:rPr>
        <w:t xml:space="preserve"> Borshchev, M.</w:t>
      </w:r>
      <w:r w:rsidR="00F85562">
        <w:rPr>
          <w:sz w:val="16"/>
          <w:szCs w:val="16"/>
        </w:rPr>
        <w:t xml:space="preserve"> </w:t>
      </w:r>
      <w:r w:rsidR="00F85562" w:rsidRPr="00F85562">
        <w:rPr>
          <w:sz w:val="16"/>
          <w:szCs w:val="16"/>
          <w:highlight w:val="green"/>
        </w:rPr>
        <w:t>S.</w:t>
      </w:r>
      <w:r w:rsidRPr="003741F9">
        <w:rPr>
          <w:sz w:val="16"/>
          <w:szCs w:val="16"/>
        </w:rPr>
        <w:t xml:space="preserve"> </w:t>
      </w:r>
      <w:proofErr w:type="spellStart"/>
      <w:r w:rsidRPr="003741F9">
        <w:rPr>
          <w:sz w:val="16"/>
          <w:szCs w:val="16"/>
        </w:rPr>
        <w:t>Skorotetcky</w:t>
      </w:r>
      <w:proofErr w:type="spellEnd"/>
      <w:r w:rsidRPr="003741F9">
        <w:rPr>
          <w:sz w:val="16"/>
          <w:szCs w:val="16"/>
        </w:rPr>
        <w:t xml:space="preserve">, V. </w:t>
      </w:r>
      <w:r w:rsidR="00F85562" w:rsidRPr="00F85562">
        <w:rPr>
          <w:sz w:val="16"/>
          <w:szCs w:val="16"/>
          <w:highlight w:val="green"/>
        </w:rPr>
        <w:t>P.</w:t>
      </w:r>
      <w:r w:rsidR="00F85562">
        <w:rPr>
          <w:sz w:val="16"/>
          <w:szCs w:val="16"/>
        </w:rPr>
        <w:t xml:space="preserve"> </w:t>
      </w:r>
      <w:proofErr w:type="spellStart"/>
      <w:r w:rsidRPr="003741F9">
        <w:rPr>
          <w:sz w:val="16"/>
          <w:szCs w:val="16"/>
        </w:rPr>
        <w:t>Gaidarzhi</w:t>
      </w:r>
      <w:proofErr w:type="spellEnd"/>
      <w:r w:rsidRPr="003741F9">
        <w:rPr>
          <w:sz w:val="16"/>
          <w:szCs w:val="16"/>
        </w:rPr>
        <w:t xml:space="preserve">, S. </w:t>
      </w:r>
      <w:r w:rsidR="00F85562" w:rsidRPr="00F85562">
        <w:rPr>
          <w:sz w:val="16"/>
          <w:szCs w:val="16"/>
          <w:highlight w:val="green"/>
        </w:rPr>
        <w:t>K.</w:t>
      </w:r>
      <w:r w:rsidR="00F85562">
        <w:rPr>
          <w:sz w:val="16"/>
          <w:szCs w:val="16"/>
        </w:rPr>
        <w:t xml:space="preserve"> </w:t>
      </w:r>
      <w:proofErr w:type="spellStart"/>
      <w:r w:rsidRPr="003741F9">
        <w:rPr>
          <w:sz w:val="16"/>
          <w:szCs w:val="16"/>
        </w:rPr>
        <w:t>Toirov</w:t>
      </w:r>
      <w:proofErr w:type="spellEnd"/>
      <w:r w:rsidRPr="003741F9">
        <w:rPr>
          <w:sz w:val="16"/>
          <w:szCs w:val="16"/>
        </w:rPr>
        <w:t xml:space="preserve">, D. </w:t>
      </w:r>
      <w:r w:rsidR="00F85562" w:rsidRPr="00F85562">
        <w:rPr>
          <w:sz w:val="16"/>
          <w:szCs w:val="16"/>
          <w:highlight w:val="green"/>
        </w:rPr>
        <w:t>S.</w:t>
      </w:r>
      <w:r w:rsidR="00F85562">
        <w:rPr>
          <w:sz w:val="16"/>
          <w:szCs w:val="16"/>
        </w:rPr>
        <w:t xml:space="preserve"> </w:t>
      </w:r>
      <w:r w:rsidRPr="003741F9">
        <w:rPr>
          <w:sz w:val="16"/>
          <w:szCs w:val="16"/>
        </w:rPr>
        <w:t xml:space="preserve">Anisimov, A. </w:t>
      </w:r>
      <w:r w:rsidR="00F85562" w:rsidRPr="00F85562">
        <w:rPr>
          <w:sz w:val="16"/>
          <w:szCs w:val="16"/>
          <w:highlight w:val="green"/>
        </w:rPr>
        <w:t>V.</w:t>
      </w:r>
      <w:r w:rsidR="00F85562">
        <w:rPr>
          <w:sz w:val="16"/>
          <w:szCs w:val="16"/>
        </w:rPr>
        <w:t xml:space="preserve"> </w:t>
      </w:r>
      <w:r w:rsidRPr="003741F9">
        <w:rPr>
          <w:sz w:val="16"/>
          <w:szCs w:val="16"/>
        </w:rPr>
        <w:t xml:space="preserve">Bakirov, S. </w:t>
      </w:r>
      <w:r w:rsidR="00F85562" w:rsidRPr="00F85562">
        <w:rPr>
          <w:sz w:val="16"/>
          <w:szCs w:val="16"/>
          <w:highlight w:val="green"/>
        </w:rPr>
        <w:t>N.</w:t>
      </w:r>
      <w:r w:rsidRPr="003741F9">
        <w:rPr>
          <w:sz w:val="16"/>
          <w:szCs w:val="16"/>
        </w:rPr>
        <w:t xml:space="preserve"> </w:t>
      </w:r>
      <w:proofErr w:type="spellStart"/>
      <w:r w:rsidRPr="003741F9">
        <w:rPr>
          <w:sz w:val="16"/>
          <w:szCs w:val="16"/>
        </w:rPr>
        <w:t>Chvalun</w:t>
      </w:r>
      <w:proofErr w:type="spellEnd"/>
      <w:r w:rsidRPr="003741F9">
        <w:rPr>
          <w:sz w:val="16"/>
          <w:szCs w:val="16"/>
        </w:rPr>
        <w:t xml:space="preserve">, E. </w:t>
      </w:r>
      <w:r w:rsidR="00F85562" w:rsidRPr="00F85562">
        <w:rPr>
          <w:sz w:val="16"/>
          <w:szCs w:val="16"/>
          <w:highlight w:val="green"/>
        </w:rPr>
        <w:t>V.</w:t>
      </w:r>
      <w:r w:rsidR="00F85562">
        <w:rPr>
          <w:sz w:val="16"/>
          <w:szCs w:val="16"/>
        </w:rPr>
        <w:t xml:space="preserve"> </w:t>
      </w:r>
      <w:proofErr w:type="spellStart"/>
      <w:r w:rsidRPr="003741F9">
        <w:rPr>
          <w:sz w:val="16"/>
          <w:szCs w:val="16"/>
        </w:rPr>
        <w:t>Agina</w:t>
      </w:r>
      <w:proofErr w:type="spellEnd"/>
      <w:r w:rsidRPr="003741F9">
        <w:rPr>
          <w:sz w:val="16"/>
          <w:szCs w:val="16"/>
        </w:rPr>
        <w:t xml:space="preserve">, S. </w:t>
      </w:r>
      <w:r w:rsidR="00F85562" w:rsidRPr="00F85562">
        <w:rPr>
          <w:sz w:val="16"/>
          <w:szCs w:val="16"/>
          <w:highlight w:val="green"/>
        </w:rPr>
        <w:t>A.</w:t>
      </w:r>
      <w:r w:rsidR="00F85562">
        <w:rPr>
          <w:sz w:val="16"/>
          <w:szCs w:val="16"/>
        </w:rPr>
        <w:t xml:space="preserve"> </w:t>
      </w:r>
      <w:r w:rsidRPr="003741F9">
        <w:rPr>
          <w:sz w:val="16"/>
          <w:szCs w:val="16"/>
        </w:rPr>
        <w:t>Ponomarenko,</w:t>
      </w:r>
      <w:r w:rsidRPr="003741F9">
        <w:rPr>
          <w:i/>
          <w:sz w:val="16"/>
          <w:szCs w:val="16"/>
        </w:rPr>
        <w:t xml:space="preserve"> J. Mater. Chem. C</w:t>
      </w:r>
      <w:r w:rsidRPr="00F85562">
        <w:rPr>
          <w:sz w:val="16"/>
          <w:szCs w:val="16"/>
        </w:rPr>
        <w:t xml:space="preserve">, </w:t>
      </w:r>
      <w:r w:rsidRPr="003741F9">
        <w:rPr>
          <w:b/>
          <w:sz w:val="16"/>
          <w:szCs w:val="16"/>
        </w:rPr>
        <w:t>2023</w:t>
      </w:r>
      <w:r w:rsidRPr="003741F9">
        <w:rPr>
          <w:sz w:val="16"/>
          <w:szCs w:val="16"/>
        </w:rPr>
        <w:t>,</w:t>
      </w:r>
      <w:r w:rsidR="00F85562">
        <w:rPr>
          <w:sz w:val="16"/>
          <w:szCs w:val="16"/>
        </w:rPr>
        <w:t xml:space="preserve"> </w:t>
      </w:r>
      <w:r w:rsidR="00F85562" w:rsidRPr="00F85562">
        <w:rPr>
          <w:i/>
          <w:sz w:val="16"/>
          <w:szCs w:val="16"/>
          <w:highlight w:val="green"/>
        </w:rPr>
        <w:t>11</w:t>
      </w:r>
      <w:r w:rsidRPr="003741F9">
        <w:rPr>
          <w:sz w:val="16"/>
          <w:szCs w:val="16"/>
        </w:rPr>
        <w:t>, 1937</w:t>
      </w:r>
      <w:r w:rsidR="00F85562">
        <w:rPr>
          <w:sz w:val="16"/>
          <w:szCs w:val="16"/>
        </w:rPr>
        <w:t>–</w:t>
      </w:r>
      <w:r w:rsidRPr="003741F9">
        <w:rPr>
          <w:sz w:val="16"/>
          <w:szCs w:val="16"/>
        </w:rPr>
        <w:t>1948. DOI: 10.1039/D2TC05083H</w:t>
      </w:r>
    </w:p>
    <w:p w:rsidR="00233C0E" w:rsidRPr="00233C0E" w:rsidRDefault="0036337B" w:rsidP="003741F9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highlight w:val="green"/>
          <w:lang w:val="en-US"/>
        </w:rPr>
        <w:br w:type="column"/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lastRenderedPageBreak/>
        <w:t>2.</w:t>
      </w:r>
      <w:r w:rsidR="003741F9">
        <w:rPr>
          <w:rFonts w:ascii="Times New Roman" w:hAnsi="Times New Roman" w:cs="Times New Roman"/>
          <w:sz w:val="16"/>
          <w:szCs w:val="16"/>
          <w:lang w:val="en-US"/>
        </w:rPr>
        <w:tab/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M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. Shi</w:t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Y. He</w:t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Y. Sun</w:t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D. Fang</w:t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J. Miao</w:t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, M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. U. Ali, T. Wang</w:t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Y. Wang</w:t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T. Zhang</w:t>
      </w:r>
      <w:r w:rsidR="003741F9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, 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H. Meng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3741F9"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741F9" w:rsidRPr="003741F9">
        <w:rPr>
          <w:rFonts w:ascii="Times New Roman" w:hAnsi="Times New Roman" w:cs="Times New Roman"/>
          <w:i/>
          <w:sz w:val="16"/>
          <w:szCs w:val="16"/>
          <w:lang w:val="en-US"/>
        </w:rPr>
        <w:t>Org</w:t>
      </w:r>
      <w:r w:rsidR="00F85562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="003741F9" w:rsidRPr="003741F9">
        <w:rPr>
          <w:rFonts w:ascii="Times New Roman" w:hAnsi="Times New Roman" w:cs="Times New Roman"/>
          <w:i/>
          <w:sz w:val="16"/>
          <w:szCs w:val="16"/>
          <w:lang w:val="en-US"/>
        </w:rPr>
        <w:t xml:space="preserve"> Electron</w:t>
      </w:r>
      <w:r w:rsidR="00F85562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="003741F9"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3741F9" w:rsidRPr="003741F9">
        <w:rPr>
          <w:rFonts w:ascii="Times New Roman" w:hAnsi="Times New Roman" w:cs="Times New Roman"/>
          <w:b/>
          <w:sz w:val="16"/>
          <w:szCs w:val="16"/>
          <w:lang w:val="en-US"/>
        </w:rPr>
        <w:t>2020</w:t>
      </w:r>
      <w:r w:rsidR="003741F9"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3741F9" w:rsidRPr="003741F9">
        <w:rPr>
          <w:rFonts w:ascii="Times New Roman" w:hAnsi="Times New Roman" w:cs="Times New Roman"/>
          <w:i/>
          <w:sz w:val="16"/>
          <w:szCs w:val="16"/>
          <w:lang w:val="en-US"/>
        </w:rPr>
        <w:t>84</w:t>
      </w:r>
      <w:r w:rsidR="003741F9" w:rsidRPr="003741F9">
        <w:rPr>
          <w:rFonts w:ascii="Times New Roman" w:hAnsi="Times New Roman" w:cs="Times New Roman"/>
          <w:sz w:val="16"/>
          <w:szCs w:val="16"/>
          <w:lang w:val="en-US"/>
        </w:rPr>
        <w:t>, 105793. DOI: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741F9" w:rsidRPr="003741F9">
        <w:rPr>
          <w:rFonts w:ascii="Times New Roman" w:hAnsi="Times New Roman" w:cs="Times New Roman"/>
          <w:sz w:val="16"/>
          <w:szCs w:val="16"/>
          <w:lang w:val="en-US"/>
        </w:rPr>
        <w:t>10.1016/j.orgel.2020.105793</w:t>
      </w:r>
    </w:p>
    <w:p w:rsidR="003741F9" w:rsidRPr="003741F9" w:rsidRDefault="003741F9" w:rsidP="003741F9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3.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W.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Shi, 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J.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Chen, J. Xi, 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>D.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Wang, 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>Z.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Shuai, </w:t>
      </w:r>
      <w:r w:rsidRPr="003741F9">
        <w:rPr>
          <w:rFonts w:ascii="Times New Roman" w:hAnsi="Times New Roman" w:cs="Times New Roman"/>
          <w:i/>
          <w:sz w:val="16"/>
          <w:szCs w:val="16"/>
          <w:lang w:val="en-US"/>
        </w:rPr>
        <w:t>Chem</w:t>
      </w:r>
      <w:r w:rsidR="00F85562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3741F9">
        <w:rPr>
          <w:rFonts w:ascii="Times New Roman" w:hAnsi="Times New Roman" w:cs="Times New Roman"/>
          <w:i/>
          <w:sz w:val="16"/>
          <w:szCs w:val="16"/>
          <w:lang w:val="en-US"/>
        </w:rPr>
        <w:t xml:space="preserve"> Mater</w:t>
      </w:r>
      <w:r w:rsidR="00F85562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F8556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3741F9">
        <w:rPr>
          <w:rFonts w:ascii="Times New Roman" w:hAnsi="Times New Roman" w:cs="Times New Roman"/>
          <w:b/>
          <w:sz w:val="16"/>
          <w:szCs w:val="16"/>
          <w:lang w:val="en-US"/>
        </w:rPr>
        <w:t>2014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85562">
        <w:rPr>
          <w:rFonts w:ascii="Times New Roman" w:hAnsi="Times New Roman" w:cs="Times New Roman"/>
          <w:i/>
          <w:sz w:val="16"/>
          <w:szCs w:val="16"/>
          <w:lang w:val="en-US"/>
        </w:rPr>
        <w:t>26</w:t>
      </w:r>
      <w:r w:rsidR="00F85562" w:rsidRPr="00F8556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2669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>2677. DOI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>: 1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>0.1021/cm500429w</w:t>
      </w:r>
    </w:p>
    <w:p w:rsidR="0037392E" w:rsidRDefault="003741F9" w:rsidP="003741F9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37392E">
        <w:rPr>
          <w:rFonts w:ascii="Times New Roman" w:hAnsi="Times New Roman" w:cs="Times New Roman"/>
          <w:sz w:val="16"/>
          <w:szCs w:val="16"/>
          <w:highlight w:val="green"/>
          <w:lang w:val="en-US"/>
        </w:rPr>
        <w:t>4.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Y. </w:t>
      </w:r>
      <w:r w:rsidRPr="0037392E">
        <w:rPr>
          <w:rFonts w:ascii="Times New Roman" w:hAnsi="Times New Roman" w:cs="Times New Roman"/>
          <w:sz w:val="16"/>
          <w:szCs w:val="16"/>
          <w:lang w:val="en-US"/>
        </w:rPr>
        <w:t xml:space="preserve">He,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>S.</w:t>
      </w:r>
      <w:r w:rsidRPr="0037392E">
        <w:rPr>
          <w:rFonts w:ascii="Times New Roman" w:hAnsi="Times New Roman" w:cs="Times New Roman"/>
          <w:sz w:val="16"/>
          <w:szCs w:val="16"/>
          <w:lang w:val="en-US"/>
        </w:rPr>
        <w:t xml:space="preserve"> Guo,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Y. </w:t>
      </w:r>
      <w:r w:rsidRPr="0037392E">
        <w:rPr>
          <w:rFonts w:ascii="Times New Roman" w:hAnsi="Times New Roman" w:cs="Times New Roman"/>
          <w:sz w:val="16"/>
          <w:szCs w:val="16"/>
          <w:lang w:val="en-US"/>
        </w:rPr>
        <w:t xml:space="preserve">He,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I. </w:t>
      </w:r>
      <w:r w:rsidRPr="0037392E">
        <w:rPr>
          <w:rFonts w:ascii="Times New Roman" w:hAnsi="Times New Roman" w:cs="Times New Roman"/>
          <w:sz w:val="16"/>
          <w:szCs w:val="16"/>
          <w:lang w:val="en-US"/>
        </w:rPr>
        <w:t xml:space="preserve">Murtaza,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r w:rsidRPr="0037392E">
        <w:rPr>
          <w:rFonts w:ascii="Times New Roman" w:hAnsi="Times New Roman" w:cs="Times New Roman"/>
          <w:sz w:val="16"/>
          <w:szCs w:val="16"/>
          <w:lang w:val="en-US"/>
        </w:rPr>
        <w:t xml:space="preserve">Li,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>X.</w:t>
      </w:r>
      <w:r w:rsidRPr="0037392E">
        <w:rPr>
          <w:rFonts w:ascii="Times New Roman" w:hAnsi="Times New Roman" w:cs="Times New Roman"/>
          <w:sz w:val="16"/>
          <w:szCs w:val="16"/>
          <w:lang w:val="en-US"/>
        </w:rPr>
        <w:t xml:space="preserve"> Zeng, </w:t>
      </w:r>
      <w:r w:rsidR="0037392E" w:rsidRPr="0037392E">
        <w:rPr>
          <w:rFonts w:ascii="Times New Roman" w:hAnsi="Times New Roman" w:cs="Times New Roman"/>
          <w:sz w:val="16"/>
          <w:szCs w:val="16"/>
          <w:highlight w:val="green"/>
          <w:lang w:val="en-US"/>
        </w:rPr>
        <w:t>Y. Guo, Y. Zhao, X. Chen,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 H. </w:t>
      </w:r>
      <w:r w:rsidRPr="0037392E">
        <w:rPr>
          <w:rFonts w:ascii="Times New Roman" w:hAnsi="Times New Roman" w:cs="Times New Roman"/>
          <w:sz w:val="16"/>
          <w:szCs w:val="16"/>
          <w:lang w:val="en-US"/>
        </w:rPr>
        <w:t xml:space="preserve">Meng, </w:t>
      </w:r>
      <w:r w:rsidRPr="0037392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Chem</w:t>
      </w:r>
      <w:r w:rsidR="00F85562" w:rsidRPr="0037392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 xml:space="preserve">. </w:t>
      </w:r>
      <w:r w:rsidRPr="0037392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Eur</w:t>
      </w:r>
      <w:r w:rsidR="00F85562" w:rsidRPr="0037392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.</w:t>
      </w:r>
      <w:r w:rsidRPr="0037392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 xml:space="preserve"> J</w:t>
      </w:r>
      <w:r w:rsidR="00F85562" w:rsidRPr="0037392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.</w:t>
      </w:r>
      <w:r w:rsidR="00F85562" w:rsidRPr="0037392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37392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2018</w:t>
      </w:r>
      <w:r w:rsidR="00F85562" w:rsidRPr="0037392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37392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24</w:t>
      </w:r>
      <w:r w:rsidRPr="0037392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16595</w:t>
      </w:r>
      <w:r w:rsidR="00F85562" w:rsidRPr="0037392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–</w:t>
      </w:r>
      <w:r w:rsidRPr="0037392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16602. </w:t>
      </w:r>
      <w:r w:rsidRPr="0037392E">
        <w:rPr>
          <w:rFonts w:ascii="Times New Roman" w:hAnsi="Times New Roman" w:cs="Times New Roman"/>
          <w:color w:val="000000" w:themeColor="text1"/>
          <w:sz w:val="16"/>
          <w:szCs w:val="16"/>
          <w:highlight w:val="green"/>
          <w:lang w:val="en-US"/>
        </w:rPr>
        <w:t xml:space="preserve">DOI: </w:t>
      </w:r>
      <w:r w:rsidR="0037392E" w:rsidRPr="0037392E">
        <w:rPr>
          <w:rFonts w:ascii="Times New Roman" w:hAnsi="Times New Roman" w:cs="Times New Roman"/>
          <w:bCs/>
          <w:color w:val="000000" w:themeColor="text1"/>
          <w:sz w:val="16"/>
          <w:szCs w:val="16"/>
          <w:highlight w:val="green"/>
          <w:shd w:val="clear" w:color="auto" w:fill="FFFFFF"/>
          <w:lang w:val="en-US"/>
        </w:rPr>
        <w:t>10.1002/chem.201803542</w:t>
      </w:r>
    </w:p>
    <w:p w:rsidR="003741F9" w:rsidRPr="00D729FC" w:rsidRDefault="003741F9" w:rsidP="003741F9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729FC">
        <w:rPr>
          <w:rFonts w:ascii="Times New Roman" w:hAnsi="Times New Roman" w:cs="Times New Roman"/>
          <w:sz w:val="16"/>
          <w:szCs w:val="16"/>
          <w:highlight w:val="green"/>
          <w:lang w:val="pl-PL"/>
        </w:rPr>
        <w:t>5.</w:t>
      </w:r>
      <w:r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3741F9">
        <w:rPr>
          <w:rFonts w:ascii="Times New Roman" w:hAnsi="Times New Roman" w:cs="Times New Roman"/>
          <w:sz w:val="16"/>
          <w:szCs w:val="16"/>
          <w:lang w:val="pl-PL"/>
        </w:rPr>
        <w:t>T. Izawa, H. Mori, Y. Shinmura, M. Iwatan</w:t>
      </w:r>
      <w:r w:rsidR="00D729FC">
        <w:rPr>
          <w:rFonts w:ascii="Times New Roman" w:hAnsi="Times New Roman" w:cs="Times New Roman"/>
          <w:sz w:val="16"/>
          <w:szCs w:val="16"/>
          <w:lang w:val="pl-PL"/>
        </w:rPr>
        <w:t xml:space="preserve">i, E. Miyazaki, K. Takimiya, H. </w:t>
      </w:r>
      <w:r w:rsidRPr="003741F9">
        <w:rPr>
          <w:rFonts w:ascii="Times New Roman" w:hAnsi="Times New Roman" w:cs="Times New Roman"/>
          <w:sz w:val="16"/>
          <w:szCs w:val="16"/>
          <w:lang w:val="pl-PL"/>
        </w:rPr>
        <w:t xml:space="preserve">W. Hung, M. Yahiro, C. Adachi, </w:t>
      </w:r>
      <w:r w:rsidRPr="003741F9">
        <w:rPr>
          <w:rFonts w:ascii="Times New Roman" w:hAnsi="Times New Roman" w:cs="Times New Roman"/>
          <w:i/>
          <w:sz w:val="16"/>
          <w:szCs w:val="16"/>
          <w:lang w:val="pl-PL"/>
        </w:rPr>
        <w:t>Chem</w:t>
      </w:r>
      <w:r w:rsidR="00F85562">
        <w:rPr>
          <w:rFonts w:ascii="Times New Roman" w:hAnsi="Times New Roman" w:cs="Times New Roman"/>
          <w:i/>
          <w:sz w:val="16"/>
          <w:szCs w:val="16"/>
          <w:lang w:val="pl-PL"/>
        </w:rPr>
        <w:t>.</w:t>
      </w:r>
      <w:r w:rsidRPr="003741F9">
        <w:rPr>
          <w:rFonts w:ascii="Times New Roman" w:hAnsi="Times New Roman" w:cs="Times New Roman"/>
          <w:i/>
          <w:sz w:val="16"/>
          <w:szCs w:val="16"/>
          <w:lang w:val="pl-PL"/>
        </w:rPr>
        <w:t xml:space="preserve"> Lett</w:t>
      </w:r>
      <w:r w:rsidR="00F85562">
        <w:rPr>
          <w:rFonts w:ascii="Times New Roman" w:hAnsi="Times New Roman" w:cs="Times New Roman"/>
          <w:i/>
          <w:sz w:val="16"/>
          <w:szCs w:val="16"/>
          <w:lang w:val="pl-PL"/>
        </w:rPr>
        <w:t>.</w:t>
      </w:r>
      <w:r w:rsidRPr="003741F9">
        <w:rPr>
          <w:rFonts w:ascii="Times New Roman" w:hAnsi="Times New Roman" w:cs="Times New Roman"/>
          <w:sz w:val="16"/>
          <w:szCs w:val="16"/>
          <w:lang w:val="pl-PL"/>
        </w:rPr>
        <w:t xml:space="preserve">, </w:t>
      </w:r>
      <w:r w:rsidRPr="003741F9">
        <w:rPr>
          <w:rFonts w:ascii="Times New Roman" w:hAnsi="Times New Roman" w:cs="Times New Roman"/>
          <w:b/>
          <w:sz w:val="16"/>
          <w:szCs w:val="16"/>
          <w:lang w:val="pl-PL"/>
        </w:rPr>
        <w:t>2009</w:t>
      </w:r>
      <w:r w:rsidRPr="003741F9">
        <w:rPr>
          <w:rFonts w:ascii="Times New Roman" w:hAnsi="Times New Roman" w:cs="Times New Roman"/>
          <w:sz w:val="16"/>
          <w:szCs w:val="16"/>
          <w:lang w:val="pl-PL"/>
        </w:rPr>
        <w:t xml:space="preserve">, </w:t>
      </w:r>
      <w:r w:rsidRPr="00F85562">
        <w:rPr>
          <w:rFonts w:ascii="Times New Roman" w:hAnsi="Times New Roman" w:cs="Times New Roman"/>
          <w:i/>
          <w:sz w:val="16"/>
          <w:szCs w:val="16"/>
          <w:lang w:val="pl-PL"/>
        </w:rPr>
        <w:t>38</w:t>
      </w:r>
      <w:r w:rsidRPr="003741F9">
        <w:rPr>
          <w:rFonts w:ascii="Times New Roman" w:hAnsi="Times New Roman" w:cs="Times New Roman"/>
          <w:sz w:val="16"/>
          <w:szCs w:val="16"/>
          <w:lang w:val="pl-PL"/>
        </w:rPr>
        <w:t>, 420</w:t>
      </w:r>
      <w:r w:rsidR="00F85562">
        <w:rPr>
          <w:rFonts w:ascii="Times New Roman" w:hAnsi="Times New Roman" w:cs="Times New Roman"/>
          <w:sz w:val="16"/>
          <w:szCs w:val="16"/>
          <w:lang w:val="pl-PL"/>
        </w:rPr>
        <w:t>–</w:t>
      </w:r>
      <w:r w:rsidRPr="003741F9">
        <w:rPr>
          <w:rFonts w:ascii="Times New Roman" w:hAnsi="Times New Roman" w:cs="Times New Roman"/>
          <w:sz w:val="16"/>
          <w:szCs w:val="16"/>
          <w:lang w:val="pl-PL"/>
        </w:rPr>
        <w:t xml:space="preserve">421. </w:t>
      </w:r>
      <w:r w:rsidRPr="00D729FC">
        <w:rPr>
          <w:rFonts w:ascii="Times New Roman" w:hAnsi="Times New Roman" w:cs="Times New Roman"/>
          <w:color w:val="000000" w:themeColor="text1"/>
          <w:sz w:val="16"/>
          <w:szCs w:val="16"/>
          <w:highlight w:val="green"/>
          <w:lang w:val="en-US"/>
        </w:rPr>
        <w:t>DOI:</w:t>
      </w:r>
      <w:r w:rsidR="00F85562" w:rsidRPr="00D729FC">
        <w:rPr>
          <w:rFonts w:ascii="Times New Roman" w:hAnsi="Times New Roman" w:cs="Times New Roman"/>
          <w:color w:val="000000" w:themeColor="text1"/>
          <w:sz w:val="16"/>
          <w:szCs w:val="16"/>
          <w:highlight w:val="green"/>
          <w:lang w:val="en-US"/>
        </w:rPr>
        <w:t xml:space="preserve"> </w:t>
      </w:r>
      <w:r w:rsidR="00D729FC" w:rsidRPr="00D729FC">
        <w:rPr>
          <w:rFonts w:ascii="Times New Roman" w:hAnsi="Times New Roman" w:cs="Times New Roman"/>
          <w:color w:val="000000" w:themeColor="text1"/>
          <w:sz w:val="16"/>
          <w:szCs w:val="16"/>
          <w:highlight w:val="green"/>
          <w:lang w:val="en-US"/>
        </w:rPr>
        <w:t>10.1246/cl.2009.420</w:t>
      </w:r>
    </w:p>
    <w:p w:rsidR="003741F9" w:rsidRPr="003741F9" w:rsidRDefault="003741F9" w:rsidP="003741F9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6.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D.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Saito, 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H, </w:t>
      </w:r>
      <w:proofErr w:type="spellStart"/>
      <w:r w:rsidRPr="003741F9">
        <w:rPr>
          <w:rFonts w:ascii="Times New Roman" w:hAnsi="Times New Roman" w:cs="Times New Roman"/>
          <w:sz w:val="16"/>
          <w:szCs w:val="16"/>
          <w:lang w:val="en-US"/>
        </w:rPr>
        <w:t>Sasabe</w:t>
      </w:r>
      <w:proofErr w:type="spellEnd"/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T.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Kikuchi, 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T.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Ito, 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>H.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741F9">
        <w:rPr>
          <w:rFonts w:ascii="Times New Roman" w:hAnsi="Times New Roman" w:cs="Times New Roman"/>
          <w:sz w:val="16"/>
          <w:szCs w:val="16"/>
          <w:lang w:val="en-US"/>
        </w:rPr>
        <w:t>Tsuneyama</w:t>
      </w:r>
      <w:proofErr w:type="spellEnd"/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>J.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Kido, </w:t>
      </w:r>
      <w:r w:rsidRPr="003741F9">
        <w:rPr>
          <w:rFonts w:ascii="Times New Roman" w:hAnsi="Times New Roman" w:cs="Times New Roman"/>
          <w:i/>
          <w:sz w:val="16"/>
          <w:szCs w:val="16"/>
          <w:lang w:val="en-US"/>
        </w:rPr>
        <w:t>J</w:t>
      </w:r>
      <w:r w:rsidR="00F85562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3741F9">
        <w:rPr>
          <w:rFonts w:ascii="Times New Roman" w:hAnsi="Times New Roman" w:cs="Times New Roman"/>
          <w:i/>
          <w:sz w:val="16"/>
          <w:szCs w:val="16"/>
          <w:lang w:val="en-US"/>
        </w:rPr>
        <w:t xml:space="preserve"> Mater</w:t>
      </w:r>
      <w:r w:rsidR="00F85562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741F9">
        <w:rPr>
          <w:rFonts w:ascii="Times New Roman" w:hAnsi="Times New Roman" w:cs="Times New Roman"/>
          <w:i/>
          <w:sz w:val="16"/>
          <w:szCs w:val="16"/>
          <w:lang w:val="en-US"/>
        </w:rPr>
        <w:t>Chem. C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3741F9">
        <w:rPr>
          <w:rFonts w:ascii="Times New Roman" w:hAnsi="Times New Roman" w:cs="Times New Roman"/>
          <w:b/>
          <w:sz w:val="16"/>
          <w:szCs w:val="16"/>
          <w:lang w:val="en-US"/>
        </w:rPr>
        <w:t>2021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, 9, </w:t>
      </w:r>
      <w:r w:rsidR="00F85562" w:rsidRPr="00F85562">
        <w:rPr>
          <w:rFonts w:ascii="Times New Roman" w:hAnsi="Times New Roman" w:cs="Times New Roman"/>
          <w:sz w:val="16"/>
          <w:szCs w:val="16"/>
          <w:highlight w:val="green"/>
          <w:lang w:val="en-US"/>
        </w:rPr>
        <w:t>1215–1220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>DOI:</w:t>
      </w:r>
      <w:r w:rsidR="00F85562">
        <w:rPr>
          <w:rFonts w:ascii="Times New Roman" w:hAnsi="Times New Roman" w:cs="Times New Roman"/>
          <w:sz w:val="16"/>
          <w:szCs w:val="16"/>
          <w:lang w:val="en-US"/>
        </w:rPr>
        <w:t xml:space="preserve"> 10.1039/D0TC05234E</w:t>
      </w:r>
    </w:p>
    <w:p w:rsidR="003741F9" w:rsidRPr="003741F9" w:rsidRDefault="003741F9" w:rsidP="003741F9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7.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J.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Sobus,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>F.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Bencheikh,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>M.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741F9">
        <w:rPr>
          <w:rFonts w:ascii="Times New Roman" w:hAnsi="Times New Roman" w:cs="Times New Roman"/>
          <w:sz w:val="16"/>
          <w:szCs w:val="16"/>
          <w:lang w:val="en-US"/>
        </w:rPr>
        <w:t>Mamada</w:t>
      </w:r>
      <w:proofErr w:type="spellEnd"/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R. </w:t>
      </w:r>
      <w:proofErr w:type="spellStart"/>
      <w:r w:rsidRPr="003741F9">
        <w:rPr>
          <w:rFonts w:ascii="Times New Roman" w:hAnsi="Times New Roman" w:cs="Times New Roman"/>
          <w:sz w:val="16"/>
          <w:szCs w:val="16"/>
          <w:lang w:val="en-US"/>
        </w:rPr>
        <w:t>Wawrzinek</w:t>
      </w:r>
      <w:proofErr w:type="spellEnd"/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J.-C. </w:t>
      </w:r>
      <w:proofErr w:type="spellStart"/>
      <w:r w:rsidRPr="003741F9">
        <w:rPr>
          <w:rFonts w:ascii="Times New Roman" w:hAnsi="Times New Roman" w:cs="Times New Roman"/>
          <w:sz w:val="16"/>
          <w:szCs w:val="16"/>
          <w:lang w:val="en-US"/>
        </w:rPr>
        <w:t>Ribierre</w:t>
      </w:r>
      <w:proofErr w:type="spellEnd"/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C.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Adachi,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S.-C.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Lo, 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 xml:space="preserve">E. B. </w:t>
      </w:r>
      <w:proofErr w:type="spellStart"/>
      <w:r w:rsidRPr="003741F9">
        <w:rPr>
          <w:rFonts w:ascii="Times New Roman" w:hAnsi="Times New Roman" w:cs="Times New Roman"/>
          <w:sz w:val="16"/>
          <w:szCs w:val="16"/>
          <w:lang w:val="en-US"/>
        </w:rPr>
        <w:t>Namdas</w:t>
      </w:r>
      <w:proofErr w:type="spellEnd"/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3741F9">
        <w:rPr>
          <w:rFonts w:ascii="Times New Roman" w:hAnsi="Times New Roman" w:cs="Times New Roman"/>
          <w:i/>
          <w:sz w:val="16"/>
          <w:szCs w:val="16"/>
          <w:lang w:val="en-US"/>
        </w:rPr>
        <w:t>Adv</w:t>
      </w:r>
      <w:r w:rsidR="0037392E">
        <w:rPr>
          <w:rFonts w:ascii="Times New Roman" w:hAnsi="Times New Roman" w:cs="Times New Roman"/>
          <w:i/>
          <w:sz w:val="16"/>
          <w:szCs w:val="16"/>
          <w:lang w:val="en-US"/>
        </w:rPr>
        <w:t xml:space="preserve">. </w:t>
      </w:r>
      <w:proofErr w:type="spellStart"/>
      <w:r w:rsidR="0037392E">
        <w:rPr>
          <w:rFonts w:ascii="Times New Roman" w:hAnsi="Times New Roman" w:cs="Times New Roman"/>
          <w:i/>
          <w:sz w:val="16"/>
          <w:szCs w:val="16"/>
          <w:lang w:val="en-US"/>
        </w:rPr>
        <w:t>Funct</w:t>
      </w:r>
      <w:proofErr w:type="spellEnd"/>
      <w:r w:rsidR="0037392E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3741F9">
        <w:rPr>
          <w:rFonts w:ascii="Times New Roman" w:hAnsi="Times New Roman" w:cs="Times New Roman"/>
          <w:i/>
          <w:sz w:val="16"/>
          <w:szCs w:val="16"/>
          <w:lang w:val="en-US"/>
        </w:rPr>
        <w:t xml:space="preserve"> Mater</w:t>
      </w:r>
      <w:r w:rsidR="0037392E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37392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3741F9">
        <w:rPr>
          <w:rFonts w:ascii="Times New Roman" w:hAnsi="Times New Roman" w:cs="Times New Roman"/>
          <w:b/>
          <w:sz w:val="16"/>
          <w:szCs w:val="16"/>
          <w:lang w:val="en-US"/>
        </w:rPr>
        <w:t>2018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37392E">
        <w:rPr>
          <w:rFonts w:ascii="Times New Roman" w:hAnsi="Times New Roman" w:cs="Times New Roman"/>
          <w:i/>
          <w:sz w:val="16"/>
          <w:szCs w:val="16"/>
          <w:lang w:val="en-US"/>
        </w:rPr>
        <w:t>28</w:t>
      </w:r>
      <w:r w:rsidR="0037392E">
        <w:rPr>
          <w:rFonts w:ascii="Times New Roman" w:hAnsi="Times New Roman" w:cs="Times New Roman"/>
          <w:sz w:val="16"/>
          <w:szCs w:val="16"/>
          <w:lang w:val="en-US"/>
        </w:rPr>
        <w:t>, 1800340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>. DOI:</w:t>
      </w:r>
      <w:r w:rsidR="00ED3419">
        <w:rPr>
          <w:rFonts w:ascii="Times New Roman" w:hAnsi="Times New Roman" w:cs="Times New Roman"/>
          <w:sz w:val="16"/>
          <w:szCs w:val="16"/>
          <w:lang w:val="en-US"/>
        </w:rPr>
        <w:t xml:space="preserve"> 10.1002/adfm.201800340</w:t>
      </w:r>
    </w:p>
    <w:p w:rsidR="00E17BD3" w:rsidRDefault="003741F9" w:rsidP="00233C0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8.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ED3419">
        <w:rPr>
          <w:rFonts w:ascii="Times New Roman" w:hAnsi="Times New Roman" w:cs="Times New Roman"/>
          <w:sz w:val="16"/>
          <w:szCs w:val="16"/>
          <w:lang w:val="en-US"/>
        </w:rPr>
        <w:t xml:space="preserve">V. S.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Vyas, </w:t>
      </w:r>
      <w:r w:rsidR="00ED3419">
        <w:rPr>
          <w:rFonts w:ascii="Times New Roman" w:hAnsi="Times New Roman" w:cs="Times New Roman"/>
          <w:sz w:val="16"/>
          <w:szCs w:val="16"/>
          <w:lang w:val="en-US"/>
        </w:rPr>
        <w:t xml:space="preserve">R.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Gutzler, </w:t>
      </w:r>
      <w:r w:rsidR="00ED3419">
        <w:rPr>
          <w:rFonts w:ascii="Times New Roman" w:hAnsi="Times New Roman" w:cs="Times New Roman"/>
          <w:sz w:val="16"/>
          <w:szCs w:val="16"/>
          <w:lang w:val="en-US"/>
        </w:rPr>
        <w:t xml:space="preserve">J.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Nuss, </w:t>
      </w:r>
      <w:r w:rsidR="00ED3419">
        <w:rPr>
          <w:rFonts w:ascii="Times New Roman" w:hAnsi="Times New Roman" w:cs="Times New Roman"/>
          <w:sz w:val="16"/>
          <w:szCs w:val="16"/>
          <w:lang w:val="en-US"/>
        </w:rPr>
        <w:t xml:space="preserve">K.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Kern, </w:t>
      </w:r>
      <w:r w:rsidR="00ED3419">
        <w:rPr>
          <w:rFonts w:ascii="Times New Roman" w:hAnsi="Times New Roman" w:cs="Times New Roman"/>
          <w:sz w:val="16"/>
          <w:szCs w:val="16"/>
          <w:lang w:val="en-US"/>
        </w:rPr>
        <w:t xml:space="preserve">B. V. </w:t>
      </w:r>
      <w:proofErr w:type="spellStart"/>
      <w:r w:rsidRPr="003741F9">
        <w:rPr>
          <w:rFonts w:ascii="Times New Roman" w:hAnsi="Times New Roman" w:cs="Times New Roman"/>
          <w:sz w:val="16"/>
          <w:szCs w:val="16"/>
          <w:lang w:val="en-US"/>
        </w:rPr>
        <w:t>Lotsch</w:t>
      </w:r>
      <w:proofErr w:type="spellEnd"/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741F9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3741F9">
        <w:rPr>
          <w:rFonts w:ascii="Times New Roman" w:hAnsi="Times New Roman" w:cs="Times New Roman"/>
          <w:i/>
          <w:sz w:val="16"/>
          <w:szCs w:val="16"/>
          <w:lang w:val="en-US"/>
        </w:rPr>
        <w:t>rystEngComm</w:t>
      </w:r>
      <w:proofErr w:type="spellEnd"/>
      <w:r w:rsidRPr="00ED341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3741F9">
        <w:rPr>
          <w:rFonts w:ascii="Times New Roman" w:hAnsi="Times New Roman" w:cs="Times New Roman"/>
          <w:b/>
          <w:sz w:val="16"/>
          <w:szCs w:val="16"/>
          <w:lang w:val="en-US"/>
        </w:rPr>
        <w:t>2014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D3419">
        <w:rPr>
          <w:rFonts w:ascii="Times New Roman" w:hAnsi="Times New Roman" w:cs="Times New Roman"/>
          <w:i/>
          <w:sz w:val="16"/>
          <w:szCs w:val="16"/>
          <w:lang w:val="en-US"/>
        </w:rPr>
        <w:t>16</w:t>
      </w:r>
      <w:r w:rsidR="00ED3419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D3419">
        <w:rPr>
          <w:rFonts w:ascii="Times New Roman" w:hAnsi="Times New Roman" w:cs="Times New Roman"/>
          <w:sz w:val="16"/>
          <w:szCs w:val="16"/>
          <w:lang w:val="en-US"/>
        </w:rPr>
        <w:t xml:space="preserve">7389–7392. </w:t>
      </w:r>
      <w:r w:rsidRPr="003741F9">
        <w:rPr>
          <w:rFonts w:ascii="Times New Roman" w:hAnsi="Times New Roman" w:cs="Times New Roman"/>
          <w:sz w:val="16"/>
          <w:szCs w:val="16"/>
          <w:lang w:val="en-US"/>
        </w:rPr>
        <w:t>DOI: 10.1039/C4CE00752B</w:t>
      </w:r>
    </w:p>
    <w:p w:rsidR="00233C0E" w:rsidRPr="00233C0E" w:rsidRDefault="00233C0E" w:rsidP="00233C0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233C0E" w:rsidRPr="003A13B7" w:rsidTr="006A6A26">
        <w:trPr>
          <w:jc w:val="right"/>
        </w:trPr>
        <w:tc>
          <w:tcPr>
            <w:tcW w:w="3255" w:type="dxa"/>
            <w:vAlign w:val="center"/>
          </w:tcPr>
          <w:p w:rsidR="00233C0E" w:rsidRPr="0095093A" w:rsidRDefault="00233C0E" w:rsidP="006A6A26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233C0E" w:rsidRPr="003A13B7" w:rsidRDefault="00233C0E" w:rsidP="006A6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1" name="Рисунок 125" descr="D:\Rinat\Rinat\доки\журнал\cc-by-nc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0E" w:rsidRPr="003741F9" w:rsidRDefault="00233C0E" w:rsidP="003741F9">
      <w:pPr>
        <w:spacing w:after="0" w:line="264" w:lineRule="auto"/>
        <w:ind w:left="454" w:hanging="454"/>
        <w:jc w:val="both"/>
        <w:rPr>
          <w:sz w:val="16"/>
          <w:szCs w:val="16"/>
          <w:lang w:val="en-US"/>
        </w:rPr>
      </w:pPr>
    </w:p>
    <w:sectPr w:rsidR="00233C0E" w:rsidRPr="003741F9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0A2" w:rsidRDefault="00E270A2" w:rsidP="00427E5A">
      <w:pPr>
        <w:spacing w:after="0" w:line="240" w:lineRule="auto"/>
      </w:pPr>
      <w:r>
        <w:separator/>
      </w:r>
    </w:p>
    <w:p w:rsidR="00E270A2" w:rsidRDefault="00E270A2"/>
  </w:endnote>
  <w:endnote w:type="continuationSeparator" w:id="0">
    <w:p w:rsidR="00E270A2" w:rsidRDefault="00E270A2" w:rsidP="00427E5A">
      <w:pPr>
        <w:spacing w:after="0" w:line="240" w:lineRule="auto"/>
      </w:pPr>
      <w:r>
        <w:continuationSeparator/>
      </w:r>
    </w:p>
    <w:p w:rsidR="00E270A2" w:rsidRDefault="00E270A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F940F5" w:rsidP="007A3351">
    <w:pPr>
      <w:pStyle w:val="af"/>
      <w:jc w:val="center"/>
      <w:rPr>
        <w:rStyle w:val="MainText0"/>
        <w:i/>
      </w:rPr>
    </w:pPr>
    <w:r>
      <w:rPr>
        <w:rStyle w:val="MainText0"/>
      </w:rPr>
      <w:t>E. A. Bobrova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0A2" w:rsidRDefault="00E270A2" w:rsidP="00427E5A">
      <w:pPr>
        <w:spacing w:after="0" w:line="240" w:lineRule="auto"/>
      </w:pPr>
      <w:r>
        <w:separator/>
      </w:r>
    </w:p>
    <w:p w:rsidR="00E270A2" w:rsidRDefault="00E270A2"/>
  </w:footnote>
  <w:footnote w:type="continuationSeparator" w:id="0">
    <w:p w:rsidR="00E270A2" w:rsidRDefault="00E270A2" w:rsidP="00427E5A">
      <w:pPr>
        <w:spacing w:after="0" w:line="240" w:lineRule="auto"/>
      </w:pPr>
      <w:r>
        <w:continuationSeparator/>
      </w:r>
    </w:p>
    <w:p w:rsidR="00E270A2" w:rsidRDefault="00E270A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5A318C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5A318C" w:rsidRPr="001E7945">
          <w:rPr>
            <w:rFonts w:ascii="Times New Roman" w:hAnsi="Times New Roman" w:cs="Times New Roman"/>
            <w:i/>
          </w:rPr>
          <w:fldChar w:fldCharType="separate"/>
        </w:r>
        <w:r w:rsidR="0036337B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5A318C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869CA"/>
    <w:multiLevelType w:val="multilevel"/>
    <w:tmpl w:val="5562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7EC7"/>
    <w:rsid w:val="00071D12"/>
    <w:rsid w:val="0007510C"/>
    <w:rsid w:val="00080691"/>
    <w:rsid w:val="0008088D"/>
    <w:rsid w:val="000B5E27"/>
    <w:rsid w:val="000B6DB6"/>
    <w:rsid w:val="000E1B06"/>
    <w:rsid w:val="00116F30"/>
    <w:rsid w:val="001226C3"/>
    <w:rsid w:val="00122F37"/>
    <w:rsid w:val="001351EB"/>
    <w:rsid w:val="00161894"/>
    <w:rsid w:val="001647DC"/>
    <w:rsid w:val="00166162"/>
    <w:rsid w:val="001B0919"/>
    <w:rsid w:val="001B6750"/>
    <w:rsid w:val="001C2F2F"/>
    <w:rsid w:val="001D2127"/>
    <w:rsid w:val="001E7945"/>
    <w:rsid w:val="00233C0E"/>
    <w:rsid w:val="0023552E"/>
    <w:rsid w:val="002500A5"/>
    <w:rsid w:val="002737D0"/>
    <w:rsid w:val="00285FC1"/>
    <w:rsid w:val="002A6946"/>
    <w:rsid w:val="002C7EFF"/>
    <w:rsid w:val="002D6411"/>
    <w:rsid w:val="002E73AE"/>
    <w:rsid w:val="003111B4"/>
    <w:rsid w:val="0031578F"/>
    <w:rsid w:val="00321C31"/>
    <w:rsid w:val="00335D5C"/>
    <w:rsid w:val="0036337B"/>
    <w:rsid w:val="0037392E"/>
    <w:rsid w:val="003741F9"/>
    <w:rsid w:val="003A1A4E"/>
    <w:rsid w:val="003B067D"/>
    <w:rsid w:val="003B4ADC"/>
    <w:rsid w:val="003E2893"/>
    <w:rsid w:val="00420BFF"/>
    <w:rsid w:val="00427E5A"/>
    <w:rsid w:val="00436D4B"/>
    <w:rsid w:val="00440577"/>
    <w:rsid w:val="00463737"/>
    <w:rsid w:val="004718BE"/>
    <w:rsid w:val="004A44BC"/>
    <w:rsid w:val="004A5676"/>
    <w:rsid w:val="004B355D"/>
    <w:rsid w:val="004C0411"/>
    <w:rsid w:val="004C5593"/>
    <w:rsid w:val="004E5DEF"/>
    <w:rsid w:val="004E5EEE"/>
    <w:rsid w:val="004F7A0A"/>
    <w:rsid w:val="00502985"/>
    <w:rsid w:val="00524995"/>
    <w:rsid w:val="00533D73"/>
    <w:rsid w:val="00534762"/>
    <w:rsid w:val="0055361F"/>
    <w:rsid w:val="005A318C"/>
    <w:rsid w:val="005B113D"/>
    <w:rsid w:val="005C7369"/>
    <w:rsid w:val="005C76CD"/>
    <w:rsid w:val="005D6112"/>
    <w:rsid w:val="005E76C3"/>
    <w:rsid w:val="005F44C7"/>
    <w:rsid w:val="00622DF1"/>
    <w:rsid w:val="0063064E"/>
    <w:rsid w:val="0065245B"/>
    <w:rsid w:val="00676C98"/>
    <w:rsid w:val="00683408"/>
    <w:rsid w:val="006E0C73"/>
    <w:rsid w:val="00706F05"/>
    <w:rsid w:val="0072037E"/>
    <w:rsid w:val="00740861"/>
    <w:rsid w:val="007516EA"/>
    <w:rsid w:val="00761939"/>
    <w:rsid w:val="00774E6C"/>
    <w:rsid w:val="007A3351"/>
    <w:rsid w:val="007A78A4"/>
    <w:rsid w:val="007B34AA"/>
    <w:rsid w:val="007D3F5F"/>
    <w:rsid w:val="007E770D"/>
    <w:rsid w:val="008114FB"/>
    <w:rsid w:val="00820A77"/>
    <w:rsid w:val="00842E5C"/>
    <w:rsid w:val="008622A1"/>
    <w:rsid w:val="00863A30"/>
    <w:rsid w:val="00875175"/>
    <w:rsid w:val="0089304F"/>
    <w:rsid w:val="00894EE2"/>
    <w:rsid w:val="008A02BF"/>
    <w:rsid w:val="008A6A35"/>
    <w:rsid w:val="008C6630"/>
    <w:rsid w:val="008C68C0"/>
    <w:rsid w:val="008D2BCF"/>
    <w:rsid w:val="008E062B"/>
    <w:rsid w:val="008E727C"/>
    <w:rsid w:val="009017D1"/>
    <w:rsid w:val="00904B7F"/>
    <w:rsid w:val="00916E1F"/>
    <w:rsid w:val="00930DA8"/>
    <w:rsid w:val="009667F3"/>
    <w:rsid w:val="009A6DAE"/>
    <w:rsid w:val="009B1ECD"/>
    <w:rsid w:val="00A21C59"/>
    <w:rsid w:val="00A231BA"/>
    <w:rsid w:val="00A37706"/>
    <w:rsid w:val="00A6442F"/>
    <w:rsid w:val="00A76F33"/>
    <w:rsid w:val="00A8227F"/>
    <w:rsid w:val="00A849FD"/>
    <w:rsid w:val="00A970C0"/>
    <w:rsid w:val="00AA44CC"/>
    <w:rsid w:val="00AB02BB"/>
    <w:rsid w:val="00AE3097"/>
    <w:rsid w:val="00B07F24"/>
    <w:rsid w:val="00B22671"/>
    <w:rsid w:val="00B23601"/>
    <w:rsid w:val="00B5202A"/>
    <w:rsid w:val="00B625CF"/>
    <w:rsid w:val="00BB1D07"/>
    <w:rsid w:val="00BB2A5B"/>
    <w:rsid w:val="00BE4037"/>
    <w:rsid w:val="00BE4FEF"/>
    <w:rsid w:val="00BE7614"/>
    <w:rsid w:val="00C12D5C"/>
    <w:rsid w:val="00C25075"/>
    <w:rsid w:val="00C25E43"/>
    <w:rsid w:val="00C80843"/>
    <w:rsid w:val="00CA605E"/>
    <w:rsid w:val="00CB5C6D"/>
    <w:rsid w:val="00CD0B92"/>
    <w:rsid w:val="00CD128C"/>
    <w:rsid w:val="00CD6FAC"/>
    <w:rsid w:val="00D024B1"/>
    <w:rsid w:val="00D02E58"/>
    <w:rsid w:val="00D33D37"/>
    <w:rsid w:val="00D36C9F"/>
    <w:rsid w:val="00D6288E"/>
    <w:rsid w:val="00D71473"/>
    <w:rsid w:val="00D729FC"/>
    <w:rsid w:val="00D97580"/>
    <w:rsid w:val="00DA0A72"/>
    <w:rsid w:val="00DB5BBC"/>
    <w:rsid w:val="00DF1FCB"/>
    <w:rsid w:val="00DF4999"/>
    <w:rsid w:val="00E06BD3"/>
    <w:rsid w:val="00E159E8"/>
    <w:rsid w:val="00E17BD3"/>
    <w:rsid w:val="00E270A2"/>
    <w:rsid w:val="00E46D2A"/>
    <w:rsid w:val="00E60451"/>
    <w:rsid w:val="00E60D15"/>
    <w:rsid w:val="00E76E65"/>
    <w:rsid w:val="00E81EDE"/>
    <w:rsid w:val="00E92F19"/>
    <w:rsid w:val="00E95346"/>
    <w:rsid w:val="00EA6C3B"/>
    <w:rsid w:val="00EB02F1"/>
    <w:rsid w:val="00EB2FCC"/>
    <w:rsid w:val="00ED3419"/>
    <w:rsid w:val="00ED7896"/>
    <w:rsid w:val="00EE0429"/>
    <w:rsid w:val="00EE4066"/>
    <w:rsid w:val="00EF625A"/>
    <w:rsid w:val="00F1496D"/>
    <w:rsid w:val="00F151A4"/>
    <w:rsid w:val="00F24DB0"/>
    <w:rsid w:val="00F376FB"/>
    <w:rsid w:val="00F44BBC"/>
    <w:rsid w:val="00F540E9"/>
    <w:rsid w:val="00F6796A"/>
    <w:rsid w:val="00F85562"/>
    <w:rsid w:val="00F86864"/>
    <w:rsid w:val="00F940F5"/>
    <w:rsid w:val="00F94740"/>
    <w:rsid w:val="00F95280"/>
    <w:rsid w:val="00FA0CD1"/>
    <w:rsid w:val="00FB4DBE"/>
    <w:rsid w:val="00FD2F8B"/>
    <w:rsid w:val="00FD477F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ezkurwreuab5ozgtqnkl">
    <w:name w:val="ezkurwreuab5ozgtqnkl"/>
    <w:basedOn w:val="a0"/>
    <w:rsid w:val="00A37706"/>
  </w:style>
  <w:style w:type="character" w:styleId="af4">
    <w:name w:val="Emphasis"/>
    <w:basedOn w:val="a0"/>
    <w:uiPriority w:val="20"/>
    <w:qFormat/>
    <w:rsid w:val="003741F9"/>
    <w:rPr>
      <w:i/>
      <w:iCs/>
    </w:rPr>
  </w:style>
  <w:style w:type="character" w:customStyle="1" w:styleId="accordion-tabbedtab-mobile">
    <w:name w:val="accordion-tabbed__tab-mobile"/>
    <w:basedOn w:val="a0"/>
    <w:rsid w:val="0037392E"/>
  </w:style>
  <w:style w:type="character" w:customStyle="1" w:styleId="comma-separator">
    <w:name w:val="comma-separator"/>
    <w:basedOn w:val="a0"/>
    <w:rsid w:val="0037392E"/>
  </w:style>
  <w:style w:type="character" w:styleId="af5">
    <w:name w:val="Placeholder Text"/>
    <w:basedOn w:val="a0"/>
    <w:uiPriority w:val="99"/>
    <w:semiHidden/>
    <w:rsid w:val="00C80843"/>
    <w:rPr>
      <w:color w:val="808080"/>
    </w:rPr>
  </w:style>
  <w:style w:type="table" w:customStyle="1" w:styleId="13">
    <w:name w:val="Сетка таблицы1"/>
    <w:basedOn w:val="a1"/>
    <w:next w:val="a1"/>
    <w:uiPriority w:val="59"/>
    <w:rsid w:val="00233C0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643DF"/>
    <w:rsid w:val="00F643DF"/>
    <w:rsid w:val="00FE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43D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63088-65C1-4F1D-AE47-5EA830DE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79</cp:revision>
  <dcterms:created xsi:type="dcterms:W3CDTF">2018-09-10T13:23:00Z</dcterms:created>
  <dcterms:modified xsi:type="dcterms:W3CDTF">2025-06-05T16:34:00Z</dcterms:modified>
</cp:coreProperties>
</file>