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084F" w:rsidRPr="006118F4" w:rsidRDefault="0091084F" w:rsidP="0091084F">
      <w:pPr>
        <w:jc w:val="center"/>
        <w:rPr>
          <w:rFonts w:ascii="Times New Roman" w:hAnsi="Times New Roman" w:cs="Times New Roman"/>
          <w:sz w:val="36"/>
          <w:szCs w:val="36"/>
          <w:lang w:val="en-US"/>
        </w:rPr>
      </w:pPr>
      <w:r w:rsidRPr="006118F4">
        <w:rPr>
          <w:rFonts w:ascii="Times New Roman" w:hAnsi="Times New Roman" w:cs="Times New Roman"/>
          <w:i/>
          <w:sz w:val="36"/>
          <w:szCs w:val="36"/>
          <w:lang w:val="en-US"/>
        </w:rPr>
        <w:t>INEOS OPEN</w:t>
      </w:r>
      <w:r w:rsidRPr="006118F4">
        <w:rPr>
          <w:rFonts w:ascii="Times New Roman" w:hAnsi="Times New Roman" w:cs="Times New Roman"/>
          <w:sz w:val="36"/>
          <w:szCs w:val="36"/>
          <w:lang w:val="en-US"/>
        </w:rPr>
        <w:t xml:space="preserve">, </w:t>
      </w:r>
      <w:r w:rsidRPr="006118F4">
        <w:rPr>
          <w:rFonts w:ascii="Times New Roman" w:hAnsi="Times New Roman" w:cs="Times New Roman"/>
          <w:b/>
          <w:sz w:val="36"/>
          <w:szCs w:val="36"/>
          <w:lang w:val="en-US"/>
        </w:rPr>
        <w:t>2025</w:t>
      </w:r>
      <w:r w:rsidRPr="006118F4">
        <w:rPr>
          <w:rFonts w:ascii="Times New Roman" w:hAnsi="Times New Roman" w:cs="Times New Roman"/>
          <w:sz w:val="36"/>
          <w:szCs w:val="36"/>
          <w:lang w:val="en-US"/>
        </w:rPr>
        <w:t xml:space="preserve">, </w:t>
      </w:r>
      <w:r w:rsidRPr="006118F4">
        <w:rPr>
          <w:rFonts w:ascii="Times New Roman" w:hAnsi="Times New Roman" w:cs="Times New Roman"/>
          <w:i/>
          <w:iCs/>
          <w:sz w:val="36"/>
          <w:szCs w:val="36"/>
          <w:lang w:val="en-US"/>
        </w:rPr>
        <w:t>8 (1–3)</w:t>
      </w:r>
      <w:r w:rsidR="003D2C9B">
        <w:rPr>
          <w:rFonts w:ascii="Times New Roman" w:hAnsi="Times New Roman" w:cs="Times New Roman"/>
          <w:sz w:val="36"/>
          <w:szCs w:val="36"/>
          <w:lang w:val="en-US"/>
        </w:rPr>
        <w:t>, 98</w:t>
      </w:r>
      <w:r w:rsidR="00F27BF3" w:rsidRPr="006118F4">
        <w:rPr>
          <w:rFonts w:ascii="Times New Roman" w:hAnsi="Times New Roman" w:cs="Times New Roman"/>
          <w:sz w:val="36"/>
          <w:szCs w:val="36"/>
          <w:lang w:val="en-US"/>
        </w:rPr>
        <w:t>–</w:t>
      </w:r>
      <w:r w:rsidR="003D2C9B">
        <w:rPr>
          <w:rFonts w:ascii="Times New Roman" w:hAnsi="Times New Roman" w:cs="Times New Roman"/>
          <w:sz w:val="36"/>
          <w:szCs w:val="36"/>
          <w:lang w:val="en-US"/>
        </w:rPr>
        <w:t>100</w:t>
      </w:r>
    </w:p>
    <w:p w:rsidR="00B9104A" w:rsidRPr="002801B8" w:rsidRDefault="0096783D" w:rsidP="006118F4">
      <w:pPr>
        <w:jc w:val="center"/>
        <w:rPr>
          <w:b/>
          <w:sz w:val="24"/>
          <w:szCs w:val="24"/>
          <w:lang w:val="en-US"/>
        </w:rPr>
      </w:pPr>
      <w:r w:rsidRPr="00FD0D30">
        <w:rPr>
          <w:rFonts w:ascii="Times New Roman" w:hAnsi="Times New Roman" w:cs="Times New Roman"/>
          <w:b/>
          <w:color w:val="660000"/>
          <w:sz w:val="24"/>
          <w:szCs w:val="24"/>
          <w:lang w:val="en-US"/>
        </w:rPr>
        <w:t>DOI:</w:t>
      </w:r>
      <w:r w:rsidRPr="00FD0D30">
        <w:rPr>
          <w:rFonts w:ascii="Times New Roman" w:hAnsi="Times New Roman" w:cs="Times New Roman"/>
          <w:b/>
          <w:sz w:val="24"/>
          <w:szCs w:val="24"/>
          <w:lang w:val="en-US"/>
        </w:rPr>
        <w:t xml:space="preserve"> </w:t>
      </w:r>
      <w:hyperlink r:id="rId8" w:history="1">
        <w:r w:rsidR="003D2C9B">
          <w:rPr>
            <w:rFonts w:ascii="Times New Roman" w:hAnsi="Times New Roman" w:cs="Times New Roman"/>
            <w:b/>
            <w:sz w:val="24"/>
            <w:szCs w:val="24"/>
            <w:lang w:val="en-US"/>
          </w:rPr>
          <w:t>10.32931/io2536</w:t>
        </w:r>
        <w:r w:rsidR="0091084F" w:rsidRPr="00FD0D30">
          <w:rPr>
            <w:rFonts w:ascii="Times New Roman" w:hAnsi="Times New Roman" w:cs="Times New Roman"/>
            <w:b/>
            <w:sz w:val="24"/>
            <w:szCs w:val="24"/>
            <w:lang w:val="en-US"/>
          </w:rPr>
          <w:t>a</w:t>
        </w:r>
      </w:hyperlink>
    </w:p>
    <w:p w:rsidR="002801B8" w:rsidRPr="005827E1" w:rsidRDefault="003D2C9B" w:rsidP="005827E1">
      <w:pPr>
        <w:pStyle w:val="ArticleTitle"/>
      </w:pPr>
      <w:r>
        <w:t xml:space="preserve">Influence of Aliphatic </w:t>
      </w:r>
      <w:proofErr w:type="spellStart"/>
      <w:r>
        <w:t>Substituents</w:t>
      </w:r>
      <w:proofErr w:type="spellEnd"/>
      <w:r>
        <w:t xml:space="preserve"> on the Properties</w:t>
      </w:r>
      <w:r>
        <w:br/>
        <w:t>o</w:t>
      </w:r>
      <w:r w:rsidRPr="00466664">
        <w:t>f 2</w:t>
      </w:r>
      <w:proofErr w:type="gramStart"/>
      <w:r w:rsidRPr="00466664">
        <w:t>,1,3</w:t>
      </w:r>
      <w:proofErr w:type="gramEnd"/>
      <w:r w:rsidRPr="00466664">
        <w:t xml:space="preserve">-Benzothiadiazole-Based </w:t>
      </w:r>
      <w:proofErr w:type="spellStart"/>
      <w:r w:rsidRPr="00466664">
        <w:t>Luminophores</w:t>
      </w:r>
      <w:proofErr w:type="spellEnd"/>
    </w:p>
    <w:p w:rsidR="00F46F0E" w:rsidRPr="0091084F" w:rsidRDefault="003D2C9B" w:rsidP="002801B8">
      <w:pPr>
        <w:pStyle w:val="Authors"/>
      </w:pPr>
      <w:r w:rsidRPr="00466664">
        <w:t xml:space="preserve">D. E. Stakanova, V. V. Popova, E. A. Svidchenko, </w:t>
      </w:r>
      <w:r w:rsidRPr="00466664">
        <w:br/>
        <w:t xml:space="preserve">O. V. Borshchev,* </w:t>
      </w:r>
      <w:r>
        <w:t xml:space="preserve">and </w:t>
      </w:r>
      <w:r w:rsidRPr="00466664">
        <w:rPr>
          <w:lang w:val="pl-PL"/>
        </w:rPr>
        <w:t>S. A. Ponomarenko</w:t>
      </w:r>
    </w:p>
    <w:p w:rsidR="008518EA" w:rsidRPr="0091084F" w:rsidRDefault="003D2C9B" w:rsidP="004C2362">
      <w:pPr>
        <w:pStyle w:val="Affelations"/>
      </w:pPr>
      <w:proofErr w:type="spellStart"/>
      <w:proofErr w:type="gramStart"/>
      <w:r w:rsidRPr="00466664">
        <w:rPr>
          <w:rFonts w:cs="Times New Roman"/>
          <w:lang w:val="en-US"/>
        </w:rPr>
        <w:t>Enikolopov</w:t>
      </w:r>
      <w:proofErr w:type="spellEnd"/>
      <w:r w:rsidRPr="00466664">
        <w:rPr>
          <w:rFonts w:cs="Times New Roman"/>
          <w:lang w:val="en-US"/>
        </w:rPr>
        <w:t xml:space="preserve"> Institute of Synthetic Polymeric Materials, Russian Academy of Sciences, </w:t>
      </w:r>
      <w:proofErr w:type="spellStart"/>
      <w:r w:rsidRPr="00466664">
        <w:rPr>
          <w:rFonts w:cs="Times New Roman"/>
          <w:lang w:val="en-US"/>
        </w:rPr>
        <w:t>ul</w:t>
      </w:r>
      <w:proofErr w:type="spellEnd"/>
      <w:r w:rsidRPr="00466664">
        <w:rPr>
          <w:rFonts w:cs="Times New Roman"/>
          <w:lang w:val="en-US"/>
        </w:rPr>
        <w:t>.</w:t>
      </w:r>
      <w:proofErr w:type="gramEnd"/>
      <w:r w:rsidRPr="00466664">
        <w:rPr>
          <w:rFonts w:cs="Times New Roman"/>
          <w:lang w:val="en-US"/>
        </w:rPr>
        <w:t xml:space="preserve"> </w:t>
      </w:r>
      <w:proofErr w:type="spellStart"/>
      <w:r w:rsidRPr="00466664">
        <w:rPr>
          <w:rFonts w:cs="Times New Roman"/>
          <w:lang w:val="en-US"/>
        </w:rPr>
        <w:t>Profsoyuznaya</w:t>
      </w:r>
      <w:proofErr w:type="spellEnd"/>
      <w:r w:rsidRPr="00466664">
        <w:rPr>
          <w:rFonts w:cs="Times New Roman"/>
          <w:lang w:val="en-US"/>
        </w:rPr>
        <w:t xml:space="preserve"> 70, Moscow, 117393 Russia</w:t>
      </w:r>
      <w:r w:rsidR="00F27BF3">
        <w:br/>
      </w:r>
    </w:p>
    <w:p w:rsidR="008518EA" w:rsidRPr="007659A9" w:rsidRDefault="008518EA" w:rsidP="005827E1">
      <w:pPr>
        <w:pStyle w:val="CorrespondingAuthor"/>
      </w:pPr>
      <w:r w:rsidRPr="005827E1">
        <w:rPr>
          <w:b/>
          <w:i w:val="0"/>
        </w:rPr>
        <w:t>Corresponding author:</w:t>
      </w:r>
      <w:r w:rsidRPr="0068614A">
        <w:t xml:space="preserve"> </w:t>
      </w:r>
      <w:r w:rsidR="003D2C9B" w:rsidRPr="00466664">
        <w:t xml:space="preserve">O. V. </w:t>
      </w:r>
      <w:proofErr w:type="spellStart"/>
      <w:r w:rsidR="003D2C9B" w:rsidRPr="00466664">
        <w:t>Borshchev</w:t>
      </w:r>
      <w:proofErr w:type="spellEnd"/>
      <w:r w:rsidR="00D31C2D" w:rsidRPr="005827E1">
        <w:t>, e-mail:</w:t>
      </w:r>
      <w:r w:rsidR="00F27BF3" w:rsidRPr="005827E1">
        <w:t xml:space="preserve"> </w:t>
      </w:r>
      <w:r w:rsidR="003D2C9B" w:rsidRPr="00466664">
        <w:t>bors</w:t>
      </w:r>
      <w:r w:rsidR="003D2C9B">
        <w:t>h</w:t>
      </w:r>
      <w:r w:rsidR="003D2C9B" w:rsidRPr="00466664">
        <w:t>chev@ispm.ru</w:t>
      </w:r>
      <w:r w:rsidR="00C01303" w:rsidRPr="005827E1">
        <w:br/>
      </w:r>
      <w:r w:rsidR="001704B0" w:rsidRPr="005827E1">
        <w:t>Received 2</w:t>
      </w:r>
      <w:r w:rsidRPr="005827E1">
        <w:t xml:space="preserve"> </w:t>
      </w:r>
      <w:r w:rsidR="003D2C9B">
        <w:t>Nove</w:t>
      </w:r>
      <w:r w:rsidRPr="005827E1">
        <w:t xml:space="preserve">mber 2024; accepted </w:t>
      </w:r>
      <w:r w:rsidR="003D2C9B">
        <w:t>3</w:t>
      </w:r>
      <w:r w:rsidR="001704B0" w:rsidRPr="005827E1">
        <w:t xml:space="preserve"> </w:t>
      </w:r>
      <w:r w:rsidR="003D2C9B">
        <w:t>Decem</w:t>
      </w:r>
      <w:r w:rsidR="001704B0" w:rsidRPr="005827E1">
        <w:t xml:space="preserve">ber </w:t>
      </w:r>
      <w:r w:rsidR="00F27BF3" w:rsidRPr="005827E1">
        <w:t>2024</w:t>
      </w:r>
    </w:p>
    <w:p w:rsidR="00D118AB" w:rsidRPr="008518EA" w:rsidRDefault="00F46F0E" w:rsidP="0068614A">
      <w:pPr>
        <w:pStyle w:val="MainHeader"/>
      </w:pPr>
      <w:r w:rsidRPr="000843DF">
        <w:t>Abstract</w:t>
      </w:r>
    </w:p>
    <w:p w:rsidR="00D118AB" w:rsidRPr="007B0653" w:rsidRDefault="00D118AB" w:rsidP="004C2362">
      <w:pPr>
        <w:pStyle w:val="AbsFig"/>
        <w:rPr>
          <w:lang w:val="en-US"/>
        </w:rPr>
      </w:pPr>
    </w:p>
    <w:p w:rsidR="001704B0" w:rsidRDefault="003D2C9B" w:rsidP="001704B0">
      <w:pPr>
        <w:pStyle w:val="AbsText"/>
      </w:pPr>
      <w:r w:rsidRPr="00466664">
        <w:t>In this work, a series of 2</w:t>
      </w:r>
      <w:proofErr w:type="gramStart"/>
      <w:r w:rsidRPr="00466664">
        <w:t>,1,3</w:t>
      </w:r>
      <w:proofErr w:type="gramEnd"/>
      <w:r w:rsidRPr="00466664">
        <w:t xml:space="preserve">-benzothiadiazole (BTD)-based organic </w:t>
      </w:r>
      <w:proofErr w:type="spellStart"/>
      <w:r w:rsidRPr="00466664">
        <w:t>luminophores</w:t>
      </w:r>
      <w:proofErr w:type="spellEnd"/>
      <w:r w:rsidRPr="00466664">
        <w:t xml:space="preserve"> which include 2,5-thiophene and 1,4-benzene moieties and terminal alkyl chains in their structures were synthesized. The effect of the length of the alkyl chain on the solubility, optical and thermal properties of the resulting </w:t>
      </w:r>
      <w:proofErr w:type="spellStart"/>
      <w:r w:rsidRPr="00466664">
        <w:t>luminophores</w:t>
      </w:r>
      <w:proofErr w:type="spellEnd"/>
      <w:r w:rsidRPr="00466664">
        <w:t xml:space="preserve"> was investigated. The introduction of alkyl </w:t>
      </w:r>
      <w:proofErr w:type="spellStart"/>
      <w:r w:rsidRPr="00466664">
        <w:t>substituents</w:t>
      </w:r>
      <w:proofErr w:type="spellEnd"/>
      <w:r w:rsidRPr="00466664">
        <w:t xml:space="preserve"> leads to a slight </w:t>
      </w:r>
      <w:proofErr w:type="spellStart"/>
      <w:r w:rsidRPr="00466664">
        <w:t>bathochromic</w:t>
      </w:r>
      <w:proofErr w:type="spellEnd"/>
      <w:r w:rsidRPr="00466664">
        <w:t xml:space="preserve"> shift of the absorption and luminescence maxima compared to their </w:t>
      </w:r>
      <w:proofErr w:type="spellStart"/>
      <w:r w:rsidRPr="00466664">
        <w:t>unsubstituted</w:t>
      </w:r>
      <w:proofErr w:type="spellEnd"/>
      <w:r w:rsidRPr="00466664">
        <w:t xml:space="preserve"> analog. As the length of the aliphatic chain increases, the melting point of the BTD-based </w:t>
      </w:r>
      <w:proofErr w:type="spellStart"/>
      <w:r w:rsidRPr="00466664">
        <w:t>luminophores</w:t>
      </w:r>
      <w:proofErr w:type="spellEnd"/>
      <w:r w:rsidRPr="00466664">
        <w:t xml:space="preserve"> decreases. The length of the aliphatic chain strongly affects the solubility of the molecules obtained.</w:t>
      </w:r>
    </w:p>
    <w:p w:rsidR="00166162" w:rsidRPr="00EF6BD4" w:rsidRDefault="00F46F0E" w:rsidP="00EF6BD4">
      <w:pPr>
        <w:pStyle w:val="Keywords"/>
        <w:rPr>
          <w:szCs w:val="20"/>
        </w:rPr>
      </w:pPr>
      <w:r w:rsidRPr="00EF6BD4">
        <w:rPr>
          <w:b/>
        </w:rPr>
        <w:t>Key words:</w:t>
      </w:r>
      <w:r w:rsidRPr="00EF6BD4">
        <w:t xml:space="preserve"> </w:t>
      </w:r>
      <w:r w:rsidR="003D2C9B" w:rsidRPr="00466664">
        <w:t>2</w:t>
      </w:r>
      <w:proofErr w:type="gramStart"/>
      <w:r w:rsidR="003D2C9B" w:rsidRPr="00466664">
        <w:t>,1,3</w:t>
      </w:r>
      <w:proofErr w:type="gramEnd"/>
      <w:r w:rsidR="003D2C9B" w:rsidRPr="00466664">
        <w:t xml:space="preserve">-benzothiadiazole, synthesis, terminal </w:t>
      </w:r>
      <w:proofErr w:type="spellStart"/>
      <w:r w:rsidR="003D2C9B" w:rsidRPr="00466664">
        <w:t>substituents</w:t>
      </w:r>
      <w:proofErr w:type="spellEnd"/>
      <w:r w:rsidR="003D2C9B" w:rsidRPr="00466664">
        <w:t>, luminescence.</w:t>
      </w:r>
    </w:p>
    <w:p w:rsidR="00D31C2D" w:rsidRPr="00A0672F" w:rsidRDefault="00D31C2D" w:rsidP="00D31C2D">
      <w:pPr>
        <w:rPr>
          <w:rFonts w:ascii="Arial" w:hAnsi="Arial" w:cs="Arial"/>
          <w:spacing w:val="-2"/>
          <w:szCs w:val="20"/>
          <w:lang w:val="en-US"/>
        </w:rPr>
      </w:pPr>
    </w:p>
    <w:p w:rsidR="00875175" w:rsidRDefault="00427E5A" w:rsidP="0068614A">
      <w:pPr>
        <w:pStyle w:val="MainHeader"/>
      </w:pPr>
      <w:r w:rsidRPr="000843DF">
        <w:t>Introduction</w:t>
      </w:r>
    </w:p>
    <w:p w:rsidR="003D2C9B" w:rsidRPr="00466664" w:rsidRDefault="003D2C9B" w:rsidP="003D2C9B">
      <w:pPr>
        <w:pStyle w:val="Text"/>
      </w:pPr>
      <w:r w:rsidRPr="00466664">
        <w:t xml:space="preserve">Currently, organic materials for electronics and photonics are among the fastest-growing areas of materials science [1]. Materials based on BTD have great potential for optoelectronic applications owing to their high molar extinction coefficients and excellent </w:t>
      </w:r>
      <w:proofErr w:type="spellStart"/>
      <w:r w:rsidRPr="00466664">
        <w:t>photostability</w:t>
      </w:r>
      <w:proofErr w:type="spellEnd"/>
      <w:r w:rsidRPr="00466664">
        <w:t xml:space="preserve"> [2, 3]. Such materials usually have a donor–acceptor–donor (D–π–A–π–D) structure, which allows easy tuning of their spectral properties [4]. Moreover, they exhibit very high structural </w:t>
      </w:r>
      <w:proofErr w:type="spellStart"/>
      <w:r w:rsidRPr="00466664">
        <w:t>variabilities</w:t>
      </w:r>
      <w:proofErr w:type="spellEnd"/>
      <w:r w:rsidRPr="00466664">
        <w:t xml:space="preserve">, which can be changed by introducing terminal </w:t>
      </w:r>
      <w:proofErr w:type="spellStart"/>
      <w:r w:rsidRPr="00466664">
        <w:t>substituents</w:t>
      </w:r>
      <w:proofErr w:type="spellEnd"/>
      <w:r w:rsidRPr="00466664">
        <w:t xml:space="preserve"> such as </w:t>
      </w:r>
      <w:proofErr w:type="spellStart"/>
      <w:r w:rsidRPr="00466664">
        <w:t>trimethylsilyl</w:t>
      </w:r>
      <w:proofErr w:type="spellEnd"/>
      <w:r w:rsidRPr="00466664">
        <w:t xml:space="preserve">, alkyl, or halogen [5–7]. The introduction of long aliphatic terminal groups can change the physicochemical characteristics of the compounds in both crystalline and solution forms [8]. However, this area has not been well studied. Therefore, it is important to investigate the properties of individual molecules to fully understand the effect of the length of the aliphatic substituent on the </w:t>
      </w:r>
      <w:proofErr w:type="spellStart"/>
      <w:r w:rsidRPr="00466664">
        <w:t>luminophore</w:t>
      </w:r>
      <w:proofErr w:type="spellEnd"/>
      <w:r w:rsidRPr="00466664">
        <w:t xml:space="preserve"> properties.</w:t>
      </w:r>
    </w:p>
    <w:p w:rsidR="003D2C9B" w:rsidRPr="00466664" w:rsidRDefault="003D2C9B" w:rsidP="003D2C9B">
      <w:pPr>
        <w:pStyle w:val="MainHeader"/>
      </w:pPr>
      <w:r w:rsidRPr="00466664">
        <w:t>Results and discussion</w:t>
      </w:r>
    </w:p>
    <w:p w:rsidR="003D2C9B" w:rsidRPr="003D2C9B" w:rsidRDefault="003D2C9B" w:rsidP="003D2C9B">
      <w:pPr>
        <w:pStyle w:val="MainHeader"/>
        <w:spacing w:before="120" w:after="120"/>
        <w:rPr>
          <w:sz w:val="24"/>
          <w:szCs w:val="24"/>
        </w:rPr>
      </w:pPr>
      <w:r w:rsidRPr="003D2C9B">
        <w:rPr>
          <w:sz w:val="24"/>
          <w:szCs w:val="24"/>
        </w:rPr>
        <w:t>Synthesis</w:t>
      </w:r>
    </w:p>
    <w:p w:rsidR="003D2C9B" w:rsidRDefault="003D2C9B" w:rsidP="003D2C9B">
      <w:pPr>
        <w:pStyle w:val="Text"/>
        <w:rPr>
          <w:lang w:val="en-US"/>
        </w:rPr>
      </w:pPr>
      <w:proofErr w:type="spellStart"/>
      <w:r w:rsidRPr="00466664">
        <w:t>Luminophores</w:t>
      </w:r>
      <w:proofErr w:type="spellEnd"/>
      <w:r w:rsidRPr="00466664">
        <w:t xml:space="preserve"> R-T-Ph-BTD</w:t>
      </w:r>
      <w:r w:rsidRPr="00466664">
        <w:rPr>
          <w:bCs/>
        </w:rPr>
        <w:t xml:space="preserve">, where R = H, </w:t>
      </w:r>
      <w:proofErr w:type="spellStart"/>
      <w:r w:rsidRPr="00466664">
        <w:rPr>
          <w:bCs/>
        </w:rPr>
        <w:t>hexyl</w:t>
      </w:r>
      <w:proofErr w:type="spellEnd"/>
      <w:r w:rsidRPr="00466664">
        <w:rPr>
          <w:bCs/>
        </w:rPr>
        <w:t xml:space="preserve">, </w:t>
      </w:r>
      <w:proofErr w:type="spellStart"/>
      <w:r w:rsidRPr="00466664">
        <w:rPr>
          <w:bCs/>
        </w:rPr>
        <w:t>octyl</w:t>
      </w:r>
      <w:proofErr w:type="spellEnd"/>
      <w:r w:rsidRPr="00466664">
        <w:rPr>
          <w:bCs/>
        </w:rPr>
        <w:t xml:space="preserve"> or </w:t>
      </w:r>
      <w:proofErr w:type="spellStart"/>
      <w:r w:rsidRPr="00466664">
        <w:rPr>
          <w:bCs/>
        </w:rPr>
        <w:t>decyl</w:t>
      </w:r>
      <w:proofErr w:type="spellEnd"/>
      <w:r w:rsidRPr="00466664">
        <w:rPr>
          <w:bCs/>
        </w:rPr>
        <w:t xml:space="preserve">, </w:t>
      </w:r>
      <w:r w:rsidRPr="00466664">
        <w:t>were synthesized by the Suzuki cross-coupling between 4,7-bis(4-bromophenyl)-2,1,3-benzothiadiazole (</w:t>
      </w:r>
      <w:r w:rsidRPr="00466664">
        <w:rPr>
          <w:bCs/>
        </w:rPr>
        <w:t>Br-P-BTD</w:t>
      </w:r>
      <w:r w:rsidRPr="00466664">
        <w:t xml:space="preserve">) and the </w:t>
      </w:r>
      <w:r w:rsidRPr="00466664">
        <w:lastRenderedPageBreak/>
        <w:t xml:space="preserve">corresponding </w:t>
      </w:r>
      <w:proofErr w:type="spellStart"/>
      <w:r w:rsidRPr="00466664">
        <w:t>organoboronic</w:t>
      </w:r>
      <w:proofErr w:type="spellEnd"/>
      <w:r w:rsidRPr="00466664">
        <w:t xml:space="preserve"> precursor (Scheme 1). To obtain </w:t>
      </w:r>
      <w:r w:rsidRPr="00466664">
        <w:rPr>
          <w:bCs/>
        </w:rPr>
        <w:t>Br-P-BTD</w:t>
      </w:r>
      <w:r w:rsidRPr="00466664">
        <w:t xml:space="preserve">, 4,7-diphenyl-2,1,3-benzothiadiazole was </w:t>
      </w:r>
      <w:proofErr w:type="spellStart"/>
      <w:r w:rsidRPr="00466664">
        <w:t>brominated</w:t>
      </w:r>
      <w:proofErr w:type="spellEnd"/>
      <w:r w:rsidRPr="00466664">
        <w:t xml:space="preserve"> in chloroform, using iodine as a </w:t>
      </w:r>
      <w:proofErr w:type="spellStart"/>
      <w:r w:rsidRPr="00466664">
        <w:t>catalyst</w:t>
      </w:r>
      <w:proofErr w:type="spellEnd"/>
      <w:r w:rsidRPr="00466664">
        <w:t xml:space="preserve"> (</w:t>
      </w:r>
      <w:proofErr w:type="spellStart"/>
      <w:r w:rsidRPr="00466664">
        <w:t>Scheme</w:t>
      </w:r>
      <w:proofErr w:type="spellEnd"/>
      <w:r w:rsidRPr="00466664">
        <w:t xml:space="preserve"> 2a) [9].</w:t>
      </w:r>
    </w:p>
    <w:p w:rsidR="002110B0" w:rsidRPr="00466664" w:rsidRDefault="002110B0" w:rsidP="002110B0">
      <w:pPr>
        <w:pStyle w:val="Illustration"/>
        <w:rPr>
          <w:rStyle w:val="Captions0"/>
        </w:rPr>
      </w:pPr>
    </w:p>
    <w:p w:rsidR="002110B0" w:rsidRDefault="002110B0" w:rsidP="002110B0">
      <w:pPr>
        <w:pStyle w:val="IllustrationDescription"/>
        <w:rPr>
          <w:rStyle w:val="Captions0"/>
          <w:sz w:val="16"/>
        </w:rPr>
      </w:pPr>
      <w:proofErr w:type="gramStart"/>
      <w:r w:rsidRPr="003D2C9B">
        <w:rPr>
          <w:b/>
        </w:rPr>
        <w:t>Scheme 1.</w:t>
      </w:r>
      <w:proofErr w:type="gramEnd"/>
      <w:r w:rsidRPr="00466664">
        <w:rPr>
          <w:rStyle w:val="Captions0"/>
          <w:sz w:val="16"/>
        </w:rPr>
        <w:t xml:space="preserve"> </w:t>
      </w:r>
      <w:proofErr w:type="gramStart"/>
      <w:r w:rsidRPr="00466664">
        <w:t xml:space="preserve">Synthesis of </w:t>
      </w:r>
      <w:r w:rsidRPr="003D2C9B">
        <w:rPr>
          <w:b/>
        </w:rPr>
        <w:t>R-T-Ph-BTD</w:t>
      </w:r>
      <w:r w:rsidRPr="00466664">
        <w:rPr>
          <w:rStyle w:val="Captions0"/>
          <w:sz w:val="16"/>
        </w:rPr>
        <w:t>.</w:t>
      </w:r>
      <w:proofErr w:type="gramEnd"/>
    </w:p>
    <w:p w:rsidR="002110B0" w:rsidRPr="00466664" w:rsidRDefault="002110B0" w:rsidP="002110B0">
      <w:pPr>
        <w:pStyle w:val="Illustration"/>
      </w:pPr>
    </w:p>
    <w:p w:rsidR="002110B0" w:rsidRPr="002110B0" w:rsidRDefault="002110B0" w:rsidP="002110B0">
      <w:pPr>
        <w:pStyle w:val="IllustrationDescription"/>
        <w:rPr>
          <w:rStyle w:val="Captions0"/>
          <w:rFonts w:ascii="Arial" w:hAnsi="Arial" w:cs="Arial"/>
          <w:b w:val="0"/>
          <w:sz w:val="20"/>
          <w:szCs w:val="16"/>
        </w:rPr>
      </w:pPr>
      <w:proofErr w:type="gramStart"/>
      <w:r w:rsidRPr="003D2C9B">
        <w:rPr>
          <w:rStyle w:val="Captions0"/>
          <w:rFonts w:ascii="Arial" w:hAnsi="Arial" w:cs="Arial"/>
          <w:sz w:val="20"/>
        </w:rPr>
        <w:t>Scheme 2.</w:t>
      </w:r>
      <w:proofErr w:type="gramEnd"/>
      <w:r w:rsidRPr="003D2C9B">
        <w:rPr>
          <w:rStyle w:val="Captions0"/>
          <w:rFonts w:ascii="Arial" w:hAnsi="Arial" w:cs="Arial"/>
          <w:b w:val="0"/>
          <w:sz w:val="20"/>
        </w:rPr>
        <w:t xml:space="preserve"> </w:t>
      </w:r>
      <w:proofErr w:type="gramStart"/>
      <w:r w:rsidRPr="003D2C9B">
        <w:rPr>
          <w:rStyle w:val="Captions0"/>
          <w:rFonts w:ascii="Arial" w:hAnsi="Arial" w:cs="Arial"/>
          <w:b w:val="0"/>
          <w:sz w:val="20"/>
        </w:rPr>
        <w:t>Synthesis of the precursors.</w:t>
      </w:r>
      <w:proofErr w:type="gramEnd"/>
    </w:p>
    <w:p w:rsidR="003D2C9B" w:rsidRPr="00466664" w:rsidRDefault="003D2C9B" w:rsidP="003D2C9B">
      <w:pPr>
        <w:pStyle w:val="Text"/>
        <w:rPr>
          <w:b/>
        </w:rPr>
      </w:pPr>
      <w:r w:rsidRPr="002110B0">
        <w:rPr>
          <w:lang w:val="en-US"/>
        </w:rPr>
        <w:t xml:space="preserve">The </w:t>
      </w:r>
      <w:proofErr w:type="spellStart"/>
      <w:r w:rsidRPr="002110B0">
        <w:rPr>
          <w:lang w:val="en-US"/>
        </w:rPr>
        <w:t>organoboronic</w:t>
      </w:r>
      <w:proofErr w:type="spellEnd"/>
      <w:r w:rsidRPr="002110B0">
        <w:rPr>
          <w:lang w:val="en-US"/>
        </w:rPr>
        <w:t xml:space="preserve"> precursors were synthesized in two different ways. </w:t>
      </w:r>
      <w:proofErr w:type="spellStart"/>
      <w:r w:rsidRPr="00466664">
        <w:t>For</w:t>
      </w:r>
      <w:proofErr w:type="spellEnd"/>
      <w:r w:rsidRPr="00466664">
        <w:t xml:space="preserve"> </w:t>
      </w:r>
      <w:proofErr w:type="spellStart"/>
      <w:r w:rsidRPr="00466664">
        <w:t>alkylthiophene</w:t>
      </w:r>
      <w:proofErr w:type="spellEnd"/>
      <w:r w:rsidRPr="00466664">
        <w:t xml:space="preserve"> </w:t>
      </w:r>
      <w:proofErr w:type="spellStart"/>
      <w:r w:rsidRPr="00466664">
        <w:t>derivatives</w:t>
      </w:r>
      <w:proofErr w:type="spellEnd"/>
      <w:r w:rsidRPr="00466664">
        <w:t xml:space="preserve">, </w:t>
      </w:r>
      <w:proofErr w:type="spellStart"/>
      <w:r w:rsidRPr="00466664">
        <w:t>the</w:t>
      </w:r>
      <w:proofErr w:type="spellEnd"/>
      <w:r w:rsidRPr="00466664">
        <w:t xml:space="preserve"> corresponding </w:t>
      </w:r>
      <w:proofErr w:type="spellStart"/>
      <w:r w:rsidRPr="00466664">
        <w:t>alkylthiophenes</w:t>
      </w:r>
      <w:proofErr w:type="spellEnd"/>
      <w:r w:rsidRPr="00466664">
        <w:t xml:space="preserve"> were </w:t>
      </w:r>
      <w:proofErr w:type="spellStart"/>
      <w:r w:rsidRPr="00466664">
        <w:t>lithiated</w:t>
      </w:r>
      <w:proofErr w:type="spellEnd"/>
      <w:r w:rsidRPr="00466664">
        <w:t xml:space="preserve"> with </w:t>
      </w:r>
      <w:r w:rsidRPr="00466664">
        <w:rPr>
          <w:i/>
          <w:iCs/>
        </w:rPr>
        <w:t>n</w:t>
      </w:r>
      <w:r w:rsidRPr="00466664">
        <w:t>-</w:t>
      </w:r>
      <w:proofErr w:type="spellStart"/>
      <w:r w:rsidRPr="00466664">
        <w:t>buthyl</w:t>
      </w:r>
      <w:proofErr w:type="spellEnd"/>
      <w:r w:rsidRPr="00466664">
        <w:t xml:space="preserve"> lithium (</w:t>
      </w:r>
      <w:proofErr w:type="spellStart"/>
      <w:r w:rsidRPr="00466664">
        <w:rPr>
          <w:i/>
          <w:iCs/>
          <w:vertAlign w:val="superscript"/>
        </w:rPr>
        <w:t>n</w:t>
      </w:r>
      <w:r w:rsidRPr="00466664">
        <w:t>BuLi</w:t>
      </w:r>
      <w:proofErr w:type="spellEnd"/>
      <w:r w:rsidRPr="00466664">
        <w:t xml:space="preserve">) and then reacted with 2-isopropoxy-4,4,5,5-tetramethyl-1,3,2-dioxaborolane (IPTMDOB), as shown in Scheme 2b. In the case of </w:t>
      </w:r>
      <w:proofErr w:type="spellStart"/>
      <w:r w:rsidRPr="00466664">
        <w:t>thiophene</w:t>
      </w:r>
      <w:proofErr w:type="spellEnd"/>
      <w:r w:rsidRPr="00466664">
        <w:t xml:space="preserve"> derivative </w:t>
      </w:r>
      <w:r w:rsidRPr="00466664">
        <w:rPr>
          <w:bCs/>
        </w:rPr>
        <w:t>T-B-pin</w:t>
      </w:r>
      <w:r w:rsidRPr="00466664">
        <w:t xml:space="preserve">, the Grignard reagent was prepared from 2-bromothiophene and reacted with IPTMDOB to give the target compound, as shown in Scheme 2c [10]. </w:t>
      </w:r>
      <w:r w:rsidRPr="00466664">
        <w:rPr>
          <w:bCs/>
        </w:rPr>
        <w:t xml:space="preserve">After the Suzuki reaction, the crude products were purified by </w:t>
      </w:r>
      <w:proofErr w:type="spellStart"/>
      <w:r w:rsidRPr="00466664">
        <w:rPr>
          <w:bCs/>
        </w:rPr>
        <w:t>recrystallization</w:t>
      </w:r>
      <w:proofErr w:type="spellEnd"/>
      <w:r w:rsidRPr="00466664">
        <w:rPr>
          <w:bCs/>
        </w:rPr>
        <w:t xml:space="preserve"> and column chromatography, which allowed us to obtain the target compounds with over 99% purity according to the results of GPC analysis.</w:t>
      </w:r>
    </w:p>
    <w:p w:rsidR="003D2C9B" w:rsidRPr="003D2C9B" w:rsidRDefault="003D2C9B" w:rsidP="003D2C9B">
      <w:pPr>
        <w:pStyle w:val="MainHeader"/>
        <w:spacing w:before="120" w:after="120"/>
        <w:rPr>
          <w:sz w:val="24"/>
          <w:szCs w:val="24"/>
        </w:rPr>
      </w:pPr>
      <w:r w:rsidRPr="003D2C9B">
        <w:rPr>
          <w:sz w:val="24"/>
          <w:szCs w:val="24"/>
        </w:rPr>
        <w:t>Investigation of the solubility</w:t>
      </w:r>
    </w:p>
    <w:p w:rsidR="003D2C9B" w:rsidRPr="00466664" w:rsidRDefault="003D2C9B" w:rsidP="003D2C9B">
      <w:pPr>
        <w:pStyle w:val="Text"/>
        <w:rPr>
          <w:b/>
        </w:rPr>
      </w:pPr>
      <w:r w:rsidRPr="00466664">
        <w:t xml:space="preserve">The solubility of the resulting </w:t>
      </w:r>
      <w:proofErr w:type="spellStart"/>
      <w:r w:rsidRPr="00466664">
        <w:t>luminophores</w:t>
      </w:r>
      <w:proofErr w:type="spellEnd"/>
      <w:r w:rsidRPr="00466664">
        <w:t xml:space="preserve"> was investigated in THF as a solvent (Table 1). It was found that the presence of </w:t>
      </w:r>
      <w:r w:rsidRPr="00466664">
        <w:rPr>
          <w:i/>
          <w:iCs/>
        </w:rPr>
        <w:t>n</w:t>
      </w:r>
      <w:r w:rsidRPr="00466664">
        <w:t>-</w:t>
      </w:r>
      <w:proofErr w:type="spellStart"/>
      <w:r w:rsidRPr="00466664">
        <w:t>hexyl</w:t>
      </w:r>
      <w:proofErr w:type="spellEnd"/>
      <w:r w:rsidRPr="00466664">
        <w:t xml:space="preserve"> </w:t>
      </w:r>
      <w:proofErr w:type="spellStart"/>
      <w:r w:rsidRPr="00466664">
        <w:t>substituents</w:t>
      </w:r>
      <w:proofErr w:type="spellEnd"/>
      <w:r w:rsidRPr="00466664">
        <w:t xml:space="preserve"> slightly improves the solubility compared to that of </w:t>
      </w:r>
      <w:proofErr w:type="spellStart"/>
      <w:r w:rsidRPr="00466664">
        <w:t>unsubstituted</w:t>
      </w:r>
      <w:proofErr w:type="spellEnd"/>
      <w:r w:rsidRPr="00466664">
        <w:t xml:space="preserve"> compound T-Ph-BTD. However, the introduction of </w:t>
      </w:r>
      <w:r w:rsidRPr="00466664">
        <w:rPr>
          <w:i/>
          <w:iCs/>
        </w:rPr>
        <w:t>n</w:t>
      </w:r>
      <w:r w:rsidRPr="00466664">
        <w:t>-</w:t>
      </w:r>
      <w:proofErr w:type="spellStart"/>
      <w:r w:rsidRPr="00466664">
        <w:t>octyl</w:t>
      </w:r>
      <w:proofErr w:type="spellEnd"/>
      <w:r w:rsidRPr="00466664">
        <w:t xml:space="preserve"> and </w:t>
      </w:r>
      <w:r w:rsidRPr="00466664">
        <w:rPr>
          <w:i/>
          <w:iCs/>
        </w:rPr>
        <w:t>n</w:t>
      </w:r>
      <w:r w:rsidRPr="00466664">
        <w:t>-</w:t>
      </w:r>
      <w:proofErr w:type="spellStart"/>
      <w:r w:rsidRPr="00466664">
        <w:t>decyl</w:t>
      </w:r>
      <w:proofErr w:type="spellEnd"/>
      <w:r w:rsidRPr="00466664">
        <w:t xml:space="preserve"> </w:t>
      </w:r>
      <w:proofErr w:type="spellStart"/>
      <w:r w:rsidRPr="00466664">
        <w:t>substituents</w:t>
      </w:r>
      <w:proofErr w:type="spellEnd"/>
      <w:r w:rsidRPr="00466664">
        <w:t xml:space="preserve"> led to a decrease in the solubility.</w:t>
      </w:r>
    </w:p>
    <w:p w:rsidR="003D2C9B" w:rsidRPr="00466664" w:rsidRDefault="003D2C9B" w:rsidP="003D2C9B">
      <w:pPr>
        <w:pStyle w:val="TableDescription"/>
        <w:rPr>
          <w:lang w:val="en-US"/>
        </w:rPr>
      </w:pPr>
      <w:proofErr w:type="gramStart"/>
      <w:r w:rsidRPr="00466664">
        <w:rPr>
          <w:b/>
          <w:lang w:val="en-US"/>
        </w:rPr>
        <w:t>Table 1.</w:t>
      </w:r>
      <w:proofErr w:type="gramEnd"/>
      <w:r w:rsidRPr="00466664">
        <w:rPr>
          <w:lang w:val="en-US"/>
        </w:rPr>
        <w:t xml:space="preserve"> Solubility of the </w:t>
      </w:r>
      <w:proofErr w:type="spellStart"/>
      <w:r w:rsidRPr="00466664">
        <w:rPr>
          <w:lang w:val="en-US"/>
        </w:rPr>
        <w:t>luminophores</w:t>
      </w:r>
      <w:proofErr w:type="spellEnd"/>
      <w:r w:rsidRPr="00466664">
        <w:rPr>
          <w:lang w:val="en-US"/>
        </w:rPr>
        <w:t xml:space="preserve"> in THF</w:t>
      </w:r>
    </w:p>
    <w:tbl>
      <w:tblPr>
        <w:tblStyle w:val="ac"/>
        <w:tblW w:w="0" w:type="auto"/>
        <w:jc w:val="center"/>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572"/>
        <w:gridCol w:w="895"/>
        <w:gridCol w:w="1225"/>
      </w:tblGrid>
      <w:tr w:rsidR="003D2C9B" w:rsidRPr="00466664" w:rsidTr="003D2C9B">
        <w:trPr>
          <w:trHeight w:val="227"/>
          <w:jc w:val="center"/>
        </w:trPr>
        <w:tc>
          <w:tcPr>
            <w:tcW w:w="0" w:type="auto"/>
            <w:vMerge w:val="restart"/>
            <w:tcBorders>
              <w:top w:val="single" w:sz="4" w:space="0" w:color="auto"/>
            </w:tcBorders>
            <w:vAlign w:val="center"/>
          </w:tcPr>
          <w:p w:rsidR="003D2C9B" w:rsidRPr="00466664" w:rsidRDefault="003D2C9B" w:rsidP="003D2C9B">
            <w:pPr>
              <w:pStyle w:val="ArticleTable"/>
            </w:pPr>
            <w:proofErr w:type="spellStart"/>
            <w:r w:rsidRPr="00466664">
              <w:t>Luminophore</w:t>
            </w:r>
            <w:proofErr w:type="spellEnd"/>
          </w:p>
        </w:tc>
        <w:tc>
          <w:tcPr>
            <w:tcW w:w="0" w:type="auto"/>
            <w:gridSpan w:val="2"/>
            <w:tcBorders>
              <w:top w:val="single" w:sz="4" w:space="0" w:color="auto"/>
              <w:bottom w:val="single" w:sz="4" w:space="0" w:color="auto"/>
            </w:tcBorders>
            <w:vAlign w:val="center"/>
          </w:tcPr>
          <w:p w:rsidR="003D2C9B" w:rsidRPr="00466664" w:rsidRDefault="003D2C9B" w:rsidP="003D2C9B">
            <w:pPr>
              <w:pStyle w:val="ArticleTable"/>
            </w:pPr>
            <w:r w:rsidRPr="00466664">
              <w:t>THF</w:t>
            </w:r>
          </w:p>
        </w:tc>
      </w:tr>
      <w:tr w:rsidR="003D2C9B" w:rsidRPr="00466664" w:rsidTr="003D2C9B">
        <w:trPr>
          <w:trHeight w:val="227"/>
          <w:jc w:val="center"/>
        </w:trPr>
        <w:tc>
          <w:tcPr>
            <w:tcW w:w="0" w:type="auto"/>
            <w:vMerge/>
            <w:tcBorders>
              <w:bottom w:val="single" w:sz="4" w:space="0" w:color="auto"/>
            </w:tcBorders>
            <w:vAlign w:val="center"/>
          </w:tcPr>
          <w:p w:rsidR="003D2C9B" w:rsidRPr="00466664" w:rsidRDefault="003D2C9B" w:rsidP="003D2C9B">
            <w:pPr>
              <w:pStyle w:val="ArticleTable"/>
            </w:pPr>
          </w:p>
        </w:tc>
        <w:tc>
          <w:tcPr>
            <w:tcW w:w="0" w:type="auto"/>
            <w:tcBorders>
              <w:top w:val="single" w:sz="4" w:space="0" w:color="auto"/>
              <w:bottom w:val="single" w:sz="4" w:space="0" w:color="auto"/>
            </w:tcBorders>
            <w:vAlign w:val="center"/>
          </w:tcPr>
          <w:p w:rsidR="003D2C9B" w:rsidRPr="00466664" w:rsidRDefault="003D2C9B" w:rsidP="003D2C9B">
            <w:pPr>
              <w:pStyle w:val="ArticleTable"/>
            </w:pPr>
            <w:r w:rsidRPr="00466664">
              <w:rPr>
                <w:i/>
                <w:iCs/>
              </w:rPr>
              <w:t>S</w:t>
            </w:r>
            <w:r w:rsidRPr="00466664">
              <w:t>, g·L</w:t>
            </w:r>
            <w:r w:rsidRPr="00466664">
              <w:rPr>
                <w:vertAlign w:val="superscript"/>
              </w:rPr>
              <w:t>–1</w:t>
            </w:r>
          </w:p>
        </w:tc>
        <w:tc>
          <w:tcPr>
            <w:tcW w:w="0" w:type="auto"/>
            <w:tcBorders>
              <w:top w:val="single" w:sz="4" w:space="0" w:color="auto"/>
              <w:bottom w:val="single" w:sz="4" w:space="0" w:color="auto"/>
            </w:tcBorders>
            <w:vAlign w:val="center"/>
          </w:tcPr>
          <w:p w:rsidR="003D2C9B" w:rsidRPr="00466664" w:rsidRDefault="003D2C9B" w:rsidP="003D2C9B">
            <w:pPr>
              <w:pStyle w:val="ArticleTable"/>
            </w:pPr>
            <w:r w:rsidRPr="00466664">
              <w:rPr>
                <w:i/>
                <w:iCs/>
              </w:rPr>
              <w:t>S</w:t>
            </w:r>
            <w:r w:rsidRPr="00466664">
              <w:rPr>
                <w:vertAlign w:val="subscript"/>
              </w:rPr>
              <w:t>M</w:t>
            </w:r>
            <w:r w:rsidRPr="00466664">
              <w:t>, mM·L</w:t>
            </w:r>
            <w:r w:rsidRPr="00466664">
              <w:rPr>
                <w:vertAlign w:val="superscript"/>
              </w:rPr>
              <w:t>–1</w:t>
            </w:r>
          </w:p>
        </w:tc>
      </w:tr>
      <w:tr w:rsidR="003D2C9B" w:rsidRPr="00466664" w:rsidTr="003D2C9B">
        <w:trPr>
          <w:trHeight w:val="227"/>
          <w:jc w:val="center"/>
        </w:trPr>
        <w:tc>
          <w:tcPr>
            <w:tcW w:w="0" w:type="auto"/>
            <w:tcBorders>
              <w:top w:val="single" w:sz="4" w:space="0" w:color="auto"/>
            </w:tcBorders>
            <w:vAlign w:val="center"/>
          </w:tcPr>
          <w:p w:rsidR="003D2C9B" w:rsidRPr="00466664" w:rsidRDefault="003D2C9B" w:rsidP="003D2C9B">
            <w:pPr>
              <w:pStyle w:val="ArticleTable"/>
              <w:rPr>
                <w:b/>
              </w:rPr>
            </w:pPr>
            <w:r w:rsidRPr="00466664">
              <w:rPr>
                <w:b/>
              </w:rPr>
              <w:t>T-Ph-BTD</w:t>
            </w:r>
          </w:p>
        </w:tc>
        <w:tc>
          <w:tcPr>
            <w:tcW w:w="0" w:type="auto"/>
            <w:tcBorders>
              <w:top w:val="single" w:sz="4" w:space="0" w:color="auto"/>
            </w:tcBorders>
            <w:vAlign w:val="center"/>
          </w:tcPr>
          <w:p w:rsidR="003D2C9B" w:rsidRPr="00466664" w:rsidRDefault="003D2C9B" w:rsidP="003D2C9B">
            <w:pPr>
              <w:pStyle w:val="ArticleTable"/>
            </w:pPr>
            <w:r w:rsidRPr="00466664">
              <w:t>2.01</w:t>
            </w:r>
          </w:p>
        </w:tc>
        <w:tc>
          <w:tcPr>
            <w:tcW w:w="0" w:type="auto"/>
            <w:tcBorders>
              <w:top w:val="single" w:sz="4" w:space="0" w:color="auto"/>
            </w:tcBorders>
            <w:vAlign w:val="center"/>
          </w:tcPr>
          <w:p w:rsidR="003D2C9B" w:rsidRPr="00466664" w:rsidRDefault="003D2C9B" w:rsidP="003D2C9B">
            <w:pPr>
              <w:pStyle w:val="ArticleTable"/>
            </w:pPr>
            <w:r w:rsidRPr="00466664">
              <w:t>4.43</w:t>
            </w:r>
          </w:p>
        </w:tc>
      </w:tr>
      <w:tr w:rsidR="003D2C9B" w:rsidRPr="00466664" w:rsidTr="003D2C9B">
        <w:trPr>
          <w:trHeight w:val="227"/>
          <w:jc w:val="center"/>
        </w:trPr>
        <w:tc>
          <w:tcPr>
            <w:tcW w:w="0" w:type="auto"/>
            <w:vAlign w:val="center"/>
          </w:tcPr>
          <w:p w:rsidR="003D2C9B" w:rsidRPr="00466664" w:rsidRDefault="003D2C9B" w:rsidP="003D2C9B">
            <w:pPr>
              <w:pStyle w:val="ArticleTable"/>
              <w:rPr>
                <w:b/>
              </w:rPr>
            </w:pPr>
            <w:r w:rsidRPr="00466664">
              <w:rPr>
                <w:b/>
              </w:rPr>
              <w:t>Hex-T-Ph-BTD</w:t>
            </w:r>
          </w:p>
        </w:tc>
        <w:tc>
          <w:tcPr>
            <w:tcW w:w="0" w:type="auto"/>
            <w:vAlign w:val="center"/>
          </w:tcPr>
          <w:p w:rsidR="003D2C9B" w:rsidRPr="00466664" w:rsidRDefault="003D2C9B" w:rsidP="003D2C9B">
            <w:pPr>
              <w:pStyle w:val="ArticleTable"/>
            </w:pPr>
            <w:r w:rsidRPr="00466664">
              <w:t>2.75</w:t>
            </w:r>
          </w:p>
        </w:tc>
        <w:tc>
          <w:tcPr>
            <w:tcW w:w="0" w:type="auto"/>
            <w:vAlign w:val="center"/>
          </w:tcPr>
          <w:p w:rsidR="003D2C9B" w:rsidRPr="00466664" w:rsidRDefault="003D2C9B" w:rsidP="003D2C9B">
            <w:pPr>
              <w:pStyle w:val="ArticleTable"/>
            </w:pPr>
            <w:r w:rsidRPr="00466664">
              <w:t>1.72</w:t>
            </w:r>
          </w:p>
        </w:tc>
      </w:tr>
      <w:tr w:rsidR="003D2C9B" w:rsidRPr="00466664" w:rsidTr="003D2C9B">
        <w:trPr>
          <w:trHeight w:val="227"/>
          <w:jc w:val="center"/>
        </w:trPr>
        <w:tc>
          <w:tcPr>
            <w:tcW w:w="0" w:type="auto"/>
            <w:vAlign w:val="center"/>
          </w:tcPr>
          <w:p w:rsidR="003D2C9B" w:rsidRPr="00466664" w:rsidRDefault="003D2C9B" w:rsidP="003D2C9B">
            <w:pPr>
              <w:pStyle w:val="ArticleTable"/>
              <w:rPr>
                <w:b/>
              </w:rPr>
            </w:pPr>
            <w:r w:rsidRPr="00466664">
              <w:rPr>
                <w:b/>
              </w:rPr>
              <w:t>Oct-T-Ph-BTD</w:t>
            </w:r>
          </w:p>
        </w:tc>
        <w:tc>
          <w:tcPr>
            <w:tcW w:w="0" w:type="auto"/>
            <w:vAlign w:val="center"/>
          </w:tcPr>
          <w:p w:rsidR="003D2C9B" w:rsidRPr="00466664" w:rsidRDefault="003D2C9B" w:rsidP="003D2C9B">
            <w:pPr>
              <w:pStyle w:val="ArticleTable"/>
            </w:pPr>
            <w:r w:rsidRPr="00466664">
              <w:t>1.49</w:t>
            </w:r>
          </w:p>
        </w:tc>
        <w:tc>
          <w:tcPr>
            <w:tcW w:w="0" w:type="auto"/>
            <w:vAlign w:val="center"/>
          </w:tcPr>
          <w:p w:rsidR="003D2C9B" w:rsidRPr="00466664" w:rsidRDefault="003D2C9B" w:rsidP="003D2C9B">
            <w:pPr>
              <w:pStyle w:val="ArticleTable"/>
            </w:pPr>
            <w:r w:rsidRPr="00466664">
              <w:t>2.20</w:t>
            </w:r>
          </w:p>
        </w:tc>
      </w:tr>
      <w:tr w:rsidR="003D2C9B" w:rsidRPr="00466664" w:rsidTr="003D2C9B">
        <w:trPr>
          <w:trHeight w:val="227"/>
          <w:jc w:val="center"/>
        </w:trPr>
        <w:tc>
          <w:tcPr>
            <w:tcW w:w="0" w:type="auto"/>
            <w:tcBorders>
              <w:bottom w:val="single" w:sz="4" w:space="0" w:color="auto"/>
            </w:tcBorders>
            <w:vAlign w:val="center"/>
          </w:tcPr>
          <w:p w:rsidR="003D2C9B" w:rsidRPr="00466664" w:rsidRDefault="003D2C9B" w:rsidP="003D2C9B">
            <w:pPr>
              <w:pStyle w:val="ArticleTable"/>
              <w:rPr>
                <w:b/>
              </w:rPr>
            </w:pPr>
            <w:r w:rsidRPr="00466664">
              <w:rPr>
                <w:b/>
              </w:rPr>
              <w:t>Dec-T-Ph-BTD</w:t>
            </w:r>
          </w:p>
        </w:tc>
        <w:tc>
          <w:tcPr>
            <w:tcW w:w="0" w:type="auto"/>
            <w:tcBorders>
              <w:bottom w:val="single" w:sz="4" w:space="0" w:color="auto"/>
            </w:tcBorders>
            <w:vAlign w:val="center"/>
          </w:tcPr>
          <w:p w:rsidR="003D2C9B" w:rsidRPr="00466664" w:rsidRDefault="003D2C9B" w:rsidP="003D2C9B">
            <w:pPr>
              <w:pStyle w:val="ArticleTable"/>
            </w:pPr>
            <w:r w:rsidRPr="00466664">
              <w:t>1.26</w:t>
            </w:r>
          </w:p>
        </w:tc>
        <w:tc>
          <w:tcPr>
            <w:tcW w:w="0" w:type="auto"/>
            <w:tcBorders>
              <w:bottom w:val="single" w:sz="4" w:space="0" w:color="auto"/>
            </w:tcBorders>
            <w:vAlign w:val="center"/>
          </w:tcPr>
          <w:p w:rsidR="003D2C9B" w:rsidRPr="00466664" w:rsidRDefault="003D2C9B" w:rsidP="003D2C9B">
            <w:pPr>
              <w:pStyle w:val="ArticleTable"/>
            </w:pPr>
            <w:r w:rsidRPr="00466664">
              <w:t>4.45</w:t>
            </w:r>
          </w:p>
        </w:tc>
      </w:tr>
    </w:tbl>
    <w:p w:rsidR="003D2C9B" w:rsidRPr="003D2C9B" w:rsidRDefault="003D2C9B" w:rsidP="00DB1868">
      <w:pPr>
        <w:pStyle w:val="MainHeader"/>
        <w:spacing w:before="200" w:after="120"/>
        <w:rPr>
          <w:sz w:val="24"/>
        </w:rPr>
      </w:pPr>
      <w:r w:rsidRPr="003D2C9B">
        <w:rPr>
          <w:sz w:val="24"/>
        </w:rPr>
        <w:t>Investigation of the optical properties</w:t>
      </w:r>
    </w:p>
    <w:p w:rsidR="003D2C9B" w:rsidRPr="00466664" w:rsidRDefault="003D2C9B" w:rsidP="003D2C9B">
      <w:pPr>
        <w:pStyle w:val="Text"/>
        <w:rPr>
          <w:b/>
          <w:sz w:val="16"/>
          <w:szCs w:val="16"/>
          <w:lang w:val="en-US"/>
        </w:rPr>
      </w:pPr>
      <w:r w:rsidRPr="00466664">
        <w:rPr>
          <w:lang w:val="en-US"/>
        </w:rPr>
        <w:t xml:space="preserve">The results of the absorption and luminescence spectral measurements of the </w:t>
      </w:r>
      <w:proofErr w:type="spellStart"/>
      <w:r w:rsidRPr="00466664">
        <w:rPr>
          <w:lang w:val="en-US"/>
        </w:rPr>
        <w:t>luminophores</w:t>
      </w:r>
      <w:proofErr w:type="spellEnd"/>
      <w:r w:rsidRPr="00466664">
        <w:rPr>
          <w:lang w:val="en-US"/>
        </w:rPr>
        <w:t xml:space="preserve"> in diluted THF solutions are summarized in Table 2. It was found that the introduction of alkyl </w:t>
      </w:r>
      <w:proofErr w:type="spellStart"/>
      <w:r w:rsidRPr="00466664">
        <w:rPr>
          <w:lang w:val="en-US"/>
        </w:rPr>
        <w:t>substituents</w:t>
      </w:r>
      <w:proofErr w:type="spellEnd"/>
      <w:r w:rsidRPr="00466664">
        <w:rPr>
          <w:lang w:val="en-US"/>
        </w:rPr>
        <w:t xml:space="preserve"> leads to a slight </w:t>
      </w:r>
      <w:proofErr w:type="spellStart"/>
      <w:r w:rsidRPr="00466664">
        <w:rPr>
          <w:lang w:val="en-US"/>
        </w:rPr>
        <w:t>bathochromic</w:t>
      </w:r>
      <w:proofErr w:type="spellEnd"/>
      <w:r w:rsidRPr="00466664">
        <w:rPr>
          <w:lang w:val="en-US"/>
        </w:rPr>
        <w:t xml:space="preserve"> shift in the absorption and luminescence maxima compared to the spectra of their </w:t>
      </w:r>
      <w:proofErr w:type="spellStart"/>
      <w:r w:rsidRPr="00466664">
        <w:rPr>
          <w:lang w:val="en-US"/>
        </w:rPr>
        <w:t>unsubstituted</w:t>
      </w:r>
      <w:proofErr w:type="spellEnd"/>
      <w:r w:rsidRPr="00466664">
        <w:rPr>
          <w:lang w:val="en-US"/>
        </w:rPr>
        <w:t xml:space="preserve"> analog </w:t>
      </w:r>
      <w:r w:rsidRPr="00466664">
        <w:rPr>
          <w:b/>
          <w:bCs/>
          <w:lang w:val="en-US"/>
        </w:rPr>
        <w:t>T-Ph-BTD</w:t>
      </w:r>
      <w:r w:rsidRPr="00466664">
        <w:rPr>
          <w:lang w:val="en-US"/>
        </w:rPr>
        <w:t xml:space="preserve">. The absorption and luminescence spectra do not change significantly upon variation of the length of the alkyl chain. All the </w:t>
      </w:r>
      <w:proofErr w:type="spellStart"/>
      <w:r w:rsidRPr="00466664">
        <w:rPr>
          <w:lang w:val="en-US"/>
        </w:rPr>
        <w:t>luminophores</w:t>
      </w:r>
      <w:proofErr w:type="spellEnd"/>
      <w:r w:rsidRPr="00466664">
        <w:rPr>
          <w:lang w:val="en-US"/>
        </w:rPr>
        <w:t xml:space="preserve"> have a very high quantum yield </w:t>
      </w:r>
      <w:r w:rsidRPr="00466664">
        <w:rPr>
          <w:i/>
          <w:iCs/>
          <w:lang w:val="en-US"/>
        </w:rPr>
        <w:t>Q</w:t>
      </w:r>
      <w:r w:rsidRPr="00466664">
        <w:rPr>
          <w:lang w:val="en-US"/>
        </w:rPr>
        <w:t>, ranging from 86% to 90% with a standard deviation of 5%.</w:t>
      </w:r>
    </w:p>
    <w:p w:rsidR="003D2C9B" w:rsidRPr="00466664" w:rsidRDefault="003D2C9B" w:rsidP="003D2C9B">
      <w:pPr>
        <w:pStyle w:val="TableDescription"/>
        <w:rPr>
          <w:lang w:val="en-US"/>
        </w:rPr>
      </w:pPr>
      <w:proofErr w:type="gramStart"/>
      <w:r w:rsidRPr="00466664">
        <w:rPr>
          <w:b/>
          <w:lang w:val="en-US"/>
        </w:rPr>
        <w:t>Table 2.</w:t>
      </w:r>
      <w:proofErr w:type="gramEnd"/>
      <w:r w:rsidRPr="00466664">
        <w:rPr>
          <w:lang w:val="en-US"/>
        </w:rPr>
        <w:t xml:space="preserve"> Spectral properties of the resulting </w:t>
      </w:r>
      <w:proofErr w:type="spellStart"/>
      <w:r w:rsidRPr="00466664">
        <w:rPr>
          <w:lang w:val="en-US"/>
        </w:rPr>
        <w:t>luminophores</w:t>
      </w:r>
      <w:proofErr w:type="spellEnd"/>
    </w:p>
    <w:tbl>
      <w:tblPr>
        <w:tblStyle w:val="ac"/>
        <w:tblW w:w="0" w:type="auto"/>
        <w:jc w:val="center"/>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tblPr>
      <w:tblGrid>
        <w:gridCol w:w="1572"/>
        <w:gridCol w:w="1328"/>
        <w:gridCol w:w="1327"/>
        <w:gridCol w:w="1196"/>
        <w:gridCol w:w="661"/>
      </w:tblGrid>
      <w:tr w:rsidR="003D2C9B" w:rsidRPr="00466664" w:rsidTr="003D2C9B">
        <w:trPr>
          <w:trHeight w:val="227"/>
          <w:jc w:val="center"/>
        </w:trPr>
        <w:tc>
          <w:tcPr>
            <w:tcW w:w="0" w:type="auto"/>
            <w:tcBorders>
              <w:top w:val="single" w:sz="4" w:space="0" w:color="auto"/>
              <w:bottom w:val="single" w:sz="4" w:space="0" w:color="auto"/>
            </w:tcBorders>
            <w:vAlign w:val="center"/>
            <w:hideMark/>
          </w:tcPr>
          <w:p w:rsidR="003D2C9B" w:rsidRPr="00466664" w:rsidRDefault="003D2C9B" w:rsidP="003D2C9B">
            <w:pPr>
              <w:pStyle w:val="ArticleTable"/>
            </w:pPr>
            <w:proofErr w:type="spellStart"/>
            <w:r w:rsidRPr="00466664">
              <w:t>Luminophore</w:t>
            </w:r>
            <w:proofErr w:type="spellEnd"/>
          </w:p>
        </w:tc>
        <w:tc>
          <w:tcPr>
            <w:tcW w:w="0" w:type="auto"/>
            <w:tcBorders>
              <w:top w:val="single" w:sz="4" w:space="0" w:color="auto"/>
              <w:bottom w:val="single" w:sz="4" w:space="0" w:color="auto"/>
            </w:tcBorders>
            <w:vAlign w:val="center"/>
            <w:hideMark/>
          </w:tcPr>
          <w:p w:rsidR="003D2C9B" w:rsidRPr="00466664" w:rsidRDefault="003D2C9B" w:rsidP="003D2C9B">
            <w:pPr>
              <w:pStyle w:val="ArticleTable"/>
            </w:pPr>
            <w:r w:rsidRPr="00466664">
              <w:t xml:space="preserve">abs </w:t>
            </w:r>
            <w:r w:rsidRPr="00466664">
              <w:rPr>
                <w:i/>
                <w:iCs/>
                <w:lang w:val="el-GR"/>
              </w:rPr>
              <w:t>λ</w:t>
            </w:r>
            <w:r w:rsidRPr="00466664">
              <w:rPr>
                <w:vertAlign w:val="subscript"/>
              </w:rPr>
              <w:t>max</w:t>
            </w:r>
            <w:r w:rsidRPr="00466664">
              <w:t>, nm</w:t>
            </w:r>
          </w:p>
        </w:tc>
        <w:tc>
          <w:tcPr>
            <w:tcW w:w="0" w:type="auto"/>
            <w:tcBorders>
              <w:top w:val="single" w:sz="4" w:space="0" w:color="auto"/>
              <w:bottom w:val="single" w:sz="4" w:space="0" w:color="auto"/>
            </w:tcBorders>
            <w:vAlign w:val="center"/>
            <w:hideMark/>
          </w:tcPr>
          <w:p w:rsidR="003D2C9B" w:rsidRPr="00466664" w:rsidRDefault="003D2C9B" w:rsidP="003D2C9B">
            <w:pPr>
              <w:pStyle w:val="ArticleTable"/>
            </w:pPr>
            <w:proofErr w:type="spellStart"/>
            <w:r w:rsidRPr="00466664">
              <w:t>lum</w:t>
            </w:r>
            <w:proofErr w:type="spellEnd"/>
            <w:r w:rsidRPr="00466664">
              <w:t xml:space="preserve"> </w:t>
            </w:r>
            <w:r w:rsidRPr="00466664">
              <w:rPr>
                <w:i/>
                <w:iCs/>
                <w:lang w:val="el-GR"/>
              </w:rPr>
              <w:t>λ</w:t>
            </w:r>
            <w:r w:rsidRPr="00466664">
              <w:rPr>
                <w:vertAlign w:val="subscript"/>
              </w:rPr>
              <w:t>max</w:t>
            </w:r>
            <w:r w:rsidRPr="00466664">
              <w:t>, nm</w:t>
            </w:r>
          </w:p>
        </w:tc>
        <w:tc>
          <w:tcPr>
            <w:tcW w:w="0" w:type="auto"/>
            <w:tcBorders>
              <w:top w:val="single" w:sz="4" w:space="0" w:color="auto"/>
              <w:bottom w:val="single" w:sz="4" w:space="0" w:color="auto"/>
            </w:tcBorders>
            <w:vAlign w:val="center"/>
            <w:hideMark/>
          </w:tcPr>
          <w:p w:rsidR="003D2C9B" w:rsidRPr="00466664" w:rsidRDefault="003D2C9B" w:rsidP="003D2C9B">
            <w:pPr>
              <w:pStyle w:val="ArticleTable"/>
            </w:pPr>
            <w:r w:rsidRPr="00466664">
              <w:t>ε,</w:t>
            </w:r>
            <w:r w:rsidR="00DB1868">
              <w:t xml:space="preserve"> </w:t>
            </w:r>
            <w:r w:rsidRPr="00466664">
              <w:t>М</w:t>
            </w:r>
            <w:r w:rsidRPr="00466664">
              <w:rPr>
                <w:vertAlign w:val="superscript"/>
              </w:rPr>
              <w:t>–1</w:t>
            </w:r>
            <w:r w:rsidRPr="00466664">
              <w:rPr>
                <w:rFonts w:ascii="Cambria Math" w:hAnsi="Cambria Math" w:cs="Cambria Math"/>
              </w:rPr>
              <w:t>⋅</w:t>
            </w:r>
            <w:r w:rsidRPr="00466664">
              <w:t>сm</w:t>
            </w:r>
            <w:r w:rsidRPr="00466664">
              <w:rPr>
                <w:vertAlign w:val="superscript"/>
              </w:rPr>
              <w:t>–1</w:t>
            </w:r>
          </w:p>
        </w:tc>
        <w:tc>
          <w:tcPr>
            <w:tcW w:w="0" w:type="auto"/>
            <w:tcBorders>
              <w:top w:val="single" w:sz="4" w:space="0" w:color="auto"/>
              <w:bottom w:val="single" w:sz="4" w:space="0" w:color="auto"/>
            </w:tcBorders>
            <w:vAlign w:val="center"/>
            <w:hideMark/>
          </w:tcPr>
          <w:p w:rsidR="003D2C9B" w:rsidRPr="00466664" w:rsidRDefault="003D2C9B" w:rsidP="003D2C9B">
            <w:pPr>
              <w:pStyle w:val="ArticleTable"/>
            </w:pPr>
            <w:r w:rsidRPr="00466664">
              <w:rPr>
                <w:i/>
                <w:iCs/>
              </w:rPr>
              <w:t>Q</w:t>
            </w:r>
            <w:r w:rsidRPr="00466664">
              <w:t>, %</w:t>
            </w:r>
          </w:p>
        </w:tc>
      </w:tr>
      <w:tr w:rsidR="003D2C9B" w:rsidRPr="00466664" w:rsidTr="003D2C9B">
        <w:trPr>
          <w:trHeight w:val="227"/>
          <w:jc w:val="center"/>
        </w:trPr>
        <w:tc>
          <w:tcPr>
            <w:tcW w:w="0" w:type="auto"/>
            <w:tcBorders>
              <w:top w:val="single" w:sz="4" w:space="0" w:color="auto"/>
            </w:tcBorders>
            <w:vAlign w:val="center"/>
            <w:hideMark/>
          </w:tcPr>
          <w:p w:rsidR="003D2C9B" w:rsidRPr="00466664" w:rsidRDefault="003D2C9B" w:rsidP="003D2C9B">
            <w:pPr>
              <w:pStyle w:val="ArticleTable"/>
              <w:rPr>
                <w:b/>
              </w:rPr>
            </w:pPr>
            <w:r w:rsidRPr="00466664">
              <w:rPr>
                <w:b/>
              </w:rPr>
              <w:t>T-Ph-BTD</w:t>
            </w:r>
          </w:p>
        </w:tc>
        <w:tc>
          <w:tcPr>
            <w:tcW w:w="0" w:type="auto"/>
            <w:tcBorders>
              <w:top w:val="single" w:sz="4" w:space="0" w:color="auto"/>
            </w:tcBorders>
            <w:vAlign w:val="center"/>
            <w:hideMark/>
          </w:tcPr>
          <w:p w:rsidR="003D2C9B" w:rsidRPr="00466664" w:rsidRDefault="003D2C9B" w:rsidP="003D2C9B">
            <w:pPr>
              <w:pStyle w:val="ArticleTable"/>
            </w:pPr>
            <w:r w:rsidRPr="00466664">
              <w:t>411</w:t>
            </w:r>
          </w:p>
        </w:tc>
        <w:tc>
          <w:tcPr>
            <w:tcW w:w="0" w:type="auto"/>
            <w:tcBorders>
              <w:top w:val="single" w:sz="4" w:space="0" w:color="auto"/>
            </w:tcBorders>
            <w:vAlign w:val="center"/>
            <w:hideMark/>
          </w:tcPr>
          <w:p w:rsidR="003D2C9B" w:rsidRPr="00466664" w:rsidRDefault="003D2C9B" w:rsidP="003D2C9B">
            <w:pPr>
              <w:pStyle w:val="ArticleTable"/>
            </w:pPr>
            <w:r w:rsidRPr="00466664">
              <w:t>541</w:t>
            </w:r>
          </w:p>
        </w:tc>
        <w:tc>
          <w:tcPr>
            <w:tcW w:w="0" w:type="auto"/>
            <w:tcBorders>
              <w:top w:val="single" w:sz="4" w:space="0" w:color="auto"/>
            </w:tcBorders>
            <w:vAlign w:val="center"/>
            <w:hideMark/>
          </w:tcPr>
          <w:p w:rsidR="003D2C9B" w:rsidRPr="00466664" w:rsidRDefault="003D2C9B" w:rsidP="003D2C9B">
            <w:pPr>
              <w:pStyle w:val="ArticleTable"/>
            </w:pPr>
            <w:r w:rsidRPr="00466664">
              <w:t>22840</w:t>
            </w:r>
          </w:p>
        </w:tc>
        <w:tc>
          <w:tcPr>
            <w:tcW w:w="0" w:type="auto"/>
            <w:tcBorders>
              <w:top w:val="single" w:sz="4" w:space="0" w:color="auto"/>
            </w:tcBorders>
            <w:vAlign w:val="center"/>
            <w:hideMark/>
          </w:tcPr>
          <w:p w:rsidR="003D2C9B" w:rsidRPr="00466664" w:rsidRDefault="003D2C9B" w:rsidP="003D2C9B">
            <w:pPr>
              <w:pStyle w:val="ArticleTable"/>
            </w:pPr>
            <w:r w:rsidRPr="00466664">
              <w:t>86</w:t>
            </w:r>
          </w:p>
        </w:tc>
      </w:tr>
      <w:tr w:rsidR="003D2C9B" w:rsidRPr="00466664" w:rsidTr="003D2C9B">
        <w:trPr>
          <w:trHeight w:val="227"/>
          <w:jc w:val="center"/>
        </w:trPr>
        <w:tc>
          <w:tcPr>
            <w:tcW w:w="0" w:type="auto"/>
            <w:vAlign w:val="center"/>
            <w:hideMark/>
          </w:tcPr>
          <w:p w:rsidR="003D2C9B" w:rsidRPr="00466664" w:rsidRDefault="003D2C9B" w:rsidP="003D2C9B">
            <w:pPr>
              <w:pStyle w:val="ArticleTable"/>
              <w:rPr>
                <w:b/>
              </w:rPr>
            </w:pPr>
            <w:r w:rsidRPr="00466664">
              <w:rPr>
                <w:b/>
              </w:rPr>
              <w:t>Hex-T-Ph-BTD</w:t>
            </w:r>
          </w:p>
        </w:tc>
        <w:tc>
          <w:tcPr>
            <w:tcW w:w="0" w:type="auto"/>
            <w:vAlign w:val="center"/>
            <w:hideMark/>
          </w:tcPr>
          <w:p w:rsidR="003D2C9B" w:rsidRPr="00466664" w:rsidRDefault="003D2C9B" w:rsidP="003D2C9B">
            <w:pPr>
              <w:pStyle w:val="ArticleTable"/>
            </w:pPr>
            <w:r w:rsidRPr="00466664">
              <w:t>421</w:t>
            </w:r>
          </w:p>
        </w:tc>
        <w:tc>
          <w:tcPr>
            <w:tcW w:w="0" w:type="auto"/>
            <w:vAlign w:val="center"/>
            <w:hideMark/>
          </w:tcPr>
          <w:p w:rsidR="003D2C9B" w:rsidRPr="00466664" w:rsidRDefault="003D2C9B" w:rsidP="003D2C9B">
            <w:pPr>
              <w:pStyle w:val="ArticleTable"/>
            </w:pPr>
            <w:r w:rsidRPr="00466664">
              <w:t>555</w:t>
            </w:r>
          </w:p>
        </w:tc>
        <w:tc>
          <w:tcPr>
            <w:tcW w:w="0" w:type="auto"/>
            <w:vAlign w:val="center"/>
            <w:hideMark/>
          </w:tcPr>
          <w:p w:rsidR="003D2C9B" w:rsidRPr="00466664" w:rsidRDefault="003D2C9B" w:rsidP="003D2C9B">
            <w:pPr>
              <w:pStyle w:val="ArticleTable"/>
            </w:pPr>
            <w:r w:rsidRPr="00466664">
              <w:t>26560</w:t>
            </w:r>
          </w:p>
        </w:tc>
        <w:tc>
          <w:tcPr>
            <w:tcW w:w="0" w:type="auto"/>
            <w:vAlign w:val="center"/>
            <w:hideMark/>
          </w:tcPr>
          <w:p w:rsidR="003D2C9B" w:rsidRPr="00466664" w:rsidRDefault="003D2C9B" w:rsidP="003D2C9B">
            <w:pPr>
              <w:pStyle w:val="ArticleTable"/>
            </w:pPr>
            <w:r w:rsidRPr="00466664">
              <w:t>89</w:t>
            </w:r>
          </w:p>
        </w:tc>
      </w:tr>
      <w:tr w:rsidR="003D2C9B" w:rsidRPr="00466664" w:rsidTr="003D2C9B">
        <w:trPr>
          <w:trHeight w:val="227"/>
          <w:jc w:val="center"/>
        </w:trPr>
        <w:tc>
          <w:tcPr>
            <w:tcW w:w="0" w:type="auto"/>
            <w:vAlign w:val="center"/>
            <w:hideMark/>
          </w:tcPr>
          <w:p w:rsidR="003D2C9B" w:rsidRPr="00466664" w:rsidRDefault="003D2C9B" w:rsidP="003D2C9B">
            <w:pPr>
              <w:pStyle w:val="ArticleTable"/>
              <w:rPr>
                <w:b/>
              </w:rPr>
            </w:pPr>
            <w:r w:rsidRPr="00466664">
              <w:rPr>
                <w:b/>
              </w:rPr>
              <w:t>Oct-T-Ph-BTD</w:t>
            </w:r>
          </w:p>
        </w:tc>
        <w:tc>
          <w:tcPr>
            <w:tcW w:w="0" w:type="auto"/>
            <w:vAlign w:val="center"/>
            <w:hideMark/>
          </w:tcPr>
          <w:p w:rsidR="003D2C9B" w:rsidRPr="00466664" w:rsidRDefault="003D2C9B" w:rsidP="003D2C9B">
            <w:pPr>
              <w:pStyle w:val="ArticleTable"/>
            </w:pPr>
            <w:r w:rsidRPr="00466664">
              <w:t>421</w:t>
            </w:r>
          </w:p>
        </w:tc>
        <w:tc>
          <w:tcPr>
            <w:tcW w:w="0" w:type="auto"/>
            <w:vAlign w:val="center"/>
            <w:hideMark/>
          </w:tcPr>
          <w:p w:rsidR="003D2C9B" w:rsidRPr="00466664" w:rsidRDefault="003D2C9B" w:rsidP="003D2C9B">
            <w:pPr>
              <w:pStyle w:val="ArticleTable"/>
            </w:pPr>
            <w:r w:rsidRPr="00466664">
              <w:t>555</w:t>
            </w:r>
          </w:p>
        </w:tc>
        <w:tc>
          <w:tcPr>
            <w:tcW w:w="0" w:type="auto"/>
            <w:vAlign w:val="center"/>
            <w:hideMark/>
          </w:tcPr>
          <w:p w:rsidR="003D2C9B" w:rsidRPr="00466664" w:rsidRDefault="003D2C9B" w:rsidP="003D2C9B">
            <w:pPr>
              <w:pStyle w:val="ArticleTable"/>
            </w:pPr>
            <w:r w:rsidRPr="00466664">
              <w:t>24020</w:t>
            </w:r>
          </w:p>
        </w:tc>
        <w:tc>
          <w:tcPr>
            <w:tcW w:w="0" w:type="auto"/>
            <w:vAlign w:val="center"/>
            <w:hideMark/>
          </w:tcPr>
          <w:p w:rsidR="003D2C9B" w:rsidRPr="00466664" w:rsidRDefault="003D2C9B" w:rsidP="003D2C9B">
            <w:pPr>
              <w:pStyle w:val="ArticleTable"/>
            </w:pPr>
            <w:r w:rsidRPr="00466664">
              <w:t>90</w:t>
            </w:r>
          </w:p>
        </w:tc>
      </w:tr>
      <w:tr w:rsidR="003D2C9B" w:rsidRPr="00466664" w:rsidTr="003D2C9B">
        <w:trPr>
          <w:trHeight w:val="227"/>
          <w:jc w:val="center"/>
        </w:trPr>
        <w:tc>
          <w:tcPr>
            <w:tcW w:w="0" w:type="auto"/>
            <w:tcBorders>
              <w:bottom w:val="single" w:sz="4" w:space="0" w:color="auto"/>
            </w:tcBorders>
            <w:vAlign w:val="center"/>
          </w:tcPr>
          <w:p w:rsidR="003D2C9B" w:rsidRPr="00466664" w:rsidRDefault="003D2C9B" w:rsidP="003D2C9B">
            <w:pPr>
              <w:pStyle w:val="ArticleTable"/>
              <w:rPr>
                <w:b/>
              </w:rPr>
            </w:pPr>
            <w:r w:rsidRPr="00466664">
              <w:rPr>
                <w:b/>
              </w:rPr>
              <w:t>Dec-T-Ph-BTD</w:t>
            </w:r>
          </w:p>
        </w:tc>
        <w:tc>
          <w:tcPr>
            <w:tcW w:w="0" w:type="auto"/>
            <w:tcBorders>
              <w:bottom w:val="single" w:sz="4" w:space="0" w:color="auto"/>
            </w:tcBorders>
            <w:vAlign w:val="center"/>
          </w:tcPr>
          <w:p w:rsidR="003D2C9B" w:rsidRPr="00466664" w:rsidRDefault="003D2C9B" w:rsidP="003D2C9B">
            <w:pPr>
              <w:pStyle w:val="ArticleTable"/>
            </w:pPr>
            <w:r w:rsidRPr="00466664">
              <w:t>420</w:t>
            </w:r>
          </w:p>
        </w:tc>
        <w:tc>
          <w:tcPr>
            <w:tcW w:w="0" w:type="auto"/>
            <w:tcBorders>
              <w:bottom w:val="single" w:sz="4" w:space="0" w:color="auto"/>
            </w:tcBorders>
            <w:vAlign w:val="center"/>
          </w:tcPr>
          <w:p w:rsidR="003D2C9B" w:rsidRPr="00466664" w:rsidRDefault="003D2C9B" w:rsidP="003D2C9B">
            <w:pPr>
              <w:pStyle w:val="ArticleTable"/>
            </w:pPr>
            <w:r w:rsidRPr="00466664">
              <w:t>554</w:t>
            </w:r>
          </w:p>
        </w:tc>
        <w:tc>
          <w:tcPr>
            <w:tcW w:w="0" w:type="auto"/>
            <w:tcBorders>
              <w:bottom w:val="single" w:sz="4" w:space="0" w:color="auto"/>
            </w:tcBorders>
            <w:vAlign w:val="center"/>
          </w:tcPr>
          <w:p w:rsidR="003D2C9B" w:rsidRPr="00466664" w:rsidRDefault="003D2C9B" w:rsidP="003D2C9B">
            <w:pPr>
              <w:pStyle w:val="ArticleTable"/>
            </w:pPr>
            <w:r w:rsidRPr="00466664">
              <w:t>24820</w:t>
            </w:r>
          </w:p>
        </w:tc>
        <w:tc>
          <w:tcPr>
            <w:tcW w:w="0" w:type="auto"/>
            <w:tcBorders>
              <w:bottom w:val="single" w:sz="4" w:space="0" w:color="auto"/>
            </w:tcBorders>
            <w:vAlign w:val="center"/>
          </w:tcPr>
          <w:p w:rsidR="003D2C9B" w:rsidRPr="00466664" w:rsidRDefault="003D2C9B" w:rsidP="003D2C9B">
            <w:pPr>
              <w:pStyle w:val="ArticleTable"/>
            </w:pPr>
            <w:r w:rsidRPr="00466664">
              <w:t>87</w:t>
            </w:r>
          </w:p>
        </w:tc>
      </w:tr>
    </w:tbl>
    <w:p w:rsidR="003D2C9B" w:rsidRPr="00DB1868" w:rsidRDefault="003D2C9B" w:rsidP="00DB1868">
      <w:pPr>
        <w:pStyle w:val="MainHeader"/>
        <w:spacing w:before="200" w:after="120"/>
        <w:rPr>
          <w:sz w:val="24"/>
        </w:rPr>
      </w:pPr>
      <w:r w:rsidRPr="00DB1868">
        <w:rPr>
          <w:sz w:val="24"/>
        </w:rPr>
        <w:t>Investigation of the thermal properties</w:t>
      </w:r>
    </w:p>
    <w:p w:rsidR="003D2C9B" w:rsidRPr="00466664" w:rsidRDefault="003D2C9B" w:rsidP="00DB1868">
      <w:pPr>
        <w:pStyle w:val="Text"/>
        <w:rPr>
          <w:b/>
          <w:bCs/>
        </w:rPr>
      </w:pPr>
      <w:r w:rsidRPr="00466664">
        <w:t xml:space="preserve">As shown in Table 3, the melting points of the </w:t>
      </w:r>
      <w:proofErr w:type="spellStart"/>
      <w:r w:rsidRPr="00466664">
        <w:t>luminophores</w:t>
      </w:r>
      <w:proofErr w:type="spellEnd"/>
      <w:r w:rsidRPr="00466664">
        <w:t xml:space="preserve"> with alkyl terminal groups are significantly lower (about 100 °C) than the melting point of their </w:t>
      </w:r>
      <w:proofErr w:type="spellStart"/>
      <w:r w:rsidRPr="00466664">
        <w:t>unsubstituted</w:t>
      </w:r>
      <w:proofErr w:type="spellEnd"/>
      <w:r w:rsidRPr="00466664">
        <w:t xml:space="preserve"> analog T-Ph-BTD. </w:t>
      </w:r>
      <w:bookmarkStart w:id="0" w:name="_Hlk205072753"/>
      <w:r w:rsidRPr="00466664">
        <w:t xml:space="preserve">An increase in the length of the alkyl chain from </w:t>
      </w:r>
      <w:proofErr w:type="spellStart"/>
      <w:r w:rsidRPr="00466664">
        <w:t>hexyl</w:t>
      </w:r>
      <w:proofErr w:type="spellEnd"/>
      <w:r w:rsidRPr="00466664">
        <w:t xml:space="preserve"> to </w:t>
      </w:r>
      <w:proofErr w:type="spellStart"/>
      <w:r w:rsidRPr="00466664">
        <w:t>decyl</w:t>
      </w:r>
      <w:proofErr w:type="spellEnd"/>
      <w:r w:rsidRPr="00466664">
        <w:t xml:space="preserve"> leads to a decrease in the melting </w:t>
      </w:r>
      <w:r w:rsidRPr="00466664">
        <w:lastRenderedPageBreak/>
        <w:t>point from 156 °C to 133 °C. This indicates a significant reduction in the strength of intermolecular forces in the crystals.</w:t>
      </w:r>
    </w:p>
    <w:bookmarkEnd w:id="0"/>
    <w:p w:rsidR="003D2C9B" w:rsidRPr="00466664" w:rsidRDefault="003D2C9B" w:rsidP="00DB1868">
      <w:pPr>
        <w:pStyle w:val="TableDescription"/>
        <w:rPr>
          <w:lang w:val="en-US"/>
        </w:rPr>
      </w:pPr>
      <w:proofErr w:type="gramStart"/>
      <w:r w:rsidRPr="00466664">
        <w:rPr>
          <w:b/>
          <w:lang w:val="en-US"/>
        </w:rPr>
        <w:t>Table 3.</w:t>
      </w:r>
      <w:proofErr w:type="gramEnd"/>
      <w:r w:rsidRPr="00466664">
        <w:rPr>
          <w:lang w:val="en-US"/>
        </w:rPr>
        <w:t xml:space="preserve"> Thermal properties of the resulting </w:t>
      </w:r>
      <w:proofErr w:type="spellStart"/>
      <w:r w:rsidRPr="00466664">
        <w:rPr>
          <w:lang w:val="en-US"/>
        </w:rPr>
        <w:t>luminophores</w:t>
      </w:r>
      <w:proofErr w:type="spellEnd"/>
    </w:p>
    <w:tbl>
      <w:tblPr>
        <w:tblStyle w:val="ac"/>
        <w:tblW w:w="0" w:type="auto"/>
        <w:jc w:val="center"/>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572"/>
        <w:gridCol w:w="868"/>
        <w:gridCol w:w="783"/>
        <w:gridCol w:w="1150"/>
        <w:gridCol w:w="862"/>
      </w:tblGrid>
      <w:tr w:rsidR="003D2C9B" w:rsidRPr="00466664" w:rsidTr="00DB1868">
        <w:trPr>
          <w:trHeight w:val="369"/>
          <w:jc w:val="center"/>
        </w:trPr>
        <w:tc>
          <w:tcPr>
            <w:tcW w:w="0" w:type="auto"/>
            <w:tcBorders>
              <w:top w:val="single" w:sz="4" w:space="0" w:color="auto"/>
              <w:bottom w:val="single" w:sz="4" w:space="0" w:color="auto"/>
            </w:tcBorders>
            <w:vAlign w:val="center"/>
          </w:tcPr>
          <w:p w:rsidR="003D2C9B" w:rsidRPr="00466664" w:rsidRDefault="003D2C9B" w:rsidP="00DB1868">
            <w:pPr>
              <w:pStyle w:val="ArticleTable"/>
            </w:pPr>
            <w:proofErr w:type="spellStart"/>
            <w:r w:rsidRPr="00466664">
              <w:t>Luminophore</w:t>
            </w:r>
            <w:proofErr w:type="spellEnd"/>
          </w:p>
        </w:tc>
        <w:tc>
          <w:tcPr>
            <w:tcW w:w="0" w:type="auto"/>
            <w:tcBorders>
              <w:top w:val="single" w:sz="4" w:space="0" w:color="auto"/>
              <w:bottom w:val="single" w:sz="4" w:space="0" w:color="auto"/>
            </w:tcBorders>
            <w:vAlign w:val="center"/>
          </w:tcPr>
          <w:p w:rsidR="003D2C9B" w:rsidRPr="00466664" w:rsidRDefault="003D2C9B" w:rsidP="00DB1868">
            <w:pPr>
              <w:pStyle w:val="ArticleTable"/>
            </w:pPr>
            <w:r w:rsidRPr="00466664">
              <w:rPr>
                <w:rFonts w:eastAsia="Calibri"/>
                <w:i/>
                <w:iCs/>
                <w:color w:val="000000" w:themeColor="text1"/>
                <w:kern w:val="24"/>
                <w:lang w:eastAsia="ru-RU"/>
              </w:rPr>
              <w:t>М</w:t>
            </w:r>
            <w:r w:rsidRPr="00466664">
              <w:rPr>
                <w:rFonts w:eastAsia="Calibri"/>
                <w:color w:val="000000" w:themeColor="text1"/>
                <w:kern w:val="24"/>
                <w:lang w:eastAsia="ru-RU"/>
              </w:rPr>
              <w:t xml:space="preserve">, </w:t>
            </w:r>
            <w:proofErr w:type="spellStart"/>
            <w:r w:rsidRPr="00466664">
              <w:rPr>
                <w:rStyle w:val="ezkurwreuab5ozgtqnkl"/>
                <w:rFonts w:ascii="Times New Roman" w:hAnsi="Times New Roman" w:cs="Times New Roman"/>
                <w:bCs/>
                <w:sz w:val="16"/>
              </w:rPr>
              <w:t>g</w:t>
            </w:r>
            <w:proofErr w:type="spellEnd"/>
            <w:r w:rsidRPr="00466664">
              <w:rPr>
                <w:rStyle w:val="ezkurwreuab5ozgtqnkl"/>
                <w:rFonts w:ascii="Times New Roman" w:hAnsi="Times New Roman" w:cs="Times New Roman"/>
                <w:bCs/>
                <w:sz w:val="16"/>
              </w:rPr>
              <w:t>/</w:t>
            </w:r>
            <w:proofErr w:type="spellStart"/>
            <w:r w:rsidRPr="00466664">
              <w:rPr>
                <w:rStyle w:val="ezkurwreuab5ozgtqnkl"/>
                <w:rFonts w:ascii="Times New Roman" w:hAnsi="Times New Roman" w:cs="Times New Roman"/>
                <w:bCs/>
                <w:sz w:val="16"/>
              </w:rPr>
              <w:t>mol</w:t>
            </w:r>
            <w:proofErr w:type="spellEnd"/>
          </w:p>
        </w:tc>
        <w:tc>
          <w:tcPr>
            <w:tcW w:w="0" w:type="auto"/>
            <w:tcBorders>
              <w:top w:val="single" w:sz="4" w:space="0" w:color="auto"/>
              <w:bottom w:val="single" w:sz="4" w:space="0" w:color="auto"/>
            </w:tcBorders>
            <w:vAlign w:val="center"/>
          </w:tcPr>
          <w:p w:rsidR="003D2C9B" w:rsidRPr="00466664" w:rsidRDefault="003D2C9B" w:rsidP="00DB1868">
            <w:pPr>
              <w:pStyle w:val="ArticleTable"/>
            </w:pPr>
            <w:r w:rsidRPr="00466664">
              <w:rPr>
                <w:rFonts w:eastAsia="Calibri"/>
                <w:i/>
                <w:iCs/>
                <w:color w:val="000000" w:themeColor="text1"/>
                <w:kern w:val="24"/>
                <w:lang w:val="en-GB" w:eastAsia="ru-RU"/>
              </w:rPr>
              <w:t>T</w:t>
            </w:r>
            <w:r w:rsidRPr="00466664">
              <w:rPr>
                <w:rFonts w:eastAsia="Calibri"/>
                <w:color w:val="000000" w:themeColor="text1"/>
                <w:kern w:val="24"/>
                <w:vertAlign w:val="subscript"/>
                <w:lang w:val="en-GB" w:eastAsia="ru-RU"/>
              </w:rPr>
              <w:t>m</w:t>
            </w:r>
            <w:r w:rsidRPr="00466664">
              <w:rPr>
                <w:rFonts w:eastAsia="Calibri"/>
                <w:color w:val="000000" w:themeColor="text1"/>
                <w:kern w:val="24"/>
                <w:lang w:val="en-GB" w:eastAsia="ru-RU"/>
              </w:rPr>
              <w:t>,</w:t>
            </w:r>
            <w:r w:rsidRPr="00466664">
              <w:rPr>
                <w:rFonts w:eastAsia="Calibri"/>
                <w:color w:val="000000" w:themeColor="text1"/>
                <w:kern w:val="24"/>
                <w:lang w:eastAsia="ru-RU"/>
              </w:rPr>
              <w:t xml:space="preserve"> °</w:t>
            </w:r>
            <w:r w:rsidRPr="00466664">
              <w:rPr>
                <w:rFonts w:eastAsia="Calibri"/>
                <w:color w:val="000000" w:themeColor="text1"/>
                <w:kern w:val="24"/>
                <w:lang w:val="en-GB" w:eastAsia="ru-RU"/>
              </w:rPr>
              <w:t>C</w:t>
            </w:r>
          </w:p>
        </w:tc>
        <w:tc>
          <w:tcPr>
            <w:tcW w:w="0" w:type="auto"/>
            <w:tcBorders>
              <w:top w:val="single" w:sz="4" w:space="0" w:color="auto"/>
              <w:bottom w:val="single" w:sz="4" w:space="0" w:color="auto"/>
            </w:tcBorders>
            <w:vAlign w:val="center"/>
          </w:tcPr>
          <w:p w:rsidR="003D2C9B" w:rsidRPr="00466664" w:rsidRDefault="003D2C9B" w:rsidP="00DB1868">
            <w:pPr>
              <w:pStyle w:val="ArticleTable"/>
            </w:pPr>
            <w:r w:rsidRPr="00466664">
              <w:rPr>
                <w:rFonts w:eastAsia="Calibri"/>
                <w:color w:val="000000" w:themeColor="text1"/>
                <w:kern w:val="24"/>
                <w:lang w:eastAsia="ru-RU"/>
              </w:rPr>
              <w:t>Δ</w:t>
            </w:r>
            <w:proofErr w:type="spellStart"/>
            <w:r w:rsidRPr="00466664">
              <w:rPr>
                <w:rFonts w:eastAsia="Calibri"/>
                <w:i/>
                <w:iCs/>
                <w:color w:val="000000" w:themeColor="text1"/>
                <w:kern w:val="24"/>
                <w:lang w:val="en-GB" w:eastAsia="ru-RU"/>
              </w:rPr>
              <w:t>H</w:t>
            </w:r>
            <w:r w:rsidRPr="00466664">
              <w:rPr>
                <w:rFonts w:eastAsia="Calibri"/>
                <w:color w:val="000000" w:themeColor="text1"/>
                <w:kern w:val="24"/>
                <w:vertAlign w:val="subscript"/>
                <w:lang w:val="en-GB" w:eastAsia="ru-RU"/>
              </w:rPr>
              <w:t>m</w:t>
            </w:r>
            <w:proofErr w:type="spellEnd"/>
            <w:r w:rsidRPr="00466664">
              <w:rPr>
                <w:rFonts w:eastAsia="Calibri"/>
                <w:color w:val="000000" w:themeColor="text1"/>
                <w:kern w:val="24"/>
                <w:lang w:val="en-GB" w:eastAsia="ru-RU"/>
              </w:rPr>
              <w:t xml:space="preserve">, </w:t>
            </w:r>
            <w:proofErr w:type="spellStart"/>
            <w:r w:rsidRPr="00466664">
              <w:rPr>
                <w:rStyle w:val="ezkurwreuab5ozgtqnkl"/>
                <w:rFonts w:ascii="Times New Roman" w:hAnsi="Times New Roman" w:cs="Times New Roman"/>
                <w:bCs/>
                <w:sz w:val="16"/>
              </w:rPr>
              <w:t>kJ</w:t>
            </w:r>
            <w:proofErr w:type="spellEnd"/>
            <w:r w:rsidRPr="00466664">
              <w:rPr>
                <w:rStyle w:val="ezkurwreuab5ozgtqnkl"/>
                <w:rFonts w:ascii="Times New Roman" w:hAnsi="Times New Roman" w:cs="Times New Roman"/>
                <w:bCs/>
                <w:sz w:val="16"/>
              </w:rPr>
              <w:t>/</w:t>
            </w:r>
            <w:proofErr w:type="spellStart"/>
            <w:r w:rsidRPr="00466664">
              <w:rPr>
                <w:rStyle w:val="ezkurwreuab5ozgtqnkl"/>
                <w:rFonts w:ascii="Times New Roman" w:hAnsi="Times New Roman" w:cs="Times New Roman"/>
                <w:bCs/>
                <w:sz w:val="16"/>
              </w:rPr>
              <w:t>mol</w:t>
            </w:r>
            <w:proofErr w:type="spellEnd"/>
          </w:p>
        </w:tc>
        <w:tc>
          <w:tcPr>
            <w:tcW w:w="0" w:type="auto"/>
            <w:tcBorders>
              <w:top w:val="single" w:sz="4" w:space="0" w:color="auto"/>
              <w:bottom w:val="single" w:sz="4" w:space="0" w:color="auto"/>
            </w:tcBorders>
            <w:vAlign w:val="center"/>
          </w:tcPr>
          <w:p w:rsidR="003D2C9B" w:rsidRPr="00466664" w:rsidRDefault="003D2C9B" w:rsidP="00DB1868">
            <w:pPr>
              <w:pStyle w:val="ArticleTable"/>
            </w:pPr>
            <w:r w:rsidRPr="00466664">
              <w:rPr>
                <w:i/>
                <w:iCs/>
              </w:rPr>
              <w:t>T</w:t>
            </w:r>
            <w:r w:rsidRPr="00466664">
              <w:rPr>
                <w:vertAlign w:val="subscript"/>
              </w:rPr>
              <w:t>5%</w:t>
            </w:r>
            <w:r w:rsidRPr="00466664">
              <w:t>, °C</w:t>
            </w:r>
          </w:p>
        </w:tc>
      </w:tr>
      <w:tr w:rsidR="003D2C9B" w:rsidRPr="00466664" w:rsidTr="00DB1868">
        <w:trPr>
          <w:trHeight w:val="227"/>
          <w:jc w:val="center"/>
        </w:trPr>
        <w:tc>
          <w:tcPr>
            <w:tcW w:w="0" w:type="auto"/>
            <w:tcBorders>
              <w:top w:val="single" w:sz="4" w:space="0" w:color="auto"/>
            </w:tcBorders>
            <w:vAlign w:val="center"/>
          </w:tcPr>
          <w:p w:rsidR="003D2C9B" w:rsidRPr="00466664" w:rsidRDefault="003D2C9B" w:rsidP="00DB1868">
            <w:pPr>
              <w:pStyle w:val="ArticleTable"/>
              <w:rPr>
                <w:b/>
              </w:rPr>
            </w:pPr>
            <w:r w:rsidRPr="00466664">
              <w:rPr>
                <w:b/>
              </w:rPr>
              <w:t>T-Ph-BTD</w:t>
            </w:r>
          </w:p>
        </w:tc>
        <w:tc>
          <w:tcPr>
            <w:tcW w:w="0" w:type="auto"/>
            <w:tcBorders>
              <w:top w:val="single" w:sz="4" w:space="0" w:color="auto"/>
            </w:tcBorders>
            <w:vAlign w:val="center"/>
          </w:tcPr>
          <w:p w:rsidR="003D2C9B" w:rsidRPr="00466664" w:rsidRDefault="003D2C9B" w:rsidP="00DB1868">
            <w:pPr>
              <w:pStyle w:val="ArticleTable"/>
            </w:pPr>
            <w:r w:rsidRPr="00466664">
              <w:t>452</w:t>
            </w:r>
          </w:p>
        </w:tc>
        <w:tc>
          <w:tcPr>
            <w:tcW w:w="0" w:type="auto"/>
            <w:tcBorders>
              <w:top w:val="single" w:sz="4" w:space="0" w:color="auto"/>
            </w:tcBorders>
            <w:vAlign w:val="center"/>
          </w:tcPr>
          <w:p w:rsidR="003D2C9B" w:rsidRPr="00466664" w:rsidRDefault="003D2C9B" w:rsidP="00DB1868">
            <w:pPr>
              <w:pStyle w:val="ArticleTable"/>
            </w:pPr>
            <w:r w:rsidRPr="00466664">
              <w:t>250</w:t>
            </w:r>
          </w:p>
        </w:tc>
        <w:tc>
          <w:tcPr>
            <w:tcW w:w="0" w:type="auto"/>
            <w:tcBorders>
              <w:top w:val="single" w:sz="4" w:space="0" w:color="auto"/>
            </w:tcBorders>
            <w:vAlign w:val="center"/>
          </w:tcPr>
          <w:p w:rsidR="003D2C9B" w:rsidRPr="00466664" w:rsidRDefault="003D2C9B" w:rsidP="00DB1868">
            <w:pPr>
              <w:pStyle w:val="ArticleTable"/>
            </w:pPr>
            <w:r w:rsidRPr="00466664">
              <w:t>33.9</w:t>
            </w:r>
          </w:p>
        </w:tc>
        <w:tc>
          <w:tcPr>
            <w:tcW w:w="0" w:type="auto"/>
            <w:tcBorders>
              <w:top w:val="single" w:sz="4" w:space="0" w:color="auto"/>
            </w:tcBorders>
            <w:vAlign w:val="center"/>
          </w:tcPr>
          <w:p w:rsidR="003D2C9B" w:rsidRPr="00466664" w:rsidRDefault="003D2C9B" w:rsidP="00DB1868">
            <w:pPr>
              <w:pStyle w:val="ArticleTable"/>
            </w:pPr>
            <w:r w:rsidRPr="00466664">
              <w:t>437</w:t>
            </w:r>
          </w:p>
        </w:tc>
      </w:tr>
      <w:tr w:rsidR="003D2C9B" w:rsidRPr="00466664" w:rsidTr="00DB1868">
        <w:trPr>
          <w:trHeight w:val="227"/>
          <w:jc w:val="center"/>
        </w:trPr>
        <w:tc>
          <w:tcPr>
            <w:tcW w:w="0" w:type="auto"/>
            <w:vAlign w:val="center"/>
          </w:tcPr>
          <w:p w:rsidR="003D2C9B" w:rsidRPr="00466664" w:rsidRDefault="003D2C9B" w:rsidP="00DB1868">
            <w:pPr>
              <w:pStyle w:val="ArticleTable"/>
              <w:rPr>
                <w:b/>
              </w:rPr>
            </w:pPr>
            <w:r w:rsidRPr="00466664">
              <w:rPr>
                <w:b/>
              </w:rPr>
              <w:t>Hex-T-Ph-BTD</w:t>
            </w:r>
          </w:p>
        </w:tc>
        <w:tc>
          <w:tcPr>
            <w:tcW w:w="0" w:type="auto"/>
            <w:vAlign w:val="center"/>
          </w:tcPr>
          <w:p w:rsidR="003D2C9B" w:rsidRPr="00466664" w:rsidRDefault="003D2C9B" w:rsidP="00DB1868">
            <w:pPr>
              <w:pStyle w:val="ArticleTable"/>
            </w:pPr>
            <w:r w:rsidRPr="00466664">
              <w:t>620</w:t>
            </w:r>
          </w:p>
        </w:tc>
        <w:tc>
          <w:tcPr>
            <w:tcW w:w="0" w:type="auto"/>
            <w:vAlign w:val="center"/>
          </w:tcPr>
          <w:p w:rsidR="003D2C9B" w:rsidRPr="00466664" w:rsidRDefault="003D2C9B" w:rsidP="00DB1868">
            <w:pPr>
              <w:pStyle w:val="ArticleTable"/>
            </w:pPr>
            <w:r w:rsidRPr="00466664">
              <w:t>156</w:t>
            </w:r>
          </w:p>
        </w:tc>
        <w:tc>
          <w:tcPr>
            <w:tcW w:w="0" w:type="auto"/>
            <w:vAlign w:val="center"/>
          </w:tcPr>
          <w:p w:rsidR="003D2C9B" w:rsidRPr="00466664" w:rsidRDefault="003D2C9B" w:rsidP="00DB1868">
            <w:pPr>
              <w:pStyle w:val="ArticleTable"/>
            </w:pPr>
            <w:r w:rsidRPr="00466664">
              <w:t>37.6</w:t>
            </w:r>
          </w:p>
        </w:tc>
        <w:tc>
          <w:tcPr>
            <w:tcW w:w="0" w:type="auto"/>
            <w:vAlign w:val="center"/>
          </w:tcPr>
          <w:p w:rsidR="003D2C9B" w:rsidRPr="00466664" w:rsidRDefault="003D2C9B" w:rsidP="00DB1868">
            <w:pPr>
              <w:pStyle w:val="ArticleTable"/>
            </w:pPr>
            <w:r w:rsidRPr="00466664">
              <w:t>437</w:t>
            </w:r>
          </w:p>
        </w:tc>
      </w:tr>
      <w:tr w:rsidR="003D2C9B" w:rsidRPr="00466664" w:rsidTr="00DB1868">
        <w:trPr>
          <w:trHeight w:val="227"/>
          <w:jc w:val="center"/>
        </w:trPr>
        <w:tc>
          <w:tcPr>
            <w:tcW w:w="0" w:type="auto"/>
            <w:vAlign w:val="center"/>
          </w:tcPr>
          <w:p w:rsidR="003D2C9B" w:rsidRPr="00466664" w:rsidRDefault="003D2C9B" w:rsidP="00DB1868">
            <w:pPr>
              <w:pStyle w:val="ArticleTable"/>
              <w:rPr>
                <w:b/>
              </w:rPr>
            </w:pPr>
            <w:r w:rsidRPr="00466664">
              <w:rPr>
                <w:b/>
              </w:rPr>
              <w:t>Oct-T-Ph-BTD</w:t>
            </w:r>
          </w:p>
        </w:tc>
        <w:tc>
          <w:tcPr>
            <w:tcW w:w="0" w:type="auto"/>
            <w:vAlign w:val="center"/>
          </w:tcPr>
          <w:p w:rsidR="003D2C9B" w:rsidRPr="00466664" w:rsidRDefault="003D2C9B" w:rsidP="00DB1868">
            <w:pPr>
              <w:pStyle w:val="ArticleTable"/>
            </w:pPr>
            <w:r w:rsidRPr="00466664">
              <w:t>677</w:t>
            </w:r>
          </w:p>
        </w:tc>
        <w:tc>
          <w:tcPr>
            <w:tcW w:w="0" w:type="auto"/>
            <w:vAlign w:val="center"/>
          </w:tcPr>
          <w:p w:rsidR="003D2C9B" w:rsidRPr="00466664" w:rsidRDefault="003D2C9B" w:rsidP="00DB1868">
            <w:pPr>
              <w:pStyle w:val="ArticleTable"/>
            </w:pPr>
            <w:r w:rsidRPr="00466664">
              <w:t>140</w:t>
            </w:r>
          </w:p>
        </w:tc>
        <w:tc>
          <w:tcPr>
            <w:tcW w:w="0" w:type="auto"/>
            <w:vAlign w:val="center"/>
          </w:tcPr>
          <w:p w:rsidR="003D2C9B" w:rsidRPr="00466664" w:rsidRDefault="003D2C9B" w:rsidP="00DB1868">
            <w:pPr>
              <w:pStyle w:val="ArticleTable"/>
            </w:pPr>
            <w:r w:rsidRPr="00466664">
              <w:t>19.1</w:t>
            </w:r>
          </w:p>
        </w:tc>
        <w:tc>
          <w:tcPr>
            <w:tcW w:w="0" w:type="auto"/>
            <w:vAlign w:val="center"/>
          </w:tcPr>
          <w:p w:rsidR="003D2C9B" w:rsidRPr="00466664" w:rsidRDefault="003D2C9B" w:rsidP="00DB1868">
            <w:pPr>
              <w:pStyle w:val="ArticleTable"/>
            </w:pPr>
            <w:r w:rsidRPr="00466664">
              <w:t>452</w:t>
            </w:r>
          </w:p>
        </w:tc>
      </w:tr>
      <w:tr w:rsidR="003D2C9B" w:rsidRPr="00466664" w:rsidTr="00DB1868">
        <w:trPr>
          <w:trHeight w:val="227"/>
          <w:jc w:val="center"/>
        </w:trPr>
        <w:tc>
          <w:tcPr>
            <w:tcW w:w="0" w:type="auto"/>
            <w:tcBorders>
              <w:bottom w:val="single" w:sz="4" w:space="0" w:color="auto"/>
            </w:tcBorders>
            <w:vAlign w:val="center"/>
          </w:tcPr>
          <w:p w:rsidR="003D2C9B" w:rsidRPr="00466664" w:rsidRDefault="003D2C9B" w:rsidP="00DB1868">
            <w:pPr>
              <w:pStyle w:val="ArticleTable"/>
              <w:rPr>
                <w:b/>
              </w:rPr>
            </w:pPr>
            <w:r w:rsidRPr="00466664">
              <w:rPr>
                <w:b/>
              </w:rPr>
              <w:t>Dec-T-Ph-BTD</w:t>
            </w:r>
          </w:p>
        </w:tc>
        <w:tc>
          <w:tcPr>
            <w:tcW w:w="0" w:type="auto"/>
            <w:tcBorders>
              <w:bottom w:val="single" w:sz="4" w:space="0" w:color="auto"/>
            </w:tcBorders>
            <w:vAlign w:val="center"/>
          </w:tcPr>
          <w:p w:rsidR="003D2C9B" w:rsidRPr="00466664" w:rsidRDefault="003D2C9B" w:rsidP="00DB1868">
            <w:pPr>
              <w:pStyle w:val="ArticleTable"/>
            </w:pPr>
            <w:r w:rsidRPr="00466664">
              <w:t>733</w:t>
            </w:r>
          </w:p>
        </w:tc>
        <w:tc>
          <w:tcPr>
            <w:tcW w:w="0" w:type="auto"/>
            <w:tcBorders>
              <w:bottom w:val="single" w:sz="4" w:space="0" w:color="auto"/>
            </w:tcBorders>
            <w:vAlign w:val="center"/>
          </w:tcPr>
          <w:p w:rsidR="003D2C9B" w:rsidRPr="00466664" w:rsidRDefault="003D2C9B" w:rsidP="00DB1868">
            <w:pPr>
              <w:pStyle w:val="ArticleTable"/>
            </w:pPr>
            <w:r w:rsidRPr="00466664">
              <w:t>133</w:t>
            </w:r>
          </w:p>
        </w:tc>
        <w:tc>
          <w:tcPr>
            <w:tcW w:w="0" w:type="auto"/>
            <w:tcBorders>
              <w:bottom w:val="single" w:sz="4" w:space="0" w:color="auto"/>
            </w:tcBorders>
            <w:vAlign w:val="center"/>
          </w:tcPr>
          <w:p w:rsidR="003D2C9B" w:rsidRPr="00466664" w:rsidRDefault="003D2C9B" w:rsidP="00DB1868">
            <w:pPr>
              <w:pStyle w:val="ArticleTable"/>
            </w:pPr>
            <w:r w:rsidRPr="00466664">
              <w:t>20.6</w:t>
            </w:r>
          </w:p>
        </w:tc>
        <w:tc>
          <w:tcPr>
            <w:tcW w:w="0" w:type="auto"/>
            <w:tcBorders>
              <w:bottom w:val="single" w:sz="4" w:space="0" w:color="auto"/>
            </w:tcBorders>
            <w:vAlign w:val="center"/>
          </w:tcPr>
          <w:p w:rsidR="003D2C9B" w:rsidRPr="00466664" w:rsidRDefault="003D2C9B" w:rsidP="00DB1868">
            <w:pPr>
              <w:pStyle w:val="ArticleTable"/>
            </w:pPr>
            <w:r w:rsidRPr="00466664">
              <w:t>444</w:t>
            </w:r>
          </w:p>
        </w:tc>
      </w:tr>
    </w:tbl>
    <w:p w:rsidR="003D2C9B" w:rsidRPr="00466664" w:rsidRDefault="003D2C9B" w:rsidP="00DB1868">
      <w:pPr>
        <w:pStyle w:val="Text"/>
        <w:spacing w:before="200"/>
        <w:rPr>
          <w:lang w:val="en-US"/>
        </w:rPr>
      </w:pPr>
      <w:r w:rsidRPr="00466664">
        <w:rPr>
          <w:lang w:val="en-US"/>
        </w:rPr>
        <w:t xml:space="preserve">TGA analysis showed that the introduction of alkyl </w:t>
      </w:r>
      <w:proofErr w:type="spellStart"/>
      <w:r w:rsidRPr="00466664">
        <w:rPr>
          <w:lang w:val="en-US"/>
        </w:rPr>
        <w:t>substituents</w:t>
      </w:r>
      <w:proofErr w:type="spellEnd"/>
      <w:r w:rsidRPr="00466664">
        <w:rPr>
          <w:lang w:val="en-US"/>
        </w:rPr>
        <w:t xml:space="preserve"> into </w:t>
      </w:r>
      <w:r w:rsidRPr="00466664">
        <w:rPr>
          <w:b/>
          <w:bCs/>
          <w:lang w:val="en-US"/>
        </w:rPr>
        <w:t>T-Ph-BTD</w:t>
      </w:r>
      <w:r w:rsidRPr="00466664">
        <w:rPr>
          <w:lang w:val="en-US"/>
        </w:rPr>
        <w:t xml:space="preserve"> has a very low influence on the thermal stability of the resulting </w:t>
      </w:r>
      <w:proofErr w:type="spellStart"/>
      <w:r w:rsidRPr="00466664">
        <w:rPr>
          <w:lang w:val="en-US"/>
        </w:rPr>
        <w:t>luminophores</w:t>
      </w:r>
      <w:proofErr w:type="spellEnd"/>
      <w:r w:rsidRPr="00466664">
        <w:rPr>
          <w:lang w:val="en-US"/>
        </w:rPr>
        <w:t xml:space="preserve"> in an inert atmosphere: all the </w:t>
      </w:r>
      <w:proofErr w:type="spellStart"/>
      <w:r w:rsidRPr="00466664">
        <w:rPr>
          <w:lang w:val="en-US"/>
        </w:rPr>
        <w:t>luminophores</w:t>
      </w:r>
      <w:proofErr w:type="spellEnd"/>
      <w:r w:rsidRPr="00466664">
        <w:rPr>
          <w:lang w:val="en-US"/>
        </w:rPr>
        <w:t xml:space="preserve"> were stable up to 437–452 °C. The highest thermal stability was observed for </w:t>
      </w:r>
      <w:r w:rsidRPr="00466664">
        <w:rPr>
          <w:b/>
          <w:lang w:val="en-US"/>
        </w:rPr>
        <w:t>Oct-T-Ph-BTD</w:t>
      </w:r>
      <w:r w:rsidRPr="00466664">
        <w:rPr>
          <w:lang w:val="en-US"/>
        </w:rPr>
        <w:t>.</w:t>
      </w:r>
    </w:p>
    <w:p w:rsidR="003D2C9B" w:rsidRPr="00466664" w:rsidRDefault="003D2C9B" w:rsidP="00DB1868">
      <w:pPr>
        <w:pStyle w:val="MainHeader"/>
      </w:pPr>
      <w:r w:rsidRPr="00466664">
        <w:t>Conclusions</w:t>
      </w:r>
    </w:p>
    <w:p w:rsidR="003D2C9B" w:rsidRPr="00466664" w:rsidRDefault="003D2C9B" w:rsidP="00DB1868">
      <w:pPr>
        <w:pStyle w:val="Text"/>
        <w:rPr>
          <w:bCs/>
          <w:lang w:val="en-US"/>
        </w:rPr>
      </w:pPr>
      <w:r w:rsidRPr="00466664">
        <w:rPr>
          <w:lang w:val="en-US"/>
        </w:rPr>
        <w:t xml:space="preserve">Novel BTD-based </w:t>
      </w:r>
      <w:proofErr w:type="spellStart"/>
      <w:r w:rsidRPr="00466664">
        <w:rPr>
          <w:lang w:val="en-US"/>
        </w:rPr>
        <w:t>luminophores</w:t>
      </w:r>
      <w:proofErr w:type="spellEnd"/>
      <w:r w:rsidRPr="00466664">
        <w:rPr>
          <w:lang w:val="en-US"/>
        </w:rPr>
        <w:t xml:space="preserve"> with 2</w:t>
      </w:r>
      <w:proofErr w:type="gramStart"/>
      <w:r w:rsidRPr="00466664">
        <w:rPr>
          <w:lang w:val="en-US"/>
        </w:rPr>
        <w:t>,5</w:t>
      </w:r>
      <w:proofErr w:type="gramEnd"/>
      <w:r w:rsidRPr="00466664">
        <w:rPr>
          <w:lang w:val="en-US"/>
        </w:rPr>
        <w:t xml:space="preserve">-thiophene and 1,4-benzene moieties and terminal alkyl </w:t>
      </w:r>
      <w:proofErr w:type="spellStart"/>
      <w:r w:rsidRPr="00466664">
        <w:rPr>
          <w:lang w:val="en-US"/>
        </w:rPr>
        <w:t>substituents</w:t>
      </w:r>
      <w:proofErr w:type="spellEnd"/>
      <w:r w:rsidRPr="00466664">
        <w:rPr>
          <w:lang w:val="en-US"/>
        </w:rPr>
        <w:t xml:space="preserve"> were synthesized. The spectral luminescent measurements revealed that the terminal </w:t>
      </w:r>
      <w:proofErr w:type="spellStart"/>
      <w:r w:rsidRPr="00466664">
        <w:rPr>
          <w:lang w:val="en-US"/>
        </w:rPr>
        <w:t>substituents</w:t>
      </w:r>
      <w:proofErr w:type="spellEnd"/>
      <w:r w:rsidRPr="00466664">
        <w:rPr>
          <w:lang w:val="en-US"/>
        </w:rPr>
        <w:t xml:space="preserve"> have a negligible effect on their optical properties in diluted THF solutions. When the alkyl </w:t>
      </w:r>
      <w:proofErr w:type="spellStart"/>
      <w:r w:rsidRPr="00466664">
        <w:rPr>
          <w:lang w:val="en-US"/>
        </w:rPr>
        <w:t>substituents</w:t>
      </w:r>
      <w:proofErr w:type="spellEnd"/>
      <w:r w:rsidRPr="00466664">
        <w:rPr>
          <w:lang w:val="en-US"/>
        </w:rPr>
        <w:t xml:space="preserve"> are introduced, there is observed a slight shift in the absorption and luminescence maxima by 13–14 and 9–10 nm, respectively. However, the length of the alkyl chain does not significantly affect the absorption or luminescence spectra as well as luminescence quantum yield, which ranged within 86–90%. The </w:t>
      </w:r>
      <w:proofErr w:type="spellStart"/>
      <w:r w:rsidRPr="00466664">
        <w:rPr>
          <w:lang w:val="en-US"/>
        </w:rPr>
        <w:t>thermogravimetric</w:t>
      </w:r>
      <w:proofErr w:type="spellEnd"/>
      <w:r w:rsidRPr="00466664">
        <w:rPr>
          <w:lang w:val="en-US"/>
        </w:rPr>
        <w:t xml:space="preserve"> analysis showed that all the </w:t>
      </w:r>
      <w:proofErr w:type="spellStart"/>
      <w:r w:rsidRPr="00466664">
        <w:rPr>
          <w:lang w:val="en-US"/>
        </w:rPr>
        <w:t>luminophores</w:t>
      </w:r>
      <w:proofErr w:type="spellEnd"/>
      <w:r w:rsidRPr="00466664">
        <w:rPr>
          <w:lang w:val="en-US"/>
        </w:rPr>
        <w:t xml:space="preserve"> obtained are stable in an inert atmosphere up to</w:t>
      </w:r>
      <w:r w:rsidRPr="00466664">
        <w:rPr>
          <w:i/>
          <w:iCs/>
          <w:lang w:val="en-US"/>
        </w:rPr>
        <w:t xml:space="preserve"> ca</w:t>
      </w:r>
      <w:r w:rsidRPr="00466664">
        <w:rPr>
          <w:lang w:val="en-US"/>
        </w:rPr>
        <w:t xml:space="preserve">. 440 °C. Thus, the BTD-based </w:t>
      </w:r>
      <w:proofErr w:type="spellStart"/>
      <w:r w:rsidRPr="00466664">
        <w:rPr>
          <w:lang w:val="en-US"/>
        </w:rPr>
        <w:t>luminophores</w:t>
      </w:r>
      <w:proofErr w:type="spellEnd"/>
      <w:r w:rsidRPr="00466664">
        <w:rPr>
          <w:lang w:val="en-US"/>
        </w:rPr>
        <w:t xml:space="preserve"> exhibit high chemical and thermal </w:t>
      </w:r>
      <w:proofErr w:type="gramStart"/>
      <w:r w:rsidRPr="00466664">
        <w:rPr>
          <w:lang w:val="en-US"/>
        </w:rPr>
        <w:t>stability,</w:t>
      </w:r>
      <w:proofErr w:type="gramEnd"/>
      <w:r w:rsidRPr="00466664">
        <w:rPr>
          <w:lang w:val="en-US"/>
        </w:rPr>
        <w:t xml:space="preserve"> high quantum yields and represent versatile and suitable objects for various applications.</w:t>
      </w:r>
    </w:p>
    <w:p w:rsidR="003D2C9B" w:rsidRPr="00466664" w:rsidRDefault="003D2C9B" w:rsidP="00DB1868">
      <w:pPr>
        <w:pStyle w:val="MainHeader"/>
      </w:pPr>
      <w:r w:rsidRPr="00466664">
        <w:t>Acknowledgements</w:t>
      </w:r>
    </w:p>
    <w:p w:rsidR="003D2C9B" w:rsidRPr="00466664" w:rsidRDefault="003D2C9B" w:rsidP="00DB1868">
      <w:pPr>
        <w:pStyle w:val="Text"/>
      </w:pPr>
      <w:r w:rsidRPr="00466664">
        <w:rPr>
          <w:lang w:eastAsia="hu-HU"/>
        </w:rPr>
        <w:t>This work was supported by the Russian Science Foundation (project no. 22-13-00255).</w:t>
      </w:r>
    </w:p>
    <w:p w:rsidR="003D2C9B" w:rsidRPr="00466664" w:rsidRDefault="003D2C9B" w:rsidP="00DB1868">
      <w:pPr>
        <w:pStyle w:val="MainHeader"/>
      </w:pPr>
      <w:r w:rsidRPr="00466664">
        <w:t>Electronic supplementary information</w:t>
      </w:r>
    </w:p>
    <w:p w:rsidR="003D2C9B" w:rsidRPr="00466664" w:rsidRDefault="003D2C9B" w:rsidP="00DB1868">
      <w:pPr>
        <w:pStyle w:val="Text"/>
        <w:rPr>
          <w:b/>
        </w:rPr>
      </w:pPr>
      <w:r w:rsidRPr="00466664">
        <w:t>Electronic supplementary information (ESI) available online: the experimental section, NMR spectra, optical and TGA data. For ESI, see DOI: 10.32931/io2536a.</w:t>
      </w:r>
    </w:p>
    <w:p w:rsidR="003D2C9B" w:rsidRPr="00466664" w:rsidRDefault="003D2C9B" w:rsidP="00DB1868">
      <w:pPr>
        <w:pStyle w:val="MainHeader"/>
      </w:pPr>
      <w:r w:rsidRPr="00466664">
        <w:t>References</w:t>
      </w:r>
    </w:p>
    <w:p w:rsidR="003D2C9B" w:rsidRPr="00DB1868" w:rsidRDefault="003D2C9B" w:rsidP="00DB1868">
      <w:pPr>
        <w:autoSpaceDE w:val="0"/>
        <w:autoSpaceDN w:val="0"/>
        <w:adjustRightInd w:val="0"/>
        <w:spacing w:after="0" w:line="240" w:lineRule="auto"/>
        <w:jc w:val="both"/>
        <w:rPr>
          <w:rFonts w:ascii="Arial" w:hAnsi="Arial" w:cs="Arial"/>
          <w:color w:val="263238"/>
          <w:szCs w:val="16"/>
          <w:lang w:val="en-US"/>
        </w:rPr>
      </w:pPr>
      <w:r w:rsidRPr="00DB1868">
        <w:rPr>
          <w:rFonts w:ascii="Arial" w:hAnsi="Arial" w:cs="Arial"/>
          <w:color w:val="263238"/>
          <w:szCs w:val="16"/>
          <w:lang w:val="en-US"/>
        </w:rPr>
        <w:t xml:space="preserve">B. A. D. </w:t>
      </w:r>
      <w:proofErr w:type="spellStart"/>
      <w:r w:rsidRPr="00DB1868">
        <w:rPr>
          <w:rFonts w:ascii="Arial" w:hAnsi="Arial" w:cs="Arial"/>
          <w:color w:val="263238"/>
          <w:szCs w:val="16"/>
          <w:lang w:val="en-US"/>
        </w:rPr>
        <w:t>Neto</w:t>
      </w:r>
      <w:proofErr w:type="spellEnd"/>
      <w:r w:rsidRPr="00DB1868">
        <w:rPr>
          <w:rFonts w:ascii="Arial" w:hAnsi="Arial" w:cs="Arial"/>
          <w:color w:val="263238"/>
          <w:szCs w:val="16"/>
          <w:lang w:val="en-US"/>
        </w:rPr>
        <w:t xml:space="preserve">, A. A. M. Lapis, E. N. </w:t>
      </w:r>
      <w:proofErr w:type="spellStart"/>
      <w:r w:rsidRPr="00DB1868">
        <w:rPr>
          <w:rFonts w:ascii="Arial" w:hAnsi="Arial" w:cs="Arial"/>
          <w:color w:val="263238"/>
          <w:szCs w:val="16"/>
          <w:lang w:val="en-US"/>
        </w:rPr>
        <w:t>Da</w:t>
      </w:r>
      <w:proofErr w:type="spellEnd"/>
      <w:r w:rsidRPr="00DB1868">
        <w:rPr>
          <w:rFonts w:ascii="Arial" w:hAnsi="Arial" w:cs="Arial"/>
          <w:color w:val="263238"/>
          <w:szCs w:val="16"/>
          <w:lang w:val="en-US"/>
        </w:rPr>
        <w:t xml:space="preserve"> Silva </w:t>
      </w:r>
      <w:proofErr w:type="spellStart"/>
      <w:r w:rsidRPr="00DB1868">
        <w:rPr>
          <w:rFonts w:ascii="Arial" w:hAnsi="Arial" w:cs="Arial"/>
          <w:color w:val="263238"/>
          <w:szCs w:val="16"/>
          <w:lang w:val="en-US"/>
        </w:rPr>
        <w:t>Júnior</w:t>
      </w:r>
      <w:proofErr w:type="spellEnd"/>
      <w:r w:rsidRPr="00DB1868">
        <w:rPr>
          <w:rFonts w:ascii="Arial" w:hAnsi="Arial" w:cs="Arial"/>
          <w:color w:val="263238"/>
          <w:szCs w:val="16"/>
          <w:lang w:val="en-US"/>
        </w:rPr>
        <w:t xml:space="preserve">, J. </w:t>
      </w:r>
      <w:proofErr w:type="spellStart"/>
      <w:r w:rsidRPr="00DB1868">
        <w:rPr>
          <w:rFonts w:ascii="Arial" w:hAnsi="Arial" w:cs="Arial"/>
          <w:color w:val="263238"/>
          <w:szCs w:val="16"/>
          <w:lang w:val="en-US"/>
        </w:rPr>
        <w:t>Dupont</w:t>
      </w:r>
      <w:proofErr w:type="spellEnd"/>
      <w:r w:rsidRPr="00DB1868">
        <w:rPr>
          <w:rFonts w:ascii="Arial" w:hAnsi="Arial" w:cs="Arial"/>
          <w:color w:val="263238"/>
          <w:szCs w:val="16"/>
          <w:lang w:val="en-US"/>
        </w:rPr>
        <w:t xml:space="preserve">, </w:t>
      </w:r>
      <w:r w:rsidRPr="00DB1868">
        <w:rPr>
          <w:rFonts w:ascii="Arial" w:hAnsi="Arial" w:cs="Arial"/>
          <w:i/>
          <w:iCs/>
          <w:color w:val="263238"/>
          <w:szCs w:val="16"/>
          <w:lang w:val="en-US"/>
        </w:rPr>
        <w:t>Eur. J. Org. Chem</w:t>
      </w:r>
      <w:r w:rsidRPr="00DB1868">
        <w:rPr>
          <w:rFonts w:ascii="Arial" w:hAnsi="Arial" w:cs="Arial"/>
          <w:color w:val="263238"/>
          <w:szCs w:val="16"/>
          <w:lang w:val="en-US"/>
        </w:rPr>
        <w:t xml:space="preserve">., </w:t>
      </w:r>
      <w:r w:rsidRPr="00DB1868">
        <w:rPr>
          <w:rFonts w:ascii="Arial" w:hAnsi="Arial" w:cs="Arial"/>
          <w:b/>
          <w:color w:val="263238"/>
          <w:szCs w:val="16"/>
          <w:lang w:val="en-US"/>
        </w:rPr>
        <w:t>2013</w:t>
      </w:r>
      <w:r w:rsidRPr="00DB1868">
        <w:rPr>
          <w:rFonts w:ascii="Arial" w:hAnsi="Arial" w:cs="Arial"/>
          <w:color w:val="263238"/>
          <w:szCs w:val="16"/>
          <w:lang w:val="en-US"/>
        </w:rPr>
        <w:t>, 228–255. DOI: 10.1002/ejoc.201201161</w:t>
      </w:r>
    </w:p>
    <w:p w:rsidR="003D2C9B" w:rsidRPr="00DB1868" w:rsidRDefault="003D2C9B" w:rsidP="00DB1868">
      <w:pPr>
        <w:autoSpaceDE w:val="0"/>
        <w:autoSpaceDN w:val="0"/>
        <w:adjustRightInd w:val="0"/>
        <w:spacing w:after="0" w:line="240" w:lineRule="auto"/>
        <w:jc w:val="both"/>
        <w:rPr>
          <w:rFonts w:ascii="Arial" w:hAnsi="Arial" w:cs="Arial"/>
          <w:color w:val="263238"/>
          <w:szCs w:val="16"/>
          <w:lang w:val="en-US"/>
        </w:rPr>
      </w:pPr>
      <w:r w:rsidRPr="00DB1868">
        <w:rPr>
          <w:rFonts w:ascii="Arial" w:hAnsi="Arial" w:cs="Arial"/>
          <w:color w:val="263238"/>
          <w:szCs w:val="16"/>
          <w:lang w:val="en-US"/>
        </w:rPr>
        <w:t xml:space="preserve">P. </w:t>
      </w:r>
      <w:proofErr w:type="spellStart"/>
      <w:r w:rsidRPr="00DB1868">
        <w:rPr>
          <w:rFonts w:ascii="Arial" w:hAnsi="Arial" w:cs="Arial"/>
          <w:color w:val="263238"/>
          <w:szCs w:val="16"/>
          <w:lang w:val="en-US"/>
        </w:rPr>
        <w:t>Anant</w:t>
      </w:r>
      <w:proofErr w:type="spellEnd"/>
      <w:r w:rsidRPr="00DB1868">
        <w:rPr>
          <w:rFonts w:ascii="Arial" w:hAnsi="Arial" w:cs="Arial"/>
          <w:color w:val="263238"/>
          <w:szCs w:val="16"/>
          <w:lang w:val="en-US"/>
        </w:rPr>
        <w:t xml:space="preserve">, H. </w:t>
      </w:r>
      <w:proofErr w:type="spellStart"/>
      <w:r w:rsidRPr="00DB1868">
        <w:rPr>
          <w:rFonts w:ascii="Arial" w:hAnsi="Arial" w:cs="Arial"/>
          <w:color w:val="263238"/>
          <w:szCs w:val="16"/>
          <w:lang w:val="en-US"/>
        </w:rPr>
        <w:t>Mangold</w:t>
      </w:r>
      <w:proofErr w:type="spellEnd"/>
      <w:r w:rsidRPr="00DB1868">
        <w:rPr>
          <w:rFonts w:ascii="Arial" w:hAnsi="Arial" w:cs="Arial"/>
          <w:color w:val="263238"/>
          <w:szCs w:val="16"/>
          <w:lang w:val="en-US"/>
        </w:rPr>
        <w:t xml:space="preserve">, N. T. Lucas, F. </w:t>
      </w:r>
      <w:proofErr w:type="spellStart"/>
      <w:r w:rsidRPr="00DB1868">
        <w:rPr>
          <w:rFonts w:ascii="Arial" w:hAnsi="Arial" w:cs="Arial"/>
          <w:color w:val="263238"/>
          <w:szCs w:val="16"/>
          <w:lang w:val="en-US"/>
        </w:rPr>
        <w:t>Laquai</w:t>
      </w:r>
      <w:proofErr w:type="spellEnd"/>
      <w:r w:rsidRPr="00DB1868">
        <w:rPr>
          <w:rFonts w:ascii="Arial" w:hAnsi="Arial" w:cs="Arial"/>
          <w:color w:val="263238"/>
          <w:szCs w:val="16"/>
          <w:lang w:val="en-US"/>
        </w:rPr>
        <w:t xml:space="preserve">, J. Jacob, </w:t>
      </w:r>
      <w:r w:rsidRPr="00DB1868">
        <w:rPr>
          <w:rFonts w:ascii="Arial" w:hAnsi="Arial" w:cs="Arial"/>
          <w:i/>
          <w:iCs/>
          <w:color w:val="263238"/>
          <w:szCs w:val="16"/>
          <w:lang w:val="en-US"/>
        </w:rPr>
        <w:t>Polymer</w:t>
      </w:r>
      <w:r w:rsidRPr="00DB1868">
        <w:rPr>
          <w:rFonts w:ascii="Arial" w:hAnsi="Arial" w:cs="Arial"/>
          <w:color w:val="263238"/>
          <w:szCs w:val="16"/>
          <w:lang w:val="en-US"/>
        </w:rPr>
        <w:t xml:space="preserve">, </w:t>
      </w:r>
      <w:r w:rsidRPr="00DB1868">
        <w:rPr>
          <w:rFonts w:ascii="Arial" w:hAnsi="Arial" w:cs="Arial"/>
          <w:b/>
          <w:color w:val="263238"/>
          <w:szCs w:val="16"/>
          <w:lang w:val="en-US"/>
        </w:rPr>
        <w:t>2011</w:t>
      </w:r>
      <w:r w:rsidRPr="00DB1868">
        <w:rPr>
          <w:rFonts w:ascii="Arial" w:hAnsi="Arial" w:cs="Arial"/>
          <w:color w:val="263238"/>
          <w:szCs w:val="16"/>
          <w:lang w:val="en-US"/>
        </w:rPr>
        <w:t xml:space="preserve">, </w:t>
      </w:r>
      <w:r w:rsidRPr="00DB1868">
        <w:rPr>
          <w:rFonts w:ascii="Arial" w:hAnsi="Arial" w:cs="Arial"/>
          <w:i/>
          <w:iCs/>
          <w:color w:val="263238"/>
          <w:szCs w:val="16"/>
          <w:lang w:val="en-US"/>
        </w:rPr>
        <w:t>52</w:t>
      </w:r>
      <w:r w:rsidRPr="00DB1868">
        <w:rPr>
          <w:rFonts w:ascii="Arial" w:hAnsi="Arial" w:cs="Arial"/>
          <w:color w:val="263238"/>
          <w:szCs w:val="16"/>
          <w:lang w:val="en-US"/>
        </w:rPr>
        <w:t>, 4442–4450. DOI: 10.1016/j.polymer.2011.07.053</w:t>
      </w:r>
    </w:p>
    <w:p w:rsidR="003D2C9B" w:rsidRPr="00DB1868" w:rsidRDefault="003D2C9B" w:rsidP="00DB1868">
      <w:pPr>
        <w:autoSpaceDE w:val="0"/>
        <w:autoSpaceDN w:val="0"/>
        <w:adjustRightInd w:val="0"/>
        <w:spacing w:after="0" w:line="240" w:lineRule="auto"/>
        <w:jc w:val="both"/>
        <w:rPr>
          <w:rFonts w:ascii="Arial" w:hAnsi="Arial" w:cs="Arial"/>
          <w:color w:val="263238"/>
          <w:szCs w:val="16"/>
          <w:lang w:val="en-US"/>
        </w:rPr>
      </w:pPr>
      <w:r w:rsidRPr="00DB1868">
        <w:rPr>
          <w:rFonts w:ascii="Arial" w:hAnsi="Arial" w:cs="Arial"/>
          <w:color w:val="263238"/>
          <w:szCs w:val="16"/>
          <w:lang w:val="en-US"/>
        </w:rPr>
        <w:t xml:space="preserve">A. </w:t>
      </w:r>
      <w:proofErr w:type="spellStart"/>
      <w:r w:rsidRPr="00DB1868">
        <w:rPr>
          <w:rFonts w:ascii="Arial" w:hAnsi="Arial" w:cs="Arial"/>
          <w:color w:val="263238"/>
          <w:szCs w:val="16"/>
          <w:lang w:val="en-US"/>
        </w:rPr>
        <w:t>Pazini</w:t>
      </w:r>
      <w:proofErr w:type="spellEnd"/>
      <w:r w:rsidRPr="00DB1868">
        <w:rPr>
          <w:rFonts w:ascii="Arial" w:hAnsi="Arial" w:cs="Arial"/>
          <w:color w:val="263238"/>
          <w:szCs w:val="16"/>
          <w:lang w:val="en-US"/>
        </w:rPr>
        <w:t xml:space="preserve">, L. </w:t>
      </w:r>
      <w:proofErr w:type="spellStart"/>
      <w:r w:rsidRPr="00DB1868">
        <w:rPr>
          <w:rFonts w:ascii="Arial" w:hAnsi="Arial" w:cs="Arial"/>
          <w:color w:val="263238"/>
          <w:szCs w:val="16"/>
          <w:lang w:val="en-US"/>
        </w:rPr>
        <w:t>Maqueira</w:t>
      </w:r>
      <w:proofErr w:type="spellEnd"/>
      <w:r w:rsidRPr="00DB1868">
        <w:rPr>
          <w:rFonts w:ascii="Arial" w:hAnsi="Arial" w:cs="Arial"/>
          <w:color w:val="263238"/>
          <w:szCs w:val="16"/>
          <w:lang w:val="en-US"/>
        </w:rPr>
        <w:t xml:space="preserve">, F. </w:t>
      </w:r>
      <w:proofErr w:type="spellStart"/>
      <w:r w:rsidRPr="00DB1868">
        <w:rPr>
          <w:rFonts w:ascii="Arial" w:hAnsi="Arial" w:cs="Arial"/>
          <w:color w:val="263238"/>
          <w:szCs w:val="16"/>
          <w:lang w:val="en-US"/>
        </w:rPr>
        <w:t>Da</w:t>
      </w:r>
      <w:proofErr w:type="spellEnd"/>
      <w:r w:rsidRPr="00DB1868">
        <w:rPr>
          <w:rFonts w:ascii="Arial" w:hAnsi="Arial" w:cs="Arial"/>
          <w:color w:val="263238"/>
          <w:szCs w:val="16"/>
          <w:lang w:val="en-US"/>
        </w:rPr>
        <w:t xml:space="preserve"> </w:t>
      </w:r>
      <w:proofErr w:type="spellStart"/>
      <w:r w:rsidRPr="00DB1868">
        <w:rPr>
          <w:rFonts w:ascii="Arial" w:hAnsi="Arial" w:cs="Arial"/>
          <w:color w:val="263238"/>
          <w:szCs w:val="16"/>
          <w:lang w:val="en-US"/>
        </w:rPr>
        <w:t>Silveira</w:t>
      </w:r>
      <w:proofErr w:type="spellEnd"/>
      <w:r w:rsidRPr="00DB1868">
        <w:rPr>
          <w:rFonts w:ascii="Arial" w:hAnsi="Arial" w:cs="Arial"/>
          <w:color w:val="263238"/>
          <w:szCs w:val="16"/>
          <w:lang w:val="en-US"/>
        </w:rPr>
        <w:t xml:space="preserve"> Santos, A. R. </w:t>
      </w:r>
      <w:proofErr w:type="spellStart"/>
      <w:r w:rsidRPr="00DB1868">
        <w:rPr>
          <w:rFonts w:ascii="Arial" w:hAnsi="Arial" w:cs="Arial"/>
          <w:color w:val="263238"/>
          <w:szCs w:val="16"/>
          <w:lang w:val="en-US"/>
        </w:rPr>
        <w:t>Jardim</w:t>
      </w:r>
      <w:proofErr w:type="spellEnd"/>
      <w:r w:rsidRPr="00DB1868">
        <w:rPr>
          <w:rFonts w:ascii="Arial" w:hAnsi="Arial" w:cs="Arial"/>
          <w:color w:val="263238"/>
          <w:szCs w:val="16"/>
          <w:lang w:val="en-US"/>
        </w:rPr>
        <w:t xml:space="preserve"> </w:t>
      </w:r>
      <w:proofErr w:type="spellStart"/>
      <w:r w:rsidRPr="00DB1868">
        <w:rPr>
          <w:rFonts w:ascii="Arial" w:hAnsi="Arial" w:cs="Arial"/>
          <w:color w:val="263238"/>
          <w:szCs w:val="16"/>
          <w:lang w:val="en-US"/>
        </w:rPr>
        <w:t>Barreto</w:t>
      </w:r>
      <w:proofErr w:type="spellEnd"/>
      <w:r w:rsidRPr="00DB1868">
        <w:rPr>
          <w:rFonts w:ascii="Arial" w:hAnsi="Arial" w:cs="Arial"/>
          <w:color w:val="263238"/>
          <w:szCs w:val="16"/>
          <w:lang w:val="en-US"/>
        </w:rPr>
        <w:t xml:space="preserve">, R. dos Santos </w:t>
      </w:r>
      <w:proofErr w:type="spellStart"/>
      <w:r w:rsidRPr="00DB1868">
        <w:rPr>
          <w:rFonts w:ascii="Arial" w:hAnsi="Arial" w:cs="Arial"/>
          <w:color w:val="263238"/>
          <w:szCs w:val="16"/>
          <w:lang w:val="en-US"/>
        </w:rPr>
        <w:t>Carvalho</w:t>
      </w:r>
      <w:proofErr w:type="spellEnd"/>
      <w:r w:rsidRPr="00DB1868">
        <w:rPr>
          <w:rFonts w:ascii="Arial" w:hAnsi="Arial" w:cs="Arial"/>
          <w:color w:val="263238"/>
          <w:szCs w:val="16"/>
          <w:lang w:val="en-US"/>
        </w:rPr>
        <w:t xml:space="preserve">, F. M. </w:t>
      </w:r>
      <w:proofErr w:type="spellStart"/>
      <w:r w:rsidRPr="00DB1868">
        <w:rPr>
          <w:rFonts w:ascii="Arial" w:hAnsi="Arial" w:cs="Arial"/>
          <w:color w:val="263238"/>
          <w:szCs w:val="16"/>
          <w:lang w:val="en-US"/>
        </w:rPr>
        <w:t>Valente</w:t>
      </w:r>
      <w:proofErr w:type="spellEnd"/>
      <w:r w:rsidRPr="00DB1868">
        <w:rPr>
          <w:rFonts w:ascii="Arial" w:hAnsi="Arial" w:cs="Arial"/>
          <w:color w:val="263238"/>
          <w:szCs w:val="16"/>
          <w:lang w:val="en-US"/>
        </w:rPr>
        <w:t xml:space="preserve">, D. Back, R. </w:t>
      </w:r>
      <w:proofErr w:type="spellStart"/>
      <w:r w:rsidRPr="00DB1868">
        <w:rPr>
          <w:rFonts w:ascii="Arial" w:hAnsi="Arial" w:cs="Arial"/>
          <w:color w:val="263238"/>
          <w:szCs w:val="16"/>
          <w:lang w:val="en-US"/>
        </w:rPr>
        <w:t>Queiroz</w:t>
      </w:r>
      <w:proofErr w:type="spellEnd"/>
      <w:r w:rsidRPr="00DB1868">
        <w:rPr>
          <w:rFonts w:ascii="Arial" w:hAnsi="Arial" w:cs="Arial"/>
          <w:color w:val="263238"/>
          <w:szCs w:val="16"/>
          <w:lang w:val="en-US"/>
        </w:rPr>
        <w:t xml:space="preserve"> </w:t>
      </w:r>
      <w:proofErr w:type="spellStart"/>
      <w:r w:rsidRPr="00DB1868">
        <w:rPr>
          <w:rFonts w:ascii="Arial" w:hAnsi="Arial" w:cs="Arial"/>
          <w:color w:val="263238"/>
          <w:szCs w:val="16"/>
          <w:lang w:val="en-US"/>
        </w:rPr>
        <w:t>Aucélio</w:t>
      </w:r>
      <w:proofErr w:type="spellEnd"/>
      <w:r w:rsidRPr="00DB1868">
        <w:rPr>
          <w:rFonts w:ascii="Arial" w:hAnsi="Arial" w:cs="Arial"/>
          <w:color w:val="263238"/>
          <w:szCs w:val="16"/>
          <w:lang w:val="en-US"/>
        </w:rPr>
        <w:t xml:space="preserve">, M. Cremona, F. </w:t>
      </w:r>
      <w:proofErr w:type="spellStart"/>
      <w:r w:rsidRPr="00DB1868">
        <w:rPr>
          <w:rFonts w:ascii="Arial" w:hAnsi="Arial" w:cs="Arial"/>
          <w:color w:val="263238"/>
          <w:szCs w:val="16"/>
          <w:lang w:val="en-US"/>
        </w:rPr>
        <w:t>Severo</w:t>
      </w:r>
      <w:proofErr w:type="spellEnd"/>
      <w:r w:rsidRPr="00DB1868">
        <w:rPr>
          <w:rFonts w:ascii="Arial" w:hAnsi="Arial" w:cs="Arial"/>
          <w:color w:val="263238"/>
          <w:szCs w:val="16"/>
          <w:lang w:val="en-US"/>
        </w:rPr>
        <w:t xml:space="preserve"> </w:t>
      </w:r>
      <w:proofErr w:type="spellStart"/>
      <w:r w:rsidRPr="00DB1868">
        <w:rPr>
          <w:rFonts w:ascii="Arial" w:hAnsi="Arial" w:cs="Arial"/>
          <w:color w:val="263238"/>
          <w:szCs w:val="16"/>
          <w:lang w:val="en-US"/>
        </w:rPr>
        <w:t>Rodembusch</w:t>
      </w:r>
      <w:proofErr w:type="spellEnd"/>
      <w:r w:rsidRPr="00DB1868">
        <w:rPr>
          <w:rFonts w:ascii="Arial" w:hAnsi="Arial" w:cs="Arial"/>
          <w:color w:val="263238"/>
          <w:szCs w:val="16"/>
          <w:lang w:val="en-US"/>
        </w:rPr>
        <w:t xml:space="preserve">, J. </w:t>
      </w:r>
      <w:proofErr w:type="spellStart"/>
      <w:r w:rsidRPr="00DB1868">
        <w:rPr>
          <w:rFonts w:ascii="Arial" w:hAnsi="Arial" w:cs="Arial"/>
          <w:color w:val="263238"/>
          <w:szCs w:val="16"/>
          <w:lang w:val="en-US"/>
        </w:rPr>
        <w:t>Limberges</w:t>
      </w:r>
      <w:proofErr w:type="spellEnd"/>
      <w:r w:rsidRPr="00DB1868">
        <w:rPr>
          <w:rFonts w:ascii="Arial" w:hAnsi="Arial" w:cs="Arial"/>
          <w:color w:val="263238"/>
          <w:szCs w:val="16"/>
          <w:lang w:val="en-US"/>
        </w:rPr>
        <w:t xml:space="preserve">, </w:t>
      </w:r>
      <w:r w:rsidRPr="00DB1868">
        <w:rPr>
          <w:rFonts w:ascii="Arial" w:hAnsi="Arial" w:cs="Arial"/>
          <w:i/>
          <w:iCs/>
          <w:color w:val="263238"/>
          <w:szCs w:val="16"/>
          <w:lang w:val="en-US"/>
        </w:rPr>
        <w:t xml:space="preserve">Dyes </w:t>
      </w:r>
      <w:proofErr w:type="spellStart"/>
      <w:proofErr w:type="gramStart"/>
      <w:r w:rsidRPr="00DB1868">
        <w:rPr>
          <w:rFonts w:ascii="Arial" w:hAnsi="Arial" w:cs="Arial"/>
          <w:i/>
          <w:iCs/>
          <w:color w:val="263238"/>
          <w:szCs w:val="16"/>
          <w:lang w:val="en-US"/>
        </w:rPr>
        <w:t>Pigm</w:t>
      </w:r>
      <w:proofErr w:type="spellEnd"/>
      <w:r w:rsidRPr="00DB1868">
        <w:rPr>
          <w:rFonts w:ascii="Arial" w:hAnsi="Arial" w:cs="Arial"/>
          <w:i/>
          <w:iCs/>
          <w:color w:val="263238"/>
          <w:szCs w:val="16"/>
          <w:lang w:val="en-US"/>
        </w:rPr>
        <w:t>.</w:t>
      </w:r>
      <w:r w:rsidRPr="00DB1868">
        <w:rPr>
          <w:rFonts w:ascii="Arial" w:hAnsi="Arial" w:cs="Arial"/>
          <w:color w:val="263238"/>
          <w:szCs w:val="16"/>
          <w:lang w:val="en-US"/>
        </w:rPr>
        <w:t>,</w:t>
      </w:r>
      <w:proofErr w:type="gramEnd"/>
      <w:r w:rsidRPr="00DB1868">
        <w:rPr>
          <w:rFonts w:ascii="Arial" w:hAnsi="Arial" w:cs="Arial"/>
          <w:color w:val="263238"/>
          <w:szCs w:val="16"/>
          <w:lang w:val="en-US"/>
        </w:rPr>
        <w:t xml:space="preserve"> </w:t>
      </w:r>
      <w:r w:rsidRPr="00DB1868">
        <w:rPr>
          <w:rFonts w:ascii="Arial" w:hAnsi="Arial" w:cs="Arial"/>
          <w:b/>
          <w:color w:val="263238"/>
          <w:szCs w:val="16"/>
          <w:lang w:val="en-US"/>
        </w:rPr>
        <w:t>2020</w:t>
      </w:r>
      <w:r w:rsidRPr="00DB1868">
        <w:rPr>
          <w:rFonts w:ascii="Arial" w:hAnsi="Arial" w:cs="Arial"/>
          <w:color w:val="263238"/>
          <w:szCs w:val="16"/>
          <w:lang w:val="en-US"/>
        </w:rPr>
        <w:t xml:space="preserve">, </w:t>
      </w:r>
      <w:r w:rsidRPr="00DB1868">
        <w:rPr>
          <w:rFonts w:ascii="Arial" w:hAnsi="Arial" w:cs="Arial"/>
          <w:i/>
          <w:iCs/>
          <w:color w:val="263238"/>
          <w:szCs w:val="16"/>
          <w:lang w:val="en-US"/>
        </w:rPr>
        <w:t>178</w:t>
      </w:r>
      <w:r w:rsidRPr="00DB1868">
        <w:rPr>
          <w:rFonts w:ascii="Arial" w:hAnsi="Arial" w:cs="Arial"/>
          <w:color w:val="263238"/>
          <w:szCs w:val="16"/>
          <w:lang w:val="en-US"/>
        </w:rPr>
        <w:t>, 1083771. DOI: 10.1016/j.dyepig.2020.108377</w:t>
      </w:r>
    </w:p>
    <w:p w:rsidR="003D2C9B" w:rsidRPr="00DB1868" w:rsidRDefault="003D2C9B" w:rsidP="00DB1868">
      <w:pPr>
        <w:autoSpaceDE w:val="0"/>
        <w:autoSpaceDN w:val="0"/>
        <w:adjustRightInd w:val="0"/>
        <w:spacing w:after="0" w:line="240" w:lineRule="auto"/>
        <w:jc w:val="both"/>
        <w:rPr>
          <w:rFonts w:ascii="Arial" w:hAnsi="Arial" w:cs="Arial"/>
          <w:color w:val="263238"/>
          <w:szCs w:val="16"/>
          <w:lang w:val="en-US"/>
        </w:rPr>
      </w:pPr>
      <w:r w:rsidRPr="00DB1868">
        <w:rPr>
          <w:rFonts w:ascii="Arial" w:hAnsi="Arial" w:cs="Arial"/>
          <w:color w:val="263238"/>
          <w:szCs w:val="16"/>
          <w:lang w:val="en-US"/>
        </w:rPr>
        <w:t xml:space="preserve">R. Liu, C. Zhou, Q. Ding, L. </w:t>
      </w:r>
      <w:proofErr w:type="spellStart"/>
      <w:r w:rsidRPr="00DB1868">
        <w:rPr>
          <w:rFonts w:ascii="Arial" w:hAnsi="Arial" w:cs="Arial"/>
          <w:color w:val="263238"/>
          <w:szCs w:val="16"/>
          <w:lang w:val="en-US"/>
        </w:rPr>
        <w:t>Qu</w:t>
      </w:r>
      <w:proofErr w:type="spellEnd"/>
      <w:r w:rsidRPr="00DB1868">
        <w:rPr>
          <w:rFonts w:ascii="Arial" w:hAnsi="Arial" w:cs="Arial"/>
          <w:color w:val="263238"/>
          <w:szCs w:val="16"/>
          <w:lang w:val="en-US"/>
        </w:rPr>
        <w:t xml:space="preserve">, K. Wang, H. Tang, Y. Li, C. Yang, </w:t>
      </w:r>
      <w:r w:rsidRPr="00DB1868">
        <w:rPr>
          <w:rFonts w:ascii="Arial" w:hAnsi="Arial" w:cs="Arial"/>
          <w:i/>
          <w:iCs/>
          <w:color w:val="263238"/>
          <w:szCs w:val="16"/>
          <w:lang w:val="en-US"/>
        </w:rPr>
        <w:t xml:space="preserve">Dyes </w:t>
      </w:r>
      <w:proofErr w:type="spellStart"/>
      <w:r w:rsidRPr="00DB1868">
        <w:rPr>
          <w:rFonts w:ascii="Arial" w:hAnsi="Arial" w:cs="Arial"/>
          <w:i/>
          <w:iCs/>
          <w:color w:val="263238"/>
          <w:szCs w:val="16"/>
          <w:lang w:val="en-US"/>
        </w:rPr>
        <w:t>Pigm</w:t>
      </w:r>
      <w:proofErr w:type="spellEnd"/>
      <w:r w:rsidRPr="00DB1868">
        <w:rPr>
          <w:rFonts w:ascii="Arial" w:hAnsi="Arial" w:cs="Arial"/>
          <w:i/>
          <w:iCs/>
          <w:color w:val="263238"/>
          <w:szCs w:val="16"/>
          <w:lang w:val="en-US"/>
        </w:rPr>
        <w:t>.</w:t>
      </w:r>
      <w:r w:rsidRPr="00DB1868">
        <w:rPr>
          <w:rFonts w:ascii="Arial" w:hAnsi="Arial" w:cs="Arial"/>
          <w:color w:val="263238"/>
          <w:szCs w:val="16"/>
          <w:lang w:val="en-US"/>
        </w:rPr>
        <w:t xml:space="preserve">, </w:t>
      </w:r>
      <w:r w:rsidRPr="00DB1868">
        <w:rPr>
          <w:rFonts w:ascii="Arial" w:hAnsi="Arial" w:cs="Arial"/>
          <w:b/>
          <w:color w:val="263238"/>
          <w:szCs w:val="16"/>
          <w:lang w:val="en-US"/>
        </w:rPr>
        <w:t>2023</w:t>
      </w:r>
      <w:r w:rsidRPr="00DB1868">
        <w:rPr>
          <w:rFonts w:ascii="Arial" w:hAnsi="Arial" w:cs="Arial"/>
          <w:color w:val="263238"/>
          <w:szCs w:val="16"/>
          <w:lang w:val="en-US"/>
        </w:rPr>
        <w:t xml:space="preserve">, </w:t>
      </w:r>
      <w:r w:rsidRPr="00DB1868">
        <w:rPr>
          <w:rFonts w:ascii="Arial" w:hAnsi="Arial" w:cs="Arial"/>
          <w:i/>
          <w:iCs/>
          <w:color w:val="263238"/>
          <w:szCs w:val="16"/>
          <w:lang w:val="en-US"/>
        </w:rPr>
        <w:t>219</w:t>
      </w:r>
      <w:r w:rsidRPr="00DB1868">
        <w:rPr>
          <w:rFonts w:ascii="Arial" w:hAnsi="Arial" w:cs="Arial"/>
          <w:color w:val="263238"/>
          <w:szCs w:val="16"/>
          <w:lang w:val="en-US"/>
        </w:rPr>
        <w:t>, 111588. DOI: 10.1016/j.dyepig.2023.111588</w:t>
      </w:r>
    </w:p>
    <w:p w:rsidR="003D2C9B" w:rsidRPr="00DB1868" w:rsidRDefault="003D2C9B" w:rsidP="00DB1868">
      <w:pPr>
        <w:autoSpaceDE w:val="0"/>
        <w:autoSpaceDN w:val="0"/>
        <w:adjustRightInd w:val="0"/>
        <w:spacing w:after="0" w:line="240" w:lineRule="auto"/>
        <w:jc w:val="both"/>
        <w:rPr>
          <w:rFonts w:ascii="Arial" w:hAnsi="Arial" w:cs="Arial"/>
          <w:color w:val="263238"/>
          <w:szCs w:val="16"/>
          <w:lang w:val="en-US"/>
        </w:rPr>
      </w:pPr>
      <w:r w:rsidRPr="00DB1868">
        <w:rPr>
          <w:rFonts w:ascii="Arial" w:hAnsi="Arial" w:cs="Arial"/>
          <w:color w:val="263238"/>
          <w:szCs w:val="16"/>
          <w:lang w:val="en-US"/>
        </w:rPr>
        <w:t xml:space="preserve">V. A. </w:t>
      </w:r>
      <w:proofErr w:type="spellStart"/>
      <w:r w:rsidRPr="00DB1868">
        <w:rPr>
          <w:rFonts w:ascii="Arial" w:hAnsi="Arial" w:cs="Arial"/>
          <w:color w:val="263238"/>
          <w:szCs w:val="16"/>
          <w:lang w:val="en-US"/>
        </w:rPr>
        <w:t>Postnikov</w:t>
      </w:r>
      <w:proofErr w:type="spellEnd"/>
      <w:r w:rsidRPr="00DB1868">
        <w:rPr>
          <w:rFonts w:ascii="Arial" w:hAnsi="Arial" w:cs="Arial"/>
          <w:color w:val="263238"/>
          <w:szCs w:val="16"/>
          <w:lang w:val="en-US"/>
        </w:rPr>
        <w:t xml:space="preserve">, G. A. </w:t>
      </w:r>
      <w:proofErr w:type="spellStart"/>
      <w:r w:rsidRPr="00DB1868">
        <w:rPr>
          <w:rFonts w:ascii="Arial" w:hAnsi="Arial" w:cs="Arial"/>
          <w:color w:val="263238"/>
          <w:szCs w:val="16"/>
          <w:lang w:val="en-US"/>
        </w:rPr>
        <w:t>Yurasik</w:t>
      </w:r>
      <w:proofErr w:type="spellEnd"/>
      <w:r w:rsidRPr="00DB1868">
        <w:rPr>
          <w:rFonts w:ascii="Arial" w:hAnsi="Arial" w:cs="Arial"/>
          <w:color w:val="263238"/>
          <w:szCs w:val="16"/>
          <w:lang w:val="en-US"/>
        </w:rPr>
        <w:t xml:space="preserve">, A. A. </w:t>
      </w:r>
      <w:proofErr w:type="spellStart"/>
      <w:r w:rsidRPr="00DB1868">
        <w:rPr>
          <w:rFonts w:ascii="Arial" w:hAnsi="Arial" w:cs="Arial"/>
          <w:color w:val="263238"/>
          <w:szCs w:val="16"/>
          <w:lang w:val="en-US"/>
        </w:rPr>
        <w:t>Kulishov</w:t>
      </w:r>
      <w:proofErr w:type="spellEnd"/>
      <w:r w:rsidRPr="00DB1868">
        <w:rPr>
          <w:rFonts w:ascii="Arial" w:hAnsi="Arial" w:cs="Arial"/>
          <w:color w:val="263238"/>
          <w:szCs w:val="16"/>
          <w:lang w:val="en-US"/>
        </w:rPr>
        <w:t xml:space="preserve">, M. S. </w:t>
      </w:r>
      <w:proofErr w:type="spellStart"/>
      <w:r w:rsidRPr="00DB1868">
        <w:rPr>
          <w:rFonts w:ascii="Arial" w:hAnsi="Arial" w:cs="Arial"/>
          <w:color w:val="263238"/>
          <w:szCs w:val="16"/>
          <w:lang w:val="en-US"/>
        </w:rPr>
        <w:t>Lyasnikova</w:t>
      </w:r>
      <w:proofErr w:type="spellEnd"/>
      <w:r w:rsidRPr="00DB1868">
        <w:rPr>
          <w:rFonts w:ascii="Arial" w:hAnsi="Arial" w:cs="Arial"/>
          <w:color w:val="263238"/>
          <w:szCs w:val="16"/>
          <w:lang w:val="en-US"/>
        </w:rPr>
        <w:t xml:space="preserve">, O. V. </w:t>
      </w:r>
      <w:proofErr w:type="spellStart"/>
      <w:r w:rsidRPr="00DB1868">
        <w:rPr>
          <w:rFonts w:ascii="Arial" w:hAnsi="Arial" w:cs="Arial"/>
          <w:color w:val="263238"/>
          <w:szCs w:val="16"/>
          <w:lang w:val="en-US"/>
        </w:rPr>
        <w:t>Borshchev</w:t>
      </w:r>
      <w:proofErr w:type="spellEnd"/>
      <w:r w:rsidRPr="00DB1868">
        <w:rPr>
          <w:rFonts w:ascii="Arial" w:hAnsi="Arial" w:cs="Arial"/>
          <w:color w:val="263238"/>
          <w:szCs w:val="16"/>
          <w:lang w:val="en-US"/>
        </w:rPr>
        <w:t xml:space="preserve">, E. A. </w:t>
      </w:r>
      <w:proofErr w:type="spellStart"/>
      <w:r w:rsidRPr="00DB1868">
        <w:rPr>
          <w:rFonts w:ascii="Arial" w:hAnsi="Arial" w:cs="Arial"/>
          <w:color w:val="263238"/>
          <w:szCs w:val="16"/>
          <w:lang w:val="en-US"/>
        </w:rPr>
        <w:t>Svidchenko</w:t>
      </w:r>
      <w:proofErr w:type="spellEnd"/>
      <w:r w:rsidRPr="00DB1868">
        <w:rPr>
          <w:rFonts w:ascii="Arial" w:hAnsi="Arial" w:cs="Arial"/>
          <w:color w:val="263238"/>
          <w:szCs w:val="16"/>
          <w:lang w:val="en-US"/>
        </w:rPr>
        <w:t xml:space="preserve">, N. M. </w:t>
      </w:r>
      <w:proofErr w:type="spellStart"/>
      <w:r w:rsidRPr="00DB1868">
        <w:rPr>
          <w:rFonts w:ascii="Arial" w:hAnsi="Arial" w:cs="Arial"/>
          <w:color w:val="263238"/>
          <w:szCs w:val="16"/>
          <w:lang w:val="en-US"/>
        </w:rPr>
        <w:t>Surin</w:t>
      </w:r>
      <w:proofErr w:type="spellEnd"/>
      <w:r w:rsidRPr="00DB1868">
        <w:rPr>
          <w:rFonts w:ascii="Arial" w:hAnsi="Arial" w:cs="Arial"/>
          <w:color w:val="263238"/>
          <w:szCs w:val="16"/>
          <w:lang w:val="en-US"/>
        </w:rPr>
        <w:t xml:space="preserve">, </w:t>
      </w:r>
      <w:proofErr w:type="spellStart"/>
      <w:r w:rsidRPr="00DB1868">
        <w:rPr>
          <w:rFonts w:ascii="Arial" w:hAnsi="Arial" w:cs="Arial"/>
          <w:i/>
          <w:iCs/>
          <w:color w:val="263238"/>
          <w:szCs w:val="16"/>
          <w:lang w:val="en-US"/>
        </w:rPr>
        <w:t>Crystallogr</w:t>
      </w:r>
      <w:proofErr w:type="spellEnd"/>
      <w:r w:rsidRPr="00DB1868">
        <w:rPr>
          <w:rFonts w:ascii="Arial" w:hAnsi="Arial" w:cs="Arial"/>
          <w:i/>
          <w:iCs/>
          <w:color w:val="263238"/>
          <w:szCs w:val="16"/>
          <w:lang w:val="en-US"/>
        </w:rPr>
        <w:t>. Rep.</w:t>
      </w:r>
      <w:r w:rsidRPr="00DB1868">
        <w:rPr>
          <w:rFonts w:ascii="Arial" w:hAnsi="Arial" w:cs="Arial"/>
          <w:color w:val="263238"/>
          <w:szCs w:val="16"/>
          <w:lang w:val="en-US"/>
        </w:rPr>
        <w:t xml:space="preserve">, </w:t>
      </w:r>
      <w:r w:rsidRPr="00DB1868">
        <w:rPr>
          <w:rFonts w:ascii="Arial" w:hAnsi="Arial" w:cs="Arial"/>
          <w:b/>
          <w:color w:val="263238"/>
          <w:szCs w:val="16"/>
          <w:lang w:val="en-US"/>
        </w:rPr>
        <w:t>2021</w:t>
      </w:r>
      <w:r w:rsidRPr="00DB1868">
        <w:rPr>
          <w:rFonts w:ascii="Arial" w:hAnsi="Arial" w:cs="Arial"/>
          <w:color w:val="263238"/>
          <w:szCs w:val="16"/>
          <w:lang w:val="en-US"/>
        </w:rPr>
        <w:t xml:space="preserve">, </w:t>
      </w:r>
      <w:r w:rsidRPr="00DB1868">
        <w:rPr>
          <w:rFonts w:ascii="Arial" w:hAnsi="Arial" w:cs="Arial"/>
          <w:i/>
          <w:iCs/>
          <w:color w:val="263238"/>
          <w:szCs w:val="16"/>
          <w:lang w:val="en-US"/>
        </w:rPr>
        <w:t>66</w:t>
      </w:r>
      <w:r w:rsidRPr="00DB1868">
        <w:rPr>
          <w:rFonts w:ascii="Arial" w:hAnsi="Arial" w:cs="Arial"/>
          <w:color w:val="263238"/>
          <w:szCs w:val="16"/>
          <w:lang w:val="en-US"/>
        </w:rPr>
        <w:t>, 1125–1132. DOI: 10.1134/S1063774521060262</w:t>
      </w:r>
    </w:p>
    <w:p w:rsidR="003D2C9B" w:rsidRPr="00DB1868" w:rsidRDefault="003D2C9B" w:rsidP="00DB1868">
      <w:pPr>
        <w:autoSpaceDE w:val="0"/>
        <w:autoSpaceDN w:val="0"/>
        <w:adjustRightInd w:val="0"/>
        <w:spacing w:after="0" w:line="240" w:lineRule="auto"/>
        <w:jc w:val="both"/>
        <w:rPr>
          <w:rFonts w:ascii="Arial" w:hAnsi="Arial" w:cs="Arial"/>
          <w:color w:val="263238"/>
          <w:szCs w:val="16"/>
          <w:lang w:val="en-US"/>
        </w:rPr>
      </w:pPr>
      <w:r w:rsidRPr="00DB1868">
        <w:rPr>
          <w:rFonts w:ascii="Arial" w:hAnsi="Arial" w:cs="Arial"/>
          <w:color w:val="263238"/>
          <w:szCs w:val="16"/>
          <w:lang w:val="en-US"/>
        </w:rPr>
        <w:lastRenderedPageBreak/>
        <w:t xml:space="preserve">M. S. </w:t>
      </w:r>
      <w:proofErr w:type="spellStart"/>
      <w:r w:rsidRPr="00DB1868">
        <w:rPr>
          <w:rFonts w:ascii="Arial" w:hAnsi="Arial" w:cs="Arial"/>
          <w:color w:val="263238"/>
          <w:szCs w:val="16"/>
          <w:lang w:val="en-US"/>
        </w:rPr>
        <w:t>Skorotetcky</w:t>
      </w:r>
      <w:proofErr w:type="spellEnd"/>
      <w:r w:rsidRPr="00DB1868">
        <w:rPr>
          <w:rFonts w:ascii="Arial" w:hAnsi="Arial" w:cs="Arial"/>
          <w:color w:val="263238"/>
          <w:szCs w:val="16"/>
          <w:lang w:val="en-US"/>
        </w:rPr>
        <w:t xml:space="preserve">, E. D. </w:t>
      </w:r>
      <w:proofErr w:type="spellStart"/>
      <w:r w:rsidRPr="00DB1868">
        <w:rPr>
          <w:rFonts w:ascii="Arial" w:hAnsi="Arial" w:cs="Arial"/>
          <w:color w:val="263238"/>
          <w:szCs w:val="16"/>
          <w:lang w:val="en-US"/>
        </w:rPr>
        <w:t>Krivtsova</w:t>
      </w:r>
      <w:proofErr w:type="spellEnd"/>
      <w:r w:rsidRPr="00DB1868">
        <w:rPr>
          <w:rFonts w:ascii="Arial" w:hAnsi="Arial" w:cs="Arial"/>
          <w:color w:val="263238"/>
          <w:szCs w:val="16"/>
          <w:lang w:val="en-US"/>
        </w:rPr>
        <w:t xml:space="preserve">, O. V. </w:t>
      </w:r>
      <w:proofErr w:type="spellStart"/>
      <w:r w:rsidRPr="00DB1868">
        <w:rPr>
          <w:rFonts w:ascii="Arial" w:hAnsi="Arial" w:cs="Arial"/>
          <w:color w:val="263238"/>
          <w:szCs w:val="16"/>
          <w:lang w:val="en-US"/>
        </w:rPr>
        <w:t>Borshchev</w:t>
      </w:r>
      <w:proofErr w:type="spellEnd"/>
      <w:r w:rsidRPr="00DB1868">
        <w:rPr>
          <w:rFonts w:ascii="Arial" w:hAnsi="Arial" w:cs="Arial"/>
          <w:color w:val="263238"/>
          <w:szCs w:val="16"/>
          <w:lang w:val="en-US"/>
        </w:rPr>
        <w:t xml:space="preserve">, N. M. </w:t>
      </w:r>
      <w:proofErr w:type="spellStart"/>
      <w:r w:rsidRPr="00DB1868">
        <w:rPr>
          <w:rFonts w:ascii="Arial" w:hAnsi="Arial" w:cs="Arial"/>
          <w:color w:val="263238"/>
          <w:szCs w:val="16"/>
          <w:lang w:val="en-US"/>
        </w:rPr>
        <w:t>Surin</w:t>
      </w:r>
      <w:proofErr w:type="spellEnd"/>
      <w:r w:rsidRPr="00DB1868">
        <w:rPr>
          <w:rFonts w:ascii="Arial" w:hAnsi="Arial" w:cs="Arial"/>
          <w:color w:val="263238"/>
          <w:szCs w:val="16"/>
          <w:lang w:val="en-US"/>
        </w:rPr>
        <w:t xml:space="preserve">, E. A. </w:t>
      </w:r>
      <w:proofErr w:type="spellStart"/>
      <w:r w:rsidRPr="00DB1868">
        <w:rPr>
          <w:rFonts w:ascii="Arial" w:hAnsi="Arial" w:cs="Arial"/>
          <w:color w:val="263238"/>
          <w:szCs w:val="16"/>
          <w:lang w:val="en-US"/>
        </w:rPr>
        <w:t>Svidchenko</w:t>
      </w:r>
      <w:proofErr w:type="spellEnd"/>
      <w:r w:rsidRPr="00DB1868">
        <w:rPr>
          <w:rFonts w:ascii="Arial" w:hAnsi="Arial" w:cs="Arial"/>
          <w:color w:val="263238"/>
          <w:szCs w:val="16"/>
          <w:lang w:val="en-US"/>
        </w:rPr>
        <w:t xml:space="preserve">, Y. V. </w:t>
      </w:r>
      <w:proofErr w:type="spellStart"/>
      <w:r w:rsidRPr="00DB1868">
        <w:rPr>
          <w:rFonts w:ascii="Arial" w:hAnsi="Arial" w:cs="Arial"/>
          <w:color w:val="263238"/>
          <w:szCs w:val="16"/>
          <w:lang w:val="en-US"/>
        </w:rPr>
        <w:t>Fedorov</w:t>
      </w:r>
      <w:proofErr w:type="spellEnd"/>
      <w:r w:rsidRPr="00DB1868">
        <w:rPr>
          <w:rFonts w:ascii="Arial" w:hAnsi="Arial" w:cs="Arial"/>
          <w:color w:val="263238"/>
          <w:szCs w:val="16"/>
          <w:lang w:val="en-US"/>
        </w:rPr>
        <w:t xml:space="preserve">, S. A. </w:t>
      </w:r>
      <w:proofErr w:type="spellStart"/>
      <w:r w:rsidRPr="00DB1868">
        <w:rPr>
          <w:rFonts w:ascii="Arial" w:hAnsi="Arial" w:cs="Arial"/>
          <w:color w:val="263238"/>
          <w:szCs w:val="16"/>
          <w:lang w:val="en-US"/>
        </w:rPr>
        <w:t>Pisarev</w:t>
      </w:r>
      <w:proofErr w:type="spellEnd"/>
      <w:r w:rsidRPr="00DB1868">
        <w:rPr>
          <w:rFonts w:ascii="Arial" w:hAnsi="Arial" w:cs="Arial"/>
          <w:color w:val="263238"/>
          <w:szCs w:val="16"/>
          <w:lang w:val="en-US"/>
        </w:rPr>
        <w:t xml:space="preserve">, S. A. </w:t>
      </w:r>
      <w:proofErr w:type="spellStart"/>
      <w:r w:rsidRPr="00DB1868">
        <w:rPr>
          <w:rFonts w:ascii="Arial" w:hAnsi="Arial" w:cs="Arial"/>
          <w:color w:val="263238"/>
          <w:szCs w:val="16"/>
          <w:lang w:val="en-US"/>
        </w:rPr>
        <w:t>Ponomaremko</w:t>
      </w:r>
      <w:proofErr w:type="spellEnd"/>
      <w:r w:rsidRPr="00DB1868">
        <w:rPr>
          <w:rFonts w:ascii="Arial" w:hAnsi="Arial" w:cs="Arial"/>
          <w:color w:val="263238"/>
          <w:szCs w:val="16"/>
          <w:lang w:val="en-US"/>
        </w:rPr>
        <w:t xml:space="preserve">, </w:t>
      </w:r>
      <w:r w:rsidRPr="00DB1868">
        <w:rPr>
          <w:rFonts w:ascii="Arial" w:hAnsi="Arial" w:cs="Arial"/>
          <w:i/>
          <w:iCs/>
          <w:color w:val="263238"/>
          <w:szCs w:val="16"/>
          <w:lang w:val="en-US"/>
        </w:rPr>
        <w:t xml:space="preserve">Dyes </w:t>
      </w:r>
      <w:proofErr w:type="spellStart"/>
      <w:r w:rsidRPr="00DB1868">
        <w:rPr>
          <w:rFonts w:ascii="Arial" w:hAnsi="Arial" w:cs="Arial"/>
          <w:i/>
          <w:iCs/>
          <w:color w:val="263238"/>
          <w:szCs w:val="16"/>
          <w:lang w:val="en-US"/>
        </w:rPr>
        <w:t>Pigm</w:t>
      </w:r>
      <w:proofErr w:type="spellEnd"/>
      <w:r w:rsidRPr="00DB1868">
        <w:rPr>
          <w:rFonts w:ascii="Arial" w:hAnsi="Arial" w:cs="Arial"/>
          <w:i/>
          <w:iCs/>
          <w:color w:val="263238"/>
          <w:szCs w:val="16"/>
          <w:lang w:val="en-US"/>
        </w:rPr>
        <w:t>.</w:t>
      </w:r>
      <w:r w:rsidRPr="00DB1868">
        <w:rPr>
          <w:rFonts w:ascii="Arial" w:hAnsi="Arial" w:cs="Arial"/>
          <w:color w:val="263238"/>
          <w:szCs w:val="16"/>
          <w:lang w:val="en-US"/>
        </w:rPr>
        <w:t xml:space="preserve">, </w:t>
      </w:r>
      <w:r w:rsidRPr="00DB1868">
        <w:rPr>
          <w:rFonts w:ascii="Arial" w:hAnsi="Arial" w:cs="Arial"/>
          <w:b/>
          <w:color w:val="263238"/>
          <w:szCs w:val="16"/>
          <w:lang w:val="en-US"/>
        </w:rPr>
        <w:t>2018</w:t>
      </w:r>
      <w:r w:rsidRPr="00DB1868">
        <w:rPr>
          <w:rFonts w:ascii="Arial" w:hAnsi="Arial" w:cs="Arial"/>
          <w:color w:val="263238"/>
          <w:szCs w:val="16"/>
          <w:lang w:val="en-US"/>
        </w:rPr>
        <w:t xml:space="preserve">, </w:t>
      </w:r>
      <w:r w:rsidRPr="00DB1868">
        <w:rPr>
          <w:rFonts w:ascii="Arial" w:hAnsi="Arial" w:cs="Arial"/>
          <w:i/>
          <w:iCs/>
          <w:color w:val="263238"/>
          <w:szCs w:val="16"/>
          <w:lang w:val="en-US"/>
        </w:rPr>
        <w:t>155</w:t>
      </w:r>
      <w:r w:rsidRPr="00DB1868">
        <w:rPr>
          <w:rFonts w:ascii="Arial" w:hAnsi="Arial" w:cs="Arial"/>
          <w:color w:val="263238"/>
          <w:szCs w:val="16"/>
          <w:lang w:val="en-US"/>
        </w:rPr>
        <w:t>, 284–291. DOI: 10.1016/j.dyepig.2018.03.043</w:t>
      </w:r>
    </w:p>
    <w:p w:rsidR="003D2C9B" w:rsidRPr="00DB1868" w:rsidRDefault="003D2C9B" w:rsidP="00DB1868">
      <w:pPr>
        <w:autoSpaceDE w:val="0"/>
        <w:autoSpaceDN w:val="0"/>
        <w:adjustRightInd w:val="0"/>
        <w:spacing w:after="0" w:line="240" w:lineRule="auto"/>
        <w:jc w:val="both"/>
        <w:rPr>
          <w:rFonts w:ascii="Arial" w:eastAsia="Newton-Regular" w:hAnsi="Arial" w:cs="Arial"/>
          <w:color w:val="263238"/>
          <w:szCs w:val="16"/>
          <w:lang w:val="en-US"/>
        </w:rPr>
      </w:pPr>
      <w:r w:rsidRPr="00DB1868">
        <w:rPr>
          <w:rFonts w:ascii="Arial" w:eastAsia="Newton-Regular" w:hAnsi="Arial" w:cs="Arial"/>
          <w:color w:val="263238"/>
          <w:szCs w:val="16"/>
          <w:lang w:val="en-US"/>
        </w:rPr>
        <w:t xml:space="preserve">R. S. </w:t>
      </w:r>
      <w:proofErr w:type="spellStart"/>
      <w:r w:rsidRPr="00DB1868">
        <w:rPr>
          <w:rFonts w:ascii="Arial" w:eastAsia="Newton-Regular" w:hAnsi="Arial" w:cs="Arial"/>
          <w:color w:val="263238"/>
          <w:szCs w:val="16"/>
          <w:lang w:val="en-US"/>
        </w:rPr>
        <w:t>Fedorenko</w:t>
      </w:r>
      <w:proofErr w:type="spellEnd"/>
      <w:r w:rsidRPr="00DB1868">
        <w:rPr>
          <w:rFonts w:ascii="Arial" w:eastAsia="Newton-Regular" w:hAnsi="Arial" w:cs="Arial"/>
          <w:color w:val="263238"/>
          <w:szCs w:val="16"/>
          <w:lang w:val="en-US"/>
        </w:rPr>
        <w:t xml:space="preserve">, A. V. </w:t>
      </w:r>
      <w:proofErr w:type="spellStart"/>
      <w:r w:rsidRPr="00DB1868">
        <w:rPr>
          <w:rFonts w:ascii="Arial" w:eastAsia="Newton-Regular" w:hAnsi="Arial" w:cs="Arial"/>
          <w:color w:val="263238"/>
          <w:szCs w:val="16"/>
          <w:lang w:val="en-US"/>
        </w:rPr>
        <w:t>Kuevda</w:t>
      </w:r>
      <w:proofErr w:type="spellEnd"/>
      <w:r w:rsidRPr="00DB1868">
        <w:rPr>
          <w:rFonts w:ascii="Arial" w:eastAsia="Newton-Regular" w:hAnsi="Arial" w:cs="Arial"/>
          <w:color w:val="263238"/>
          <w:szCs w:val="16"/>
          <w:lang w:val="en-US"/>
        </w:rPr>
        <w:t xml:space="preserve">, V. A. </w:t>
      </w:r>
      <w:proofErr w:type="spellStart"/>
      <w:r w:rsidRPr="00DB1868">
        <w:rPr>
          <w:rFonts w:ascii="Arial" w:eastAsia="Newton-Regular" w:hAnsi="Arial" w:cs="Arial"/>
          <w:color w:val="263238"/>
          <w:szCs w:val="16"/>
          <w:lang w:val="en-US"/>
        </w:rPr>
        <w:t>Trukhanov</w:t>
      </w:r>
      <w:proofErr w:type="spellEnd"/>
      <w:r w:rsidRPr="00DB1868">
        <w:rPr>
          <w:rFonts w:ascii="Arial" w:eastAsia="Newton-Regular" w:hAnsi="Arial" w:cs="Arial"/>
          <w:color w:val="263238"/>
          <w:szCs w:val="16"/>
          <w:lang w:val="en-US"/>
        </w:rPr>
        <w:t xml:space="preserve">, A. Yu. </w:t>
      </w:r>
      <w:proofErr w:type="spellStart"/>
      <w:r w:rsidRPr="00DB1868">
        <w:rPr>
          <w:rFonts w:ascii="Arial" w:eastAsia="Newton-Regular" w:hAnsi="Arial" w:cs="Arial"/>
          <w:color w:val="263238"/>
          <w:szCs w:val="16"/>
          <w:lang w:val="en-US"/>
        </w:rPr>
        <w:t>Sosorev</w:t>
      </w:r>
      <w:proofErr w:type="spellEnd"/>
      <w:r w:rsidRPr="00DB1868">
        <w:rPr>
          <w:rFonts w:ascii="Arial" w:eastAsia="Newton-Regular" w:hAnsi="Arial" w:cs="Arial"/>
          <w:color w:val="263238"/>
          <w:szCs w:val="16"/>
          <w:lang w:val="en-US"/>
        </w:rPr>
        <w:t xml:space="preserve">, A. V. </w:t>
      </w:r>
      <w:proofErr w:type="spellStart"/>
      <w:r w:rsidRPr="00DB1868">
        <w:rPr>
          <w:rFonts w:ascii="Arial" w:eastAsia="Newton-Regular" w:hAnsi="Arial" w:cs="Arial"/>
          <w:color w:val="263238"/>
          <w:szCs w:val="16"/>
          <w:lang w:val="en-US"/>
        </w:rPr>
        <w:t>Bakirov</w:t>
      </w:r>
      <w:proofErr w:type="spellEnd"/>
      <w:r w:rsidRPr="00DB1868">
        <w:rPr>
          <w:rFonts w:ascii="Arial" w:eastAsia="Newton-Regular" w:hAnsi="Arial" w:cs="Arial"/>
          <w:color w:val="263238"/>
          <w:szCs w:val="16"/>
          <w:lang w:val="en-US"/>
        </w:rPr>
        <w:t xml:space="preserve">, A. I. </w:t>
      </w:r>
      <w:proofErr w:type="spellStart"/>
      <w:r w:rsidRPr="00DB1868">
        <w:rPr>
          <w:rFonts w:ascii="Arial" w:eastAsia="Newton-Regular" w:hAnsi="Arial" w:cs="Arial"/>
          <w:color w:val="263238"/>
          <w:szCs w:val="16"/>
          <w:lang w:val="en-US"/>
        </w:rPr>
        <w:t>Dorokhov</w:t>
      </w:r>
      <w:proofErr w:type="spellEnd"/>
      <w:r w:rsidRPr="00DB1868">
        <w:rPr>
          <w:rFonts w:ascii="Arial" w:eastAsia="Newton-Regular" w:hAnsi="Arial" w:cs="Arial"/>
          <w:color w:val="263238"/>
          <w:szCs w:val="16"/>
          <w:lang w:val="en-US"/>
        </w:rPr>
        <w:t xml:space="preserve">, N. M. </w:t>
      </w:r>
      <w:proofErr w:type="spellStart"/>
      <w:r w:rsidRPr="00DB1868">
        <w:rPr>
          <w:rFonts w:ascii="Arial" w:eastAsia="Newton-Regular" w:hAnsi="Arial" w:cs="Arial"/>
          <w:color w:val="263238"/>
          <w:szCs w:val="16"/>
          <w:lang w:val="en-US"/>
        </w:rPr>
        <w:t>Surin</w:t>
      </w:r>
      <w:proofErr w:type="spellEnd"/>
      <w:r w:rsidRPr="00DB1868">
        <w:rPr>
          <w:rFonts w:ascii="Arial" w:eastAsia="Newton-Regular" w:hAnsi="Arial" w:cs="Arial"/>
          <w:color w:val="263238"/>
          <w:szCs w:val="16"/>
          <w:lang w:val="en-US"/>
        </w:rPr>
        <w:t xml:space="preserve">, O. V. </w:t>
      </w:r>
      <w:proofErr w:type="spellStart"/>
      <w:r w:rsidRPr="00DB1868">
        <w:rPr>
          <w:rFonts w:ascii="Arial" w:eastAsia="Newton-Regular" w:hAnsi="Arial" w:cs="Arial"/>
          <w:color w:val="263238"/>
          <w:szCs w:val="16"/>
          <w:lang w:val="en-US"/>
        </w:rPr>
        <w:t>Borshchev</w:t>
      </w:r>
      <w:proofErr w:type="spellEnd"/>
      <w:r w:rsidRPr="00DB1868">
        <w:rPr>
          <w:rFonts w:ascii="Arial" w:eastAsia="Newton-Regular" w:hAnsi="Arial" w:cs="Arial"/>
          <w:color w:val="263238"/>
          <w:szCs w:val="16"/>
          <w:lang w:val="en-US"/>
        </w:rPr>
        <w:t xml:space="preserve">, S. A. </w:t>
      </w:r>
      <w:proofErr w:type="spellStart"/>
      <w:r w:rsidRPr="00DB1868">
        <w:rPr>
          <w:rFonts w:ascii="Arial" w:eastAsia="Newton-Regular" w:hAnsi="Arial" w:cs="Arial"/>
          <w:color w:val="263238"/>
          <w:szCs w:val="16"/>
          <w:lang w:val="en-US"/>
        </w:rPr>
        <w:t>Ponomarenko</w:t>
      </w:r>
      <w:proofErr w:type="spellEnd"/>
      <w:r w:rsidRPr="00DB1868">
        <w:rPr>
          <w:rFonts w:ascii="Arial" w:eastAsia="Newton-Regular" w:hAnsi="Arial" w:cs="Arial"/>
          <w:color w:val="263238"/>
          <w:szCs w:val="16"/>
          <w:lang w:val="en-US"/>
        </w:rPr>
        <w:t xml:space="preserve">, D. Yu. </w:t>
      </w:r>
      <w:proofErr w:type="spellStart"/>
      <w:r w:rsidRPr="00DB1868">
        <w:rPr>
          <w:rFonts w:ascii="Arial" w:eastAsia="Newton-Regular" w:hAnsi="Arial" w:cs="Arial"/>
          <w:color w:val="263238"/>
          <w:szCs w:val="16"/>
          <w:lang w:val="en-US"/>
        </w:rPr>
        <w:t>Paraschuk</w:t>
      </w:r>
      <w:proofErr w:type="spellEnd"/>
      <w:r w:rsidRPr="00DB1868">
        <w:rPr>
          <w:rFonts w:ascii="Arial" w:eastAsia="Newton-Regular" w:hAnsi="Arial" w:cs="Arial"/>
          <w:color w:val="263238"/>
          <w:szCs w:val="16"/>
          <w:lang w:val="en-US"/>
        </w:rPr>
        <w:t xml:space="preserve">, </w:t>
      </w:r>
      <w:r w:rsidRPr="00DB1868">
        <w:rPr>
          <w:rFonts w:ascii="Arial" w:eastAsia="Newton-Regular" w:hAnsi="Arial" w:cs="Arial"/>
          <w:i/>
          <w:iCs/>
          <w:color w:val="263238"/>
          <w:szCs w:val="16"/>
          <w:lang w:val="en-US"/>
        </w:rPr>
        <w:t>Mater. Chem. Front</w:t>
      </w:r>
      <w:r w:rsidRPr="00DB1868">
        <w:rPr>
          <w:rFonts w:ascii="Arial" w:eastAsia="Newton-Regular" w:hAnsi="Arial" w:cs="Arial"/>
          <w:color w:val="263238"/>
          <w:szCs w:val="16"/>
          <w:lang w:val="en-US"/>
        </w:rPr>
        <w:t xml:space="preserve">., </w:t>
      </w:r>
      <w:r w:rsidRPr="00DB1868">
        <w:rPr>
          <w:rFonts w:ascii="Arial" w:eastAsia="Newton-Regular" w:hAnsi="Arial" w:cs="Arial"/>
          <w:b/>
          <w:color w:val="263238"/>
          <w:szCs w:val="16"/>
          <w:lang w:val="en-US"/>
        </w:rPr>
        <w:t>2022</w:t>
      </w:r>
      <w:r w:rsidRPr="00DB1868">
        <w:rPr>
          <w:rFonts w:ascii="Arial" w:eastAsia="Newton-Regular" w:hAnsi="Arial" w:cs="Arial"/>
          <w:color w:val="263238"/>
          <w:szCs w:val="16"/>
          <w:lang w:val="en-US"/>
        </w:rPr>
        <w:t xml:space="preserve">, </w:t>
      </w:r>
      <w:r w:rsidRPr="00DB1868">
        <w:rPr>
          <w:rFonts w:ascii="Arial" w:eastAsia="Newton-Regular" w:hAnsi="Arial" w:cs="Arial"/>
          <w:i/>
          <w:iCs/>
          <w:color w:val="263238"/>
          <w:szCs w:val="16"/>
          <w:lang w:val="en-US"/>
        </w:rPr>
        <w:t>6</w:t>
      </w:r>
      <w:r w:rsidRPr="00DB1868">
        <w:rPr>
          <w:rFonts w:ascii="Arial" w:eastAsia="Newton-Regular" w:hAnsi="Arial" w:cs="Arial"/>
          <w:color w:val="263238"/>
          <w:szCs w:val="16"/>
          <w:lang w:val="en-US"/>
        </w:rPr>
        <w:t>, 3279–3295. DOI: 10.1039/D2QM00768A</w:t>
      </w:r>
    </w:p>
    <w:p w:rsidR="003D2C9B" w:rsidRPr="00DB1868" w:rsidRDefault="003D2C9B" w:rsidP="00DB1868">
      <w:pPr>
        <w:autoSpaceDE w:val="0"/>
        <w:autoSpaceDN w:val="0"/>
        <w:adjustRightInd w:val="0"/>
        <w:spacing w:after="0" w:line="240" w:lineRule="auto"/>
        <w:jc w:val="both"/>
        <w:rPr>
          <w:rFonts w:ascii="Arial" w:eastAsia="Newton-Regular" w:hAnsi="Arial" w:cs="Arial"/>
          <w:color w:val="263238"/>
          <w:szCs w:val="16"/>
          <w:lang w:val="en-US"/>
        </w:rPr>
      </w:pPr>
      <w:r w:rsidRPr="00DB1868">
        <w:rPr>
          <w:rFonts w:ascii="Arial" w:eastAsia="Newton-Regular" w:hAnsi="Arial" w:cs="Arial"/>
          <w:color w:val="263238"/>
          <w:szCs w:val="16"/>
          <w:lang w:val="en-US"/>
        </w:rPr>
        <w:t xml:space="preserve">C. B. Nielsen, A. J. P. White, I. McCulloch, </w:t>
      </w:r>
      <w:r w:rsidRPr="00DB1868">
        <w:rPr>
          <w:rFonts w:ascii="Arial" w:eastAsia="Newton-Regular" w:hAnsi="Arial" w:cs="Arial"/>
          <w:i/>
          <w:iCs/>
          <w:color w:val="263238"/>
          <w:szCs w:val="16"/>
          <w:lang w:val="en-US"/>
        </w:rPr>
        <w:t>J. Org. Chem</w:t>
      </w:r>
      <w:r w:rsidRPr="00DB1868">
        <w:rPr>
          <w:rFonts w:ascii="Arial" w:eastAsia="Newton-Regular" w:hAnsi="Arial" w:cs="Arial"/>
          <w:color w:val="263238"/>
          <w:szCs w:val="16"/>
          <w:lang w:val="en-US"/>
        </w:rPr>
        <w:t xml:space="preserve">., </w:t>
      </w:r>
      <w:r w:rsidRPr="00DB1868">
        <w:rPr>
          <w:rFonts w:ascii="Arial" w:eastAsia="Newton-Regular" w:hAnsi="Arial" w:cs="Arial"/>
          <w:b/>
          <w:color w:val="263238"/>
          <w:szCs w:val="16"/>
          <w:lang w:val="en-US"/>
        </w:rPr>
        <w:t>2015</w:t>
      </w:r>
      <w:r w:rsidRPr="00DB1868">
        <w:rPr>
          <w:rFonts w:ascii="Arial" w:eastAsia="Newton-Regular" w:hAnsi="Arial" w:cs="Arial"/>
          <w:color w:val="263238"/>
          <w:szCs w:val="16"/>
          <w:lang w:val="en-US"/>
        </w:rPr>
        <w:t xml:space="preserve">, </w:t>
      </w:r>
      <w:r w:rsidRPr="00DB1868">
        <w:rPr>
          <w:rFonts w:ascii="Arial" w:eastAsia="Newton-Regular" w:hAnsi="Arial" w:cs="Arial"/>
          <w:i/>
          <w:iCs/>
          <w:color w:val="263238"/>
          <w:szCs w:val="16"/>
          <w:lang w:val="en-US"/>
        </w:rPr>
        <w:t>80</w:t>
      </w:r>
      <w:r w:rsidRPr="00DB1868">
        <w:rPr>
          <w:rFonts w:ascii="Arial" w:eastAsia="Newton-Regular" w:hAnsi="Arial" w:cs="Arial"/>
          <w:color w:val="263238"/>
          <w:szCs w:val="16"/>
          <w:lang w:val="en-US"/>
        </w:rPr>
        <w:t>, 5045–5048. DOI: 10.1021/acs.joc.5b00430</w:t>
      </w:r>
    </w:p>
    <w:p w:rsidR="003D2C9B" w:rsidRPr="00DB1868" w:rsidRDefault="003D2C9B" w:rsidP="00DB1868">
      <w:pPr>
        <w:autoSpaceDE w:val="0"/>
        <w:autoSpaceDN w:val="0"/>
        <w:adjustRightInd w:val="0"/>
        <w:spacing w:after="0" w:line="240" w:lineRule="auto"/>
        <w:jc w:val="both"/>
        <w:rPr>
          <w:rFonts w:ascii="Arial" w:hAnsi="Arial" w:cs="Arial"/>
          <w:color w:val="263238"/>
          <w:szCs w:val="16"/>
          <w:lang w:val="en-US"/>
        </w:rPr>
      </w:pPr>
      <w:r w:rsidRPr="00DB1868">
        <w:rPr>
          <w:rFonts w:ascii="Arial" w:hAnsi="Arial" w:cs="Arial"/>
          <w:color w:val="263238"/>
          <w:szCs w:val="16"/>
          <w:lang w:val="en-US"/>
        </w:rPr>
        <w:t xml:space="preserve">E. Shi, H. </w:t>
      </w:r>
      <w:proofErr w:type="spellStart"/>
      <w:r w:rsidRPr="00DB1868">
        <w:rPr>
          <w:rFonts w:ascii="Arial" w:hAnsi="Arial" w:cs="Arial"/>
          <w:color w:val="263238"/>
          <w:szCs w:val="16"/>
          <w:lang w:val="en-US"/>
        </w:rPr>
        <w:t>Zhuang</w:t>
      </w:r>
      <w:proofErr w:type="spellEnd"/>
      <w:r w:rsidRPr="00DB1868">
        <w:rPr>
          <w:rFonts w:ascii="Arial" w:hAnsi="Arial" w:cs="Arial"/>
          <w:color w:val="263238"/>
          <w:szCs w:val="16"/>
          <w:lang w:val="en-US"/>
        </w:rPr>
        <w:t xml:space="preserve">, Z. Liu, X. Cheng, H. </w:t>
      </w:r>
      <w:proofErr w:type="spellStart"/>
      <w:r w:rsidRPr="00DB1868">
        <w:rPr>
          <w:rFonts w:ascii="Arial" w:hAnsi="Arial" w:cs="Arial"/>
          <w:color w:val="263238"/>
          <w:szCs w:val="16"/>
          <w:lang w:val="en-US"/>
        </w:rPr>
        <w:t>Hu</w:t>
      </w:r>
      <w:proofErr w:type="spellEnd"/>
      <w:r w:rsidRPr="00DB1868">
        <w:rPr>
          <w:rFonts w:ascii="Arial" w:hAnsi="Arial" w:cs="Arial"/>
          <w:color w:val="263238"/>
          <w:szCs w:val="16"/>
          <w:lang w:val="en-US"/>
        </w:rPr>
        <w:t xml:space="preserve">, N. Li, D. Chen, Q. </w:t>
      </w:r>
      <w:proofErr w:type="spellStart"/>
      <w:r w:rsidRPr="00DB1868">
        <w:rPr>
          <w:rFonts w:ascii="Arial" w:hAnsi="Arial" w:cs="Arial"/>
          <w:color w:val="263238"/>
          <w:szCs w:val="16"/>
          <w:lang w:val="en-US"/>
        </w:rPr>
        <w:t>Xu</w:t>
      </w:r>
      <w:proofErr w:type="spellEnd"/>
      <w:r w:rsidRPr="00DB1868">
        <w:rPr>
          <w:rFonts w:ascii="Arial" w:hAnsi="Arial" w:cs="Arial"/>
          <w:color w:val="263238"/>
          <w:szCs w:val="16"/>
          <w:lang w:val="en-US"/>
        </w:rPr>
        <w:t xml:space="preserve">, J. He, H. Li, J. Lu, J. </w:t>
      </w:r>
      <w:proofErr w:type="spellStart"/>
      <w:r w:rsidRPr="00DB1868">
        <w:rPr>
          <w:rFonts w:ascii="Arial" w:hAnsi="Arial" w:cs="Arial"/>
          <w:color w:val="263238"/>
          <w:szCs w:val="16"/>
          <w:lang w:val="en-US"/>
        </w:rPr>
        <w:t>Zheng</w:t>
      </w:r>
      <w:proofErr w:type="spellEnd"/>
      <w:r w:rsidRPr="00DB1868">
        <w:rPr>
          <w:rFonts w:ascii="Arial" w:hAnsi="Arial" w:cs="Arial"/>
          <w:color w:val="263238"/>
          <w:szCs w:val="16"/>
          <w:lang w:val="en-US"/>
        </w:rPr>
        <w:t xml:space="preserve">, </w:t>
      </w:r>
      <w:r w:rsidRPr="00DB1868">
        <w:rPr>
          <w:rFonts w:ascii="Arial" w:hAnsi="Arial" w:cs="Arial"/>
          <w:i/>
          <w:iCs/>
          <w:color w:val="263238"/>
          <w:szCs w:val="16"/>
          <w:lang w:val="en-US"/>
        </w:rPr>
        <w:t xml:space="preserve">Dyes </w:t>
      </w:r>
      <w:proofErr w:type="spellStart"/>
      <w:r w:rsidRPr="00DB1868">
        <w:rPr>
          <w:rFonts w:ascii="Arial" w:hAnsi="Arial" w:cs="Arial"/>
          <w:i/>
          <w:iCs/>
          <w:color w:val="263238"/>
          <w:szCs w:val="16"/>
          <w:lang w:val="en-US"/>
        </w:rPr>
        <w:t>Pigm</w:t>
      </w:r>
      <w:proofErr w:type="spellEnd"/>
      <w:r w:rsidRPr="00DB1868">
        <w:rPr>
          <w:rFonts w:ascii="Arial" w:hAnsi="Arial" w:cs="Arial"/>
          <w:i/>
          <w:iCs/>
          <w:color w:val="263238"/>
          <w:szCs w:val="16"/>
          <w:lang w:val="en-US"/>
        </w:rPr>
        <w:t>.</w:t>
      </w:r>
      <w:r w:rsidRPr="00DB1868">
        <w:rPr>
          <w:rFonts w:ascii="Arial" w:hAnsi="Arial" w:cs="Arial"/>
          <w:color w:val="263238"/>
          <w:szCs w:val="16"/>
          <w:lang w:val="en-US"/>
        </w:rPr>
        <w:t xml:space="preserve">, </w:t>
      </w:r>
      <w:r w:rsidRPr="00DB1868">
        <w:rPr>
          <w:rFonts w:ascii="Arial" w:hAnsi="Arial" w:cs="Arial"/>
          <w:b/>
          <w:color w:val="263238"/>
          <w:szCs w:val="16"/>
          <w:lang w:val="en-US"/>
        </w:rPr>
        <w:t>2015</w:t>
      </w:r>
      <w:r w:rsidRPr="00DB1868">
        <w:rPr>
          <w:rFonts w:ascii="Arial" w:hAnsi="Arial" w:cs="Arial"/>
          <w:color w:val="263238"/>
          <w:szCs w:val="16"/>
          <w:lang w:val="en-US"/>
        </w:rPr>
        <w:t xml:space="preserve">, </w:t>
      </w:r>
      <w:r w:rsidRPr="00DB1868">
        <w:rPr>
          <w:rFonts w:ascii="Arial" w:hAnsi="Arial" w:cs="Arial"/>
          <w:i/>
          <w:iCs/>
          <w:color w:val="263238"/>
          <w:szCs w:val="16"/>
          <w:lang w:val="en-US"/>
        </w:rPr>
        <w:t>122</w:t>
      </w:r>
      <w:r w:rsidRPr="00DB1868">
        <w:rPr>
          <w:rFonts w:ascii="Arial" w:hAnsi="Arial" w:cs="Arial"/>
          <w:color w:val="263238"/>
          <w:szCs w:val="16"/>
          <w:lang w:val="en-US"/>
        </w:rPr>
        <w:t>, 66–73. DOI: 10.1016/j.dyepig.2015.06.017</w:t>
      </w:r>
    </w:p>
    <w:p w:rsidR="001704B0" w:rsidRPr="00DB1868" w:rsidRDefault="003D2C9B" w:rsidP="00DB1868">
      <w:pPr>
        <w:autoSpaceDE w:val="0"/>
        <w:autoSpaceDN w:val="0"/>
        <w:adjustRightInd w:val="0"/>
        <w:spacing w:after="0" w:line="240" w:lineRule="auto"/>
        <w:jc w:val="both"/>
        <w:rPr>
          <w:rFonts w:ascii="Arial" w:hAnsi="Arial" w:cs="Arial"/>
          <w:color w:val="263238"/>
          <w:szCs w:val="16"/>
          <w:lang w:val="en-US"/>
        </w:rPr>
      </w:pPr>
      <w:r w:rsidRPr="00DB1868">
        <w:rPr>
          <w:rFonts w:ascii="Arial" w:hAnsi="Arial" w:cs="Arial"/>
          <w:color w:val="263238"/>
          <w:szCs w:val="16"/>
          <w:lang w:val="en-US"/>
        </w:rPr>
        <w:t xml:space="preserve">H. Kim, M. R. Reddy, H. Kim, D. </w:t>
      </w:r>
      <w:proofErr w:type="spellStart"/>
      <w:r w:rsidRPr="00DB1868">
        <w:rPr>
          <w:rFonts w:ascii="Arial" w:hAnsi="Arial" w:cs="Arial"/>
          <w:color w:val="263238"/>
          <w:szCs w:val="16"/>
          <w:lang w:val="en-US"/>
        </w:rPr>
        <w:t>Choi</w:t>
      </w:r>
      <w:proofErr w:type="spellEnd"/>
      <w:r w:rsidRPr="00DB1868">
        <w:rPr>
          <w:rFonts w:ascii="Arial" w:hAnsi="Arial" w:cs="Arial"/>
          <w:color w:val="263238"/>
          <w:szCs w:val="16"/>
          <w:lang w:val="en-US"/>
        </w:rPr>
        <w:t xml:space="preserve">, C. Kim, S. </w:t>
      </w:r>
      <w:proofErr w:type="spellStart"/>
      <w:r w:rsidRPr="00DB1868">
        <w:rPr>
          <w:rFonts w:ascii="Arial" w:hAnsi="Arial" w:cs="Arial"/>
          <w:color w:val="263238"/>
          <w:szCs w:val="16"/>
          <w:lang w:val="en-US"/>
        </w:rPr>
        <w:t>Seo</w:t>
      </w:r>
      <w:proofErr w:type="spellEnd"/>
      <w:r w:rsidRPr="00DB1868">
        <w:rPr>
          <w:rFonts w:ascii="Arial" w:hAnsi="Arial" w:cs="Arial"/>
          <w:color w:val="263238"/>
          <w:szCs w:val="16"/>
          <w:lang w:val="en-US"/>
        </w:rPr>
        <w:t xml:space="preserve">, </w:t>
      </w:r>
      <w:proofErr w:type="spellStart"/>
      <w:r w:rsidRPr="00DB1868">
        <w:rPr>
          <w:rFonts w:ascii="Arial" w:hAnsi="Arial" w:cs="Arial"/>
          <w:i/>
          <w:iCs/>
          <w:color w:val="263238"/>
          <w:szCs w:val="16"/>
          <w:lang w:val="en-US"/>
        </w:rPr>
        <w:t>ChemPlusChem</w:t>
      </w:r>
      <w:proofErr w:type="spellEnd"/>
      <w:r w:rsidRPr="00DB1868">
        <w:rPr>
          <w:rFonts w:ascii="Arial" w:hAnsi="Arial" w:cs="Arial"/>
          <w:color w:val="263238"/>
          <w:szCs w:val="16"/>
          <w:lang w:val="en-US"/>
        </w:rPr>
        <w:t xml:space="preserve">, </w:t>
      </w:r>
      <w:r w:rsidRPr="00DB1868">
        <w:rPr>
          <w:rFonts w:ascii="Arial" w:hAnsi="Arial" w:cs="Arial"/>
          <w:b/>
          <w:color w:val="263238"/>
          <w:szCs w:val="16"/>
          <w:lang w:val="en-US"/>
        </w:rPr>
        <w:t>2017</w:t>
      </w:r>
      <w:r w:rsidRPr="00DB1868">
        <w:rPr>
          <w:rFonts w:ascii="Arial" w:hAnsi="Arial" w:cs="Arial"/>
          <w:color w:val="263238"/>
          <w:szCs w:val="16"/>
          <w:lang w:val="en-US"/>
        </w:rPr>
        <w:t xml:space="preserve">, </w:t>
      </w:r>
      <w:r w:rsidRPr="00DB1868">
        <w:rPr>
          <w:rFonts w:ascii="Arial" w:hAnsi="Arial" w:cs="Arial"/>
          <w:i/>
          <w:iCs/>
          <w:color w:val="263238"/>
          <w:szCs w:val="16"/>
          <w:lang w:val="en-US"/>
        </w:rPr>
        <w:t>82</w:t>
      </w:r>
      <w:r w:rsidRPr="00DB1868">
        <w:rPr>
          <w:rFonts w:ascii="Arial" w:hAnsi="Arial" w:cs="Arial"/>
          <w:color w:val="263238"/>
          <w:szCs w:val="16"/>
          <w:lang w:val="en-US"/>
        </w:rPr>
        <w:t>, 742–749. DOI: 10.1002/cplu.201700070</w:t>
      </w:r>
    </w:p>
    <w:sectPr w:rsidR="001704B0" w:rsidRPr="00DB1868" w:rsidSect="007A0833">
      <w:endnotePr>
        <w:numFmt w:val="chicago"/>
      </w:endnotePr>
      <w:type w:val="continuous"/>
      <w:pgSz w:w="11906" w:h="16838" w:code="9"/>
      <w:pgMar w:top="1134" w:right="1134" w:bottom="1134" w:left="1134" w:header="709" w:footer="709" w:gutter="0"/>
      <w:cols w:space="282"/>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32C20" w:rsidRDefault="00A32C20" w:rsidP="00427E5A">
      <w:pPr>
        <w:spacing w:after="0" w:line="240" w:lineRule="auto"/>
      </w:pPr>
      <w:r>
        <w:separator/>
      </w:r>
    </w:p>
    <w:p w:rsidR="00A32C20" w:rsidRDefault="00A32C20"/>
  </w:endnote>
  <w:endnote w:type="continuationSeparator" w:id="0">
    <w:p w:rsidR="00A32C20" w:rsidRDefault="00A32C20" w:rsidP="00427E5A">
      <w:pPr>
        <w:spacing w:after="0" w:line="240" w:lineRule="auto"/>
      </w:pPr>
      <w:r>
        <w:continuationSeparator/>
      </w:r>
    </w:p>
    <w:p w:rsidR="00A32C20" w:rsidRDefault="00A32C20"/>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Newton-Regular">
    <w:altName w:val="MS Gothic"/>
    <w:panose1 w:val="00000000000000000000"/>
    <w:charset w:val="80"/>
    <w:family w:val="auto"/>
    <w:notTrueType/>
    <w:pitch w:val="default"/>
    <w:sig w:usb0="00000000" w:usb1="08070000" w:usb2="00000010" w:usb3="00000000" w:csb0="0002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32C20" w:rsidRDefault="00A32C20" w:rsidP="00427E5A">
      <w:pPr>
        <w:spacing w:after="0" w:line="240" w:lineRule="auto"/>
      </w:pPr>
      <w:r>
        <w:separator/>
      </w:r>
    </w:p>
    <w:p w:rsidR="00A32C20" w:rsidRDefault="00A32C20"/>
  </w:footnote>
  <w:footnote w:type="continuationSeparator" w:id="0">
    <w:p w:rsidR="00A32C20" w:rsidRDefault="00A32C20" w:rsidP="00427E5A">
      <w:pPr>
        <w:spacing w:after="0" w:line="240" w:lineRule="auto"/>
      </w:pPr>
      <w:r>
        <w:continuationSeparator/>
      </w:r>
    </w:p>
    <w:p w:rsidR="00A32C20" w:rsidRDefault="00A32C20"/>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B7763"/>
    <w:multiLevelType w:val="hybridMultilevel"/>
    <w:tmpl w:val="9F2492F6"/>
    <w:lvl w:ilvl="0" w:tplc="7E74975E">
      <w:start w:val="1"/>
      <w:numFmt w:val="decimal"/>
      <w:lvlText w:val="%1."/>
      <w:lvlJc w:val="left"/>
      <w:pPr>
        <w:ind w:left="234" w:hanging="360"/>
      </w:pPr>
      <w:rPr>
        <w:rFonts w:hint="default"/>
      </w:rPr>
    </w:lvl>
    <w:lvl w:ilvl="1" w:tplc="04190019" w:tentative="1">
      <w:start w:val="1"/>
      <w:numFmt w:val="lowerLetter"/>
      <w:lvlText w:val="%2."/>
      <w:lvlJc w:val="left"/>
      <w:pPr>
        <w:ind w:left="954" w:hanging="360"/>
      </w:pPr>
    </w:lvl>
    <w:lvl w:ilvl="2" w:tplc="0419001B" w:tentative="1">
      <w:start w:val="1"/>
      <w:numFmt w:val="lowerRoman"/>
      <w:lvlText w:val="%3."/>
      <w:lvlJc w:val="right"/>
      <w:pPr>
        <w:ind w:left="1674" w:hanging="180"/>
      </w:pPr>
    </w:lvl>
    <w:lvl w:ilvl="3" w:tplc="0419000F" w:tentative="1">
      <w:start w:val="1"/>
      <w:numFmt w:val="decimal"/>
      <w:lvlText w:val="%4."/>
      <w:lvlJc w:val="left"/>
      <w:pPr>
        <w:ind w:left="2394" w:hanging="360"/>
      </w:pPr>
    </w:lvl>
    <w:lvl w:ilvl="4" w:tplc="04190019" w:tentative="1">
      <w:start w:val="1"/>
      <w:numFmt w:val="lowerLetter"/>
      <w:lvlText w:val="%5."/>
      <w:lvlJc w:val="left"/>
      <w:pPr>
        <w:ind w:left="3114" w:hanging="360"/>
      </w:pPr>
    </w:lvl>
    <w:lvl w:ilvl="5" w:tplc="0419001B" w:tentative="1">
      <w:start w:val="1"/>
      <w:numFmt w:val="lowerRoman"/>
      <w:lvlText w:val="%6."/>
      <w:lvlJc w:val="right"/>
      <w:pPr>
        <w:ind w:left="3834" w:hanging="180"/>
      </w:pPr>
    </w:lvl>
    <w:lvl w:ilvl="6" w:tplc="0419000F" w:tentative="1">
      <w:start w:val="1"/>
      <w:numFmt w:val="decimal"/>
      <w:lvlText w:val="%7."/>
      <w:lvlJc w:val="left"/>
      <w:pPr>
        <w:ind w:left="4554" w:hanging="360"/>
      </w:pPr>
    </w:lvl>
    <w:lvl w:ilvl="7" w:tplc="04190019" w:tentative="1">
      <w:start w:val="1"/>
      <w:numFmt w:val="lowerLetter"/>
      <w:lvlText w:val="%8."/>
      <w:lvlJc w:val="left"/>
      <w:pPr>
        <w:ind w:left="5274" w:hanging="360"/>
      </w:pPr>
    </w:lvl>
    <w:lvl w:ilvl="8" w:tplc="0419001B" w:tentative="1">
      <w:start w:val="1"/>
      <w:numFmt w:val="lowerRoman"/>
      <w:lvlText w:val="%9."/>
      <w:lvlJc w:val="right"/>
      <w:pPr>
        <w:ind w:left="5994" w:hanging="180"/>
      </w:pPr>
    </w:lvl>
  </w:abstractNum>
  <w:abstractNum w:abstractNumId="1">
    <w:nsid w:val="0D69189E"/>
    <w:multiLevelType w:val="hybridMultilevel"/>
    <w:tmpl w:val="410A734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13D17621"/>
    <w:multiLevelType w:val="hybridMultilevel"/>
    <w:tmpl w:val="035E65E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1A240240"/>
    <w:multiLevelType w:val="hybridMultilevel"/>
    <w:tmpl w:val="0D4EC560"/>
    <w:lvl w:ilvl="0" w:tplc="0419000F">
      <w:start w:val="1"/>
      <w:numFmt w:val="decimal"/>
      <w:lvlText w:val="%1."/>
      <w:lvlJc w:val="left"/>
      <w:pPr>
        <w:ind w:left="594" w:hanging="360"/>
      </w:pPr>
    </w:lvl>
    <w:lvl w:ilvl="1" w:tplc="04190019" w:tentative="1">
      <w:start w:val="1"/>
      <w:numFmt w:val="lowerLetter"/>
      <w:lvlText w:val="%2."/>
      <w:lvlJc w:val="left"/>
      <w:pPr>
        <w:ind w:left="1314" w:hanging="360"/>
      </w:pPr>
    </w:lvl>
    <w:lvl w:ilvl="2" w:tplc="0419001B" w:tentative="1">
      <w:start w:val="1"/>
      <w:numFmt w:val="lowerRoman"/>
      <w:lvlText w:val="%3."/>
      <w:lvlJc w:val="right"/>
      <w:pPr>
        <w:ind w:left="2034" w:hanging="180"/>
      </w:pPr>
    </w:lvl>
    <w:lvl w:ilvl="3" w:tplc="0419000F" w:tentative="1">
      <w:start w:val="1"/>
      <w:numFmt w:val="decimal"/>
      <w:lvlText w:val="%4."/>
      <w:lvlJc w:val="left"/>
      <w:pPr>
        <w:ind w:left="2754" w:hanging="360"/>
      </w:pPr>
    </w:lvl>
    <w:lvl w:ilvl="4" w:tplc="04190019" w:tentative="1">
      <w:start w:val="1"/>
      <w:numFmt w:val="lowerLetter"/>
      <w:lvlText w:val="%5."/>
      <w:lvlJc w:val="left"/>
      <w:pPr>
        <w:ind w:left="3474" w:hanging="360"/>
      </w:pPr>
    </w:lvl>
    <w:lvl w:ilvl="5" w:tplc="0419001B" w:tentative="1">
      <w:start w:val="1"/>
      <w:numFmt w:val="lowerRoman"/>
      <w:lvlText w:val="%6."/>
      <w:lvlJc w:val="right"/>
      <w:pPr>
        <w:ind w:left="4194" w:hanging="180"/>
      </w:pPr>
    </w:lvl>
    <w:lvl w:ilvl="6" w:tplc="0419000F" w:tentative="1">
      <w:start w:val="1"/>
      <w:numFmt w:val="decimal"/>
      <w:lvlText w:val="%7."/>
      <w:lvlJc w:val="left"/>
      <w:pPr>
        <w:ind w:left="4914" w:hanging="360"/>
      </w:pPr>
    </w:lvl>
    <w:lvl w:ilvl="7" w:tplc="04190019" w:tentative="1">
      <w:start w:val="1"/>
      <w:numFmt w:val="lowerLetter"/>
      <w:lvlText w:val="%8."/>
      <w:lvlJc w:val="left"/>
      <w:pPr>
        <w:ind w:left="5634" w:hanging="360"/>
      </w:pPr>
    </w:lvl>
    <w:lvl w:ilvl="8" w:tplc="0419001B" w:tentative="1">
      <w:start w:val="1"/>
      <w:numFmt w:val="lowerRoman"/>
      <w:lvlText w:val="%9."/>
      <w:lvlJc w:val="right"/>
      <w:pPr>
        <w:ind w:left="6354" w:hanging="180"/>
      </w:pPr>
    </w:lvl>
  </w:abstractNum>
  <w:abstractNum w:abstractNumId="4">
    <w:nsid w:val="1FBB0EEB"/>
    <w:multiLevelType w:val="hybridMultilevel"/>
    <w:tmpl w:val="9F46C84E"/>
    <w:lvl w:ilvl="0" w:tplc="1EC00852">
      <w:start w:val="1"/>
      <w:numFmt w:val="decimal"/>
      <w:lvlText w:val="%1."/>
      <w:lvlJc w:val="left"/>
      <w:pPr>
        <w:ind w:left="816" w:hanging="45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1FD0037"/>
    <w:multiLevelType w:val="hybridMultilevel"/>
    <w:tmpl w:val="29FAE5D4"/>
    <w:lvl w:ilvl="0" w:tplc="951264B6">
      <w:start w:val="1"/>
      <w:numFmt w:val="decimal"/>
      <w:lvlText w:val="%1."/>
      <w:lvlJc w:val="left"/>
      <w:pPr>
        <w:ind w:left="786" w:hanging="360"/>
      </w:pPr>
      <w:rPr>
        <w:sz w:val="22"/>
        <w:szCs w:val="22"/>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6">
    <w:nsid w:val="37614594"/>
    <w:multiLevelType w:val="hybridMultilevel"/>
    <w:tmpl w:val="F0802750"/>
    <w:lvl w:ilvl="0" w:tplc="01546F68">
      <w:start w:val="1"/>
      <w:numFmt w:val="bullet"/>
      <w:lvlText w:val=""/>
      <w:lvlJc w:val="left"/>
      <w:pPr>
        <w:ind w:left="3240" w:hanging="360"/>
      </w:pPr>
      <w:rPr>
        <w:rFonts w:ascii="Symbol" w:hAnsi="Symbol" w:hint="default"/>
      </w:rPr>
    </w:lvl>
    <w:lvl w:ilvl="1" w:tplc="04190003" w:tentative="1">
      <w:start w:val="1"/>
      <w:numFmt w:val="bullet"/>
      <w:lvlText w:val="o"/>
      <w:lvlJc w:val="left"/>
      <w:pPr>
        <w:ind w:left="3960" w:hanging="360"/>
      </w:pPr>
      <w:rPr>
        <w:rFonts w:ascii="Courier New" w:hAnsi="Courier New" w:cs="Courier New" w:hint="default"/>
      </w:rPr>
    </w:lvl>
    <w:lvl w:ilvl="2" w:tplc="04190005" w:tentative="1">
      <w:start w:val="1"/>
      <w:numFmt w:val="bullet"/>
      <w:lvlText w:val=""/>
      <w:lvlJc w:val="left"/>
      <w:pPr>
        <w:ind w:left="4680" w:hanging="360"/>
      </w:pPr>
      <w:rPr>
        <w:rFonts w:ascii="Wingdings" w:hAnsi="Wingdings" w:hint="default"/>
      </w:rPr>
    </w:lvl>
    <w:lvl w:ilvl="3" w:tplc="04190001" w:tentative="1">
      <w:start w:val="1"/>
      <w:numFmt w:val="bullet"/>
      <w:lvlText w:val=""/>
      <w:lvlJc w:val="left"/>
      <w:pPr>
        <w:ind w:left="5400" w:hanging="360"/>
      </w:pPr>
      <w:rPr>
        <w:rFonts w:ascii="Symbol" w:hAnsi="Symbol" w:hint="default"/>
      </w:rPr>
    </w:lvl>
    <w:lvl w:ilvl="4" w:tplc="04190003" w:tentative="1">
      <w:start w:val="1"/>
      <w:numFmt w:val="bullet"/>
      <w:lvlText w:val="o"/>
      <w:lvlJc w:val="left"/>
      <w:pPr>
        <w:ind w:left="6120" w:hanging="360"/>
      </w:pPr>
      <w:rPr>
        <w:rFonts w:ascii="Courier New" w:hAnsi="Courier New" w:cs="Courier New" w:hint="default"/>
      </w:rPr>
    </w:lvl>
    <w:lvl w:ilvl="5" w:tplc="04190005" w:tentative="1">
      <w:start w:val="1"/>
      <w:numFmt w:val="bullet"/>
      <w:lvlText w:val=""/>
      <w:lvlJc w:val="left"/>
      <w:pPr>
        <w:ind w:left="6840" w:hanging="360"/>
      </w:pPr>
      <w:rPr>
        <w:rFonts w:ascii="Wingdings" w:hAnsi="Wingdings" w:hint="default"/>
      </w:rPr>
    </w:lvl>
    <w:lvl w:ilvl="6" w:tplc="04190001" w:tentative="1">
      <w:start w:val="1"/>
      <w:numFmt w:val="bullet"/>
      <w:lvlText w:val=""/>
      <w:lvlJc w:val="left"/>
      <w:pPr>
        <w:ind w:left="7560" w:hanging="360"/>
      </w:pPr>
      <w:rPr>
        <w:rFonts w:ascii="Symbol" w:hAnsi="Symbol" w:hint="default"/>
      </w:rPr>
    </w:lvl>
    <w:lvl w:ilvl="7" w:tplc="04190003" w:tentative="1">
      <w:start w:val="1"/>
      <w:numFmt w:val="bullet"/>
      <w:lvlText w:val="o"/>
      <w:lvlJc w:val="left"/>
      <w:pPr>
        <w:ind w:left="8280" w:hanging="360"/>
      </w:pPr>
      <w:rPr>
        <w:rFonts w:ascii="Courier New" w:hAnsi="Courier New" w:cs="Courier New" w:hint="default"/>
      </w:rPr>
    </w:lvl>
    <w:lvl w:ilvl="8" w:tplc="04190005" w:tentative="1">
      <w:start w:val="1"/>
      <w:numFmt w:val="bullet"/>
      <w:lvlText w:val=""/>
      <w:lvlJc w:val="left"/>
      <w:pPr>
        <w:ind w:left="9000" w:hanging="360"/>
      </w:pPr>
      <w:rPr>
        <w:rFonts w:ascii="Wingdings" w:hAnsi="Wingdings" w:hint="default"/>
      </w:rPr>
    </w:lvl>
  </w:abstractNum>
  <w:abstractNum w:abstractNumId="7">
    <w:nsid w:val="40DA2AA2"/>
    <w:multiLevelType w:val="hybridMultilevel"/>
    <w:tmpl w:val="8D4ACB48"/>
    <w:lvl w:ilvl="0" w:tplc="01546F68">
      <w:start w:val="1"/>
      <w:numFmt w:val="bullet"/>
      <w:lvlText w:val=""/>
      <w:lvlJc w:val="left"/>
      <w:pPr>
        <w:ind w:left="2988"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40EC4D2A"/>
    <w:multiLevelType w:val="hybridMultilevel"/>
    <w:tmpl w:val="F320B7E0"/>
    <w:lvl w:ilvl="0" w:tplc="D846942C">
      <w:start w:val="1"/>
      <w:numFmt w:val="decimal"/>
      <w:lvlText w:val="%1."/>
      <w:lvlJc w:val="left"/>
      <w:pPr>
        <w:ind w:left="374" w:hanging="360"/>
      </w:pPr>
      <w:rPr>
        <w:rFonts w:hint="default"/>
      </w:rPr>
    </w:lvl>
    <w:lvl w:ilvl="1" w:tplc="04190019" w:tentative="1">
      <w:start w:val="1"/>
      <w:numFmt w:val="lowerLetter"/>
      <w:lvlText w:val="%2."/>
      <w:lvlJc w:val="left"/>
      <w:pPr>
        <w:ind w:left="1094" w:hanging="360"/>
      </w:pPr>
    </w:lvl>
    <w:lvl w:ilvl="2" w:tplc="0419001B" w:tentative="1">
      <w:start w:val="1"/>
      <w:numFmt w:val="lowerRoman"/>
      <w:lvlText w:val="%3."/>
      <w:lvlJc w:val="right"/>
      <w:pPr>
        <w:ind w:left="1814" w:hanging="180"/>
      </w:pPr>
    </w:lvl>
    <w:lvl w:ilvl="3" w:tplc="0419000F" w:tentative="1">
      <w:start w:val="1"/>
      <w:numFmt w:val="decimal"/>
      <w:lvlText w:val="%4."/>
      <w:lvlJc w:val="left"/>
      <w:pPr>
        <w:ind w:left="2534" w:hanging="360"/>
      </w:pPr>
    </w:lvl>
    <w:lvl w:ilvl="4" w:tplc="04190019" w:tentative="1">
      <w:start w:val="1"/>
      <w:numFmt w:val="lowerLetter"/>
      <w:lvlText w:val="%5."/>
      <w:lvlJc w:val="left"/>
      <w:pPr>
        <w:ind w:left="3254" w:hanging="360"/>
      </w:pPr>
    </w:lvl>
    <w:lvl w:ilvl="5" w:tplc="0419001B" w:tentative="1">
      <w:start w:val="1"/>
      <w:numFmt w:val="lowerRoman"/>
      <w:lvlText w:val="%6."/>
      <w:lvlJc w:val="right"/>
      <w:pPr>
        <w:ind w:left="3974" w:hanging="180"/>
      </w:pPr>
    </w:lvl>
    <w:lvl w:ilvl="6" w:tplc="0419000F" w:tentative="1">
      <w:start w:val="1"/>
      <w:numFmt w:val="decimal"/>
      <w:lvlText w:val="%7."/>
      <w:lvlJc w:val="left"/>
      <w:pPr>
        <w:ind w:left="4694" w:hanging="360"/>
      </w:pPr>
    </w:lvl>
    <w:lvl w:ilvl="7" w:tplc="04190019" w:tentative="1">
      <w:start w:val="1"/>
      <w:numFmt w:val="lowerLetter"/>
      <w:lvlText w:val="%8."/>
      <w:lvlJc w:val="left"/>
      <w:pPr>
        <w:ind w:left="5414" w:hanging="360"/>
      </w:pPr>
    </w:lvl>
    <w:lvl w:ilvl="8" w:tplc="0419001B" w:tentative="1">
      <w:start w:val="1"/>
      <w:numFmt w:val="lowerRoman"/>
      <w:lvlText w:val="%9."/>
      <w:lvlJc w:val="right"/>
      <w:pPr>
        <w:ind w:left="6134" w:hanging="180"/>
      </w:pPr>
    </w:lvl>
  </w:abstractNum>
  <w:abstractNum w:abstractNumId="9">
    <w:nsid w:val="4BA42703"/>
    <w:multiLevelType w:val="hybridMultilevel"/>
    <w:tmpl w:val="A8B83BBC"/>
    <w:lvl w:ilvl="0" w:tplc="01546F68">
      <w:start w:val="1"/>
      <w:numFmt w:val="bullet"/>
      <w:lvlText w:val=""/>
      <w:lvlJc w:val="left"/>
      <w:pPr>
        <w:ind w:left="3240" w:hanging="360"/>
      </w:pPr>
      <w:rPr>
        <w:rFonts w:ascii="Symbol" w:hAnsi="Symbol" w:hint="default"/>
      </w:rPr>
    </w:lvl>
    <w:lvl w:ilvl="1" w:tplc="04190003" w:tentative="1">
      <w:start w:val="1"/>
      <w:numFmt w:val="bullet"/>
      <w:lvlText w:val="o"/>
      <w:lvlJc w:val="left"/>
      <w:pPr>
        <w:ind w:left="3960" w:hanging="360"/>
      </w:pPr>
      <w:rPr>
        <w:rFonts w:ascii="Courier New" w:hAnsi="Courier New" w:cs="Courier New" w:hint="default"/>
      </w:rPr>
    </w:lvl>
    <w:lvl w:ilvl="2" w:tplc="04190005" w:tentative="1">
      <w:start w:val="1"/>
      <w:numFmt w:val="bullet"/>
      <w:lvlText w:val=""/>
      <w:lvlJc w:val="left"/>
      <w:pPr>
        <w:ind w:left="4680" w:hanging="360"/>
      </w:pPr>
      <w:rPr>
        <w:rFonts w:ascii="Wingdings" w:hAnsi="Wingdings" w:hint="default"/>
      </w:rPr>
    </w:lvl>
    <w:lvl w:ilvl="3" w:tplc="04190001" w:tentative="1">
      <w:start w:val="1"/>
      <w:numFmt w:val="bullet"/>
      <w:lvlText w:val=""/>
      <w:lvlJc w:val="left"/>
      <w:pPr>
        <w:ind w:left="5400" w:hanging="360"/>
      </w:pPr>
      <w:rPr>
        <w:rFonts w:ascii="Symbol" w:hAnsi="Symbol" w:hint="default"/>
      </w:rPr>
    </w:lvl>
    <w:lvl w:ilvl="4" w:tplc="04190003" w:tentative="1">
      <w:start w:val="1"/>
      <w:numFmt w:val="bullet"/>
      <w:lvlText w:val="o"/>
      <w:lvlJc w:val="left"/>
      <w:pPr>
        <w:ind w:left="6120" w:hanging="360"/>
      </w:pPr>
      <w:rPr>
        <w:rFonts w:ascii="Courier New" w:hAnsi="Courier New" w:cs="Courier New" w:hint="default"/>
      </w:rPr>
    </w:lvl>
    <w:lvl w:ilvl="5" w:tplc="04190005" w:tentative="1">
      <w:start w:val="1"/>
      <w:numFmt w:val="bullet"/>
      <w:lvlText w:val=""/>
      <w:lvlJc w:val="left"/>
      <w:pPr>
        <w:ind w:left="6840" w:hanging="360"/>
      </w:pPr>
      <w:rPr>
        <w:rFonts w:ascii="Wingdings" w:hAnsi="Wingdings" w:hint="default"/>
      </w:rPr>
    </w:lvl>
    <w:lvl w:ilvl="6" w:tplc="04190001" w:tentative="1">
      <w:start w:val="1"/>
      <w:numFmt w:val="bullet"/>
      <w:lvlText w:val=""/>
      <w:lvlJc w:val="left"/>
      <w:pPr>
        <w:ind w:left="7560" w:hanging="360"/>
      </w:pPr>
      <w:rPr>
        <w:rFonts w:ascii="Symbol" w:hAnsi="Symbol" w:hint="default"/>
      </w:rPr>
    </w:lvl>
    <w:lvl w:ilvl="7" w:tplc="04190003" w:tentative="1">
      <w:start w:val="1"/>
      <w:numFmt w:val="bullet"/>
      <w:lvlText w:val="o"/>
      <w:lvlJc w:val="left"/>
      <w:pPr>
        <w:ind w:left="8280" w:hanging="360"/>
      </w:pPr>
      <w:rPr>
        <w:rFonts w:ascii="Courier New" w:hAnsi="Courier New" w:cs="Courier New" w:hint="default"/>
      </w:rPr>
    </w:lvl>
    <w:lvl w:ilvl="8" w:tplc="04190005" w:tentative="1">
      <w:start w:val="1"/>
      <w:numFmt w:val="bullet"/>
      <w:lvlText w:val=""/>
      <w:lvlJc w:val="left"/>
      <w:pPr>
        <w:ind w:left="9000" w:hanging="360"/>
      </w:pPr>
      <w:rPr>
        <w:rFonts w:ascii="Wingdings" w:hAnsi="Wingdings" w:hint="default"/>
      </w:rPr>
    </w:lvl>
  </w:abstractNum>
  <w:abstractNum w:abstractNumId="10">
    <w:nsid w:val="5C753BA6"/>
    <w:multiLevelType w:val="hybridMultilevel"/>
    <w:tmpl w:val="14F8C202"/>
    <w:lvl w:ilvl="0" w:tplc="6236129C">
      <w:start w:val="1"/>
      <w:numFmt w:val="decimal"/>
      <w:lvlText w:val="%1."/>
      <w:lvlJc w:val="left"/>
      <w:pPr>
        <w:ind w:left="720" w:hanging="360"/>
      </w:pPr>
    </w:lvl>
    <w:lvl w:ilvl="1" w:tplc="0419000F">
      <w:start w:val="1"/>
      <w:numFmt w:val="decimal"/>
      <w:lvlText w:val="%2."/>
      <w:lvlJc w:val="left"/>
      <w:pPr>
        <w:ind w:left="1440" w:hanging="36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5E7E6447"/>
    <w:multiLevelType w:val="hybridMultilevel"/>
    <w:tmpl w:val="AB1CC83E"/>
    <w:lvl w:ilvl="0" w:tplc="7D1E7F42">
      <w:start w:val="1"/>
      <w:numFmt w:val="upperLetter"/>
      <w:lvlText w:val="%1."/>
      <w:lvlJc w:val="left"/>
      <w:pPr>
        <w:ind w:left="252" w:hanging="360"/>
      </w:pPr>
      <w:rPr>
        <w:rFonts w:hint="default"/>
      </w:rPr>
    </w:lvl>
    <w:lvl w:ilvl="1" w:tplc="04190019" w:tentative="1">
      <w:start w:val="1"/>
      <w:numFmt w:val="lowerLetter"/>
      <w:lvlText w:val="%2."/>
      <w:lvlJc w:val="left"/>
      <w:pPr>
        <w:ind w:left="972" w:hanging="360"/>
      </w:pPr>
    </w:lvl>
    <w:lvl w:ilvl="2" w:tplc="0419001B" w:tentative="1">
      <w:start w:val="1"/>
      <w:numFmt w:val="lowerRoman"/>
      <w:lvlText w:val="%3."/>
      <w:lvlJc w:val="right"/>
      <w:pPr>
        <w:ind w:left="1692" w:hanging="180"/>
      </w:pPr>
    </w:lvl>
    <w:lvl w:ilvl="3" w:tplc="0419000F" w:tentative="1">
      <w:start w:val="1"/>
      <w:numFmt w:val="decimal"/>
      <w:lvlText w:val="%4."/>
      <w:lvlJc w:val="left"/>
      <w:pPr>
        <w:ind w:left="2412" w:hanging="360"/>
      </w:pPr>
    </w:lvl>
    <w:lvl w:ilvl="4" w:tplc="04190019" w:tentative="1">
      <w:start w:val="1"/>
      <w:numFmt w:val="lowerLetter"/>
      <w:lvlText w:val="%5."/>
      <w:lvlJc w:val="left"/>
      <w:pPr>
        <w:ind w:left="3132" w:hanging="360"/>
      </w:pPr>
    </w:lvl>
    <w:lvl w:ilvl="5" w:tplc="0419001B" w:tentative="1">
      <w:start w:val="1"/>
      <w:numFmt w:val="lowerRoman"/>
      <w:lvlText w:val="%6."/>
      <w:lvlJc w:val="right"/>
      <w:pPr>
        <w:ind w:left="3852" w:hanging="180"/>
      </w:pPr>
    </w:lvl>
    <w:lvl w:ilvl="6" w:tplc="0419000F" w:tentative="1">
      <w:start w:val="1"/>
      <w:numFmt w:val="decimal"/>
      <w:lvlText w:val="%7."/>
      <w:lvlJc w:val="left"/>
      <w:pPr>
        <w:ind w:left="4572" w:hanging="360"/>
      </w:pPr>
    </w:lvl>
    <w:lvl w:ilvl="7" w:tplc="04190019" w:tentative="1">
      <w:start w:val="1"/>
      <w:numFmt w:val="lowerLetter"/>
      <w:lvlText w:val="%8."/>
      <w:lvlJc w:val="left"/>
      <w:pPr>
        <w:ind w:left="5292" w:hanging="360"/>
      </w:pPr>
    </w:lvl>
    <w:lvl w:ilvl="8" w:tplc="0419001B" w:tentative="1">
      <w:start w:val="1"/>
      <w:numFmt w:val="lowerRoman"/>
      <w:lvlText w:val="%9."/>
      <w:lvlJc w:val="right"/>
      <w:pPr>
        <w:ind w:left="6012" w:hanging="180"/>
      </w:pPr>
    </w:lvl>
  </w:abstractNum>
  <w:abstractNum w:abstractNumId="12">
    <w:nsid w:val="67E50398"/>
    <w:multiLevelType w:val="hybridMultilevel"/>
    <w:tmpl w:val="E9F8931A"/>
    <w:lvl w:ilvl="0" w:tplc="F430950E">
      <w:start w:val="1"/>
      <w:numFmt w:val="bullet"/>
      <w:lvlText w:val=""/>
      <w:lvlJc w:val="left"/>
      <w:pPr>
        <w:ind w:left="3240" w:hanging="360"/>
      </w:pPr>
      <w:rPr>
        <w:rFonts w:ascii="Symbol" w:hAnsi="Symbol" w:hint="default"/>
      </w:rPr>
    </w:lvl>
    <w:lvl w:ilvl="1" w:tplc="04190003" w:tentative="1">
      <w:start w:val="1"/>
      <w:numFmt w:val="bullet"/>
      <w:lvlText w:val="o"/>
      <w:lvlJc w:val="left"/>
      <w:pPr>
        <w:ind w:left="3960" w:hanging="360"/>
      </w:pPr>
      <w:rPr>
        <w:rFonts w:ascii="Courier New" w:hAnsi="Courier New" w:cs="Courier New" w:hint="default"/>
      </w:rPr>
    </w:lvl>
    <w:lvl w:ilvl="2" w:tplc="04190005" w:tentative="1">
      <w:start w:val="1"/>
      <w:numFmt w:val="bullet"/>
      <w:lvlText w:val=""/>
      <w:lvlJc w:val="left"/>
      <w:pPr>
        <w:ind w:left="4680" w:hanging="360"/>
      </w:pPr>
      <w:rPr>
        <w:rFonts w:ascii="Wingdings" w:hAnsi="Wingdings" w:hint="default"/>
      </w:rPr>
    </w:lvl>
    <w:lvl w:ilvl="3" w:tplc="04190001" w:tentative="1">
      <w:start w:val="1"/>
      <w:numFmt w:val="bullet"/>
      <w:lvlText w:val=""/>
      <w:lvlJc w:val="left"/>
      <w:pPr>
        <w:ind w:left="5400" w:hanging="360"/>
      </w:pPr>
      <w:rPr>
        <w:rFonts w:ascii="Symbol" w:hAnsi="Symbol" w:hint="default"/>
      </w:rPr>
    </w:lvl>
    <w:lvl w:ilvl="4" w:tplc="04190003" w:tentative="1">
      <w:start w:val="1"/>
      <w:numFmt w:val="bullet"/>
      <w:lvlText w:val="o"/>
      <w:lvlJc w:val="left"/>
      <w:pPr>
        <w:ind w:left="6120" w:hanging="360"/>
      </w:pPr>
      <w:rPr>
        <w:rFonts w:ascii="Courier New" w:hAnsi="Courier New" w:cs="Courier New" w:hint="default"/>
      </w:rPr>
    </w:lvl>
    <w:lvl w:ilvl="5" w:tplc="04190005" w:tentative="1">
      <w:start w:val="1"/>
      <w:numFmt w:val="bullet"/>
      <w:lvlText w:val=""/>
      <w:lvlJc w:val="left"/>
      <w:pPr>
        <w:ind w:left="6840" w:hanging="360"/>
      </w:pPr>
      <w:rPr>
        <w:rFonts w:ascii="Wingdings" w:hAnsi="Wingdings" w:hint="default"/>
      </w:rPr>
    </w:lvl>
    <w:lvl w:ilvl="6" w:tplc="04190001" w:tentative="1">
      <w:start w:val="1"/>
      <w:numFmt w:val="bullet"/>
      <w:lvlText w:val=""/>
      <w:lvlJc w:val="left"/>
      <w:pPr>
        <w:ind w:left="7560" w:hanging="360"/>
      </w:pPr>
      <w:rPr>
        <w:rFonts w:ascii="Symbol" w:hAnsi="Symbol" w:hint="default"/>
      </w:rPr>
    </w:lvl>
    <w:lvl w:ilvl="7" w:tplc="04190003" w:tentative="1">
      <w:start w:val="1"/>
      <w:numFmt w:val="bullet"/>
      <w:lvlText w:val="o"/>
      <w:lvlJc w:val="left"/>
      <w:pPr>
        <w:ind w:left="8280" w:hanging="360"/>
      </w:pPr>
      <w:rPr>
        <w:rFonts w:ascii="Courier New" w:hAnsi="Courier New" w:cs="Courier New" w:hint="default"/>
      </w:rPr>
    </w:lvl>
    <w:lvl w:ilvl="8" w:tplc="04190005" w:tentative="1">
      <w:start w:val="1"/>
      <w:numFmt w:val="bullet"/>
      <w:lvlText w:val=""/>
      <w:lvlJc w:val="left"/>
      <w:pPr>
        <w:ind w:left="9000" w:hanging="360"/>
      </w:pPr>
      <w:rPr>
        <w:rFonts w:ascii="Wingdings" w:hAnsi="Wingdings" w:hint="default"/>
      </w:rPr>
    </w:lvl>
  </w:abstractNum>
  <w:abstractNum w:abstractNumId="13">
    <w:nsid w:val="6CB07B16"/>
    <w:multiLevelType w:val="hybridMultilevel"/>
    <w:tmpl w:val="2E76DD24"/>
    <w:lvl w:ilvl="0" w:tplc="5DE0BD0C">
      <w:start w:val="1"/>
      <w:numFmt w:val="decimal"/>
      <w:lvlText w:val="%1."/>
      <w:lvlJc w:val="left"/>
      <w:pPr>
        <w:ind w:left="638" w:hanging="360"/>
      </w:pPr>
      <w:rPr>
        <w:rFonts w:hint="default"/>
      </w:rPr>
    </w:lvl>
    <w:lvl w:ilvl="1" w:tplc="04190019" w:tentative="1">
      <w:start w:val="1"/>
      <w:numFmt w:val="lowerLetter"/>
      <w:lvlText w:val="%2."/>
      <w:lvlJc w:val="left"/>
      <w:pPr>
        <w:ind w:left="1358" w:hanging="360"/>
      </w:pPr>
    </w:lvl>
    <w:lvl w:ilvl="2" w:tplc="0419001B" w:tentative="1">
      <w:start w:val="1"/>
      <w:numFmt w:val="lowerRoman"/>
      <w:lvlText w:val="%3."/>
      <w:lvlJc w:val="right"/>
      <w:pPr>
        <w:ind w:left="2078" w:hanging="180"/>
      </w:pPr>
    </w:lvl>
    <w:lvl w:ilvl="3" w:tplc="0419000F" w:tentative="1">
      <w:start w:val="1"/>
      <w:numFmt w:val="decimal"/>
      <w:lvlText w:val="%4."/>
      <w:lvlJc w:val="left"/>
      <w:pPr>
        <w:ind w:left="2798" w:hanging="360"/>
      </w:pPr>
    </w:lvl>
    <w:lvl w:ilvl="4" w:tplc="04190019" w:tentative="1">
      <w:start w:val="1"/>
      <w:numFmt w:val="lowerLetter"/>
      <w:lvlText w:val="%5."/>
      <w:lvlJc w:val="left"/>
      <w:pPr>
        <w:ind w:left="3518" w:hanging="360"/>
      </w:pPr>
    </w:lvl>
    <w:lvl w:ilvl="5" w:tplc="0419001B" w:tentative="1">
      <w:start w:val="1"/>
      <w:numFmt w:val="lowerRoman"/>
      <w:lvlText w:val="%6."/>
      <w:lvlJc w:val="right"/>
      <w:pPr>
        <w:ind w:left="4238" w:hanging="180"/>
      </w:pPr>
    </w:lvl>
    <w:lvl w:ilvl="6" w:tplc="0419000F" w:tentative="1">
      <w:start w:val="1"/>
      <w:numFmt w:val="decimal"/>
      <w:lvlText w:val="%7."/>
      <w:lvlJc w:val="left"/>
      <w:pPr>
        <w:ind w:left="4958" w:hanging="360"/>
      </w:pPr>
    </w:lvl>
    <w:lvl w:ilvl="7" w:tplc="04190019" w:tentative="1">
      <w:start w:val="1"/>
      <w:numFmt w:val="lowerLetter"/>
      <w:lvlText w:val="%8."/>
      <w:lvlJc w:val="left"/>
      <w:pPr>
        <w:ind w:left="5678" w:hanging="360"/>
      </w:pPr>
    </w:lvl>
    <w:lvl w:ilvl="8" w:tplc="0419001B" w:tentative="1">
      <w:start w:val="1"/>
      <w:numFmt w:val="lowerRoman"/>
      <w:lvlText w:val="%9."/>
      <w:lvlJc w:val="right"/>
      <w:pPr>
        <w:ind w:left="6398" w:hanging="180"/>
      </w:pPr>
    </w:lvl>
  </w:abstractNum>
  <w:abstractNum w:abstractNumId="14">
    <w:nsid w:val="72057852"/>
    <w:multiLevelType w:val="hybridMultilevel"/>
    <w:tmpl w:val="66A05E0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72363FFD"/>
    <w:multiLevelType w:val="hybridMultilevel"/>
    <w:tmpl w:val="4274D27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7"/>
  </w:num>
  <w:num w:numId="2">
    <w:abstractNumId w:val="9"/>
  </w:num>
  <w:num w:numId="3">
    <w:abstractNumId w:val="6"/>
  </w:num>
  <w:num w:numId="4">
    <w:abstractNumId w:val="12"/>
  </w:num>
  <w:num w:numId="5">
    <w:abstractNumId w:val="13"/>
  </w:num>
  <w:num w:numId="6">
    <w:abstractNumId w:val="14"/>
  </w:num>
  <w:num w:numId="7">
    <w:abstractNumId w:val="2"/>
  </w:num>
  <w:num w:numId="8">
    <w:abstractNumId w:val="8"/>
  </w:num>
  <w:num w:numId="9">
    <w:abstractNumId w:val="11"/>
  </w:num>
  <w:num w:numId="10">
    <w:abstractNumId w:val="3"/>
  </w:num>
  <w:num w:numId="11">
    <w:abstractNumId w:val="0"/>
  </w:num>
  <w:num w:numId="12">
    <w:abstractNumId w:val="5"/>
  </w:num>
  <w:num w:numId="13">
    <w:abstractNumId w:val="4"/>
  </w:num>
  <w:num w:numId="14">
    <w:abstractNumId w:val="1"/>
  </w:num>
  <w:num w:numId="15">
    <w:abstractNumId w:val="15"/>
  </w:num>
  <w:num w:numId="16">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SortMethod w:val="0003"/>
  <w:styleLockTheme/>
  <w:styleLockQFSet/>
  <w:defaultTabStop w:val="708"/>
  <w:drawingGridHorizontalSpacing w:val="110"/>
  <w:drawingGridVerticalSpacing w:val="567"/>
  <w:displayHorizontalDrawingGridEvery w:val="2"/>
  <w:characterSpacingControl w:val="doNotCompress"/>
  <w:footnotePr>
    <w:footnote w:id="-1"/>
    <w:footnote w:id="0"/>
  </w:footnotePr>
  <w:endnotePr>
    <w:pos w:val="sectEnd"/>
    <w:numFmt w:val="chicago"/>
    <w:endnote w:id="-1"/>
    <w:endnote w:id="0"/>
  </w:endnotePr>
  <w:compat/>
  <w:rsids>
    <w:rsidRoot w:val="00F95280"/>
    <w:rsid w:val="00010951"/>
    <w:rsid w:val="00016637"/>
    <w:rsid w:val="00021E9C"/>
    <w:rsid w:val="00025448"/>
    <w:rsid w:val="00025D9C"/>
    <w:rsid w:val="00031445"/>
    <w:rsid w:val="000510F7"/>
    <w:rsid w:val="00052C07"/>
    <w:rsid w:val="00064622"/>
    <w:rsid w:val="00067EC7"/>
    <w:rsid w:val="00070E50"/>
    <w:rsid w:val="00071D12"/>
    <w:rsid w:val="00080691"/>
    <w:rsid w:val="0008088D"/>
    <w:rsid w:val="0008238E"/>
    <w:rsid w:val="000843DF"/>
    <w:rsid w:val="00085A7C"/>
    <w:rsid w:val="000A0FBD"/>
    <w:rsid w:val="000B0164"/>
    <w:rsid w:val="000B1B42"/>
    <w:rsid w:val="000B5E27"/>
    <w:rsid w:val="000C6B71"/>
    <w:rsid w:val="000E1B06"/>
    <w:rsid w:val="000E1CFB"/>
    <w:rsid w:val="00100102"/>
    <w:rsid w:val="0010033A"/>
    <w:rsid w:val="0010088C"/>
    <w:rsid w:val="00104620"/>
    <w:rsid w:val="001405F2"/>
    <w:rsid w:val="00143103"/>
    <w:rsid w:val="00145EA6"/>
    <w:rsid w:val="00150D6A"/>
    <w:rsid w:val="00156A07"/>
    <w:rsid w:val="00161894"/>
    <w:rsid w:val="00165A36"/>
    <w:rsid w:val="00166162"/>
    <w:rsid w:val="001704B0"/>
    <w:rsid w:val="00174607"/>
    <w:rsid w:val="00176C59"/>
    <w:rsid w:val="00192FF9"/>
    <w:rsid w:val="00194288"/>
    <w:rsid w:val="001A28BF"/>
    <w:rsid w:val="001B0919"/>
    <w:rsid w:val="001B26FF"/>
    <w:rsid w:val="001B6750"/>
    <w:rsid w:val="001C0B33"/>
    <w:rsid w:val="001C1CCE"/>
    <w:rsid w:val="001C706F"/>
    <w:rsid w:val="001E1F3B"/>
    <w:rsid w:val="001E22EC"/>
    <w:rsid w:val="001E7945"/>
    <w:rsid w:val="002110B0"/>
    <w:rsid w:val="0021589A"/>
    <w:rsid w:val="0022057B"/>
    <w:rsid w:val="002222B6"/>
    <w:rsid w:val="002235A5"/>
    <w:rsid w:val="00224F4E"/>
    <w:rsid w:val="00227BCD"/>
    <w:rsid w:val="00247ECE"/>
    <w:rsid w:val="002500A5"/>
    <w:rsid w:val="00250F37"/>
    <w:rsid w:val="00263CDC"/>
    <w:rsid w:val="00267EF3"/>
    <w:rsid w:val="002801B8"/>
    <w:rsid w:val="00285F5A"/>
    <w:rsid w:val="00293275"/>
    <w:rsid w:val="00297AA7"/>
    <w:rsid w:val="002A0BC1"/>
    <w:rsid w:val="002B5D6A"/>
    <w:rsid w:val="002B7F69"/>
    <w:rsid w:val="002C295A"/>
    <w:rsid w:val="002C3AF3"/>
    <w:rsid w:val="002C64E7"/>
    <w:rsid w:val="002D3769"/>
    <w:rsid w:val="002D6411"/>
    <w:rsid w:val="002F424B"/>
    <w:rsid w:val="0031578F"/>
    <w:rsid w:val="00315C19"/>
    <w:rsid w:val="003163D8"/>
    <w:rsid w:val="00321C31"/>
    <w:rsid w:val="00335163"/>
    <w:rsid w:val="0034072D"/>
    <w:rsid w:val="0034176A"/>
    <w:rsid w:val="00346ED7"/>
    <w:rsid w:val="003604C3"/>
    <w:rsid w:val="00362760"/>
    <w:rsid w:val="003647E7"/>
    <w:rsid w:val="00375D10"/>
    <w:rsid w:val="00387F46"/>
    <w:rsid w:val="003A3ACE"/>
    <w:rsid w:val="003A5611"/>
    <w:rsid w:val="003B067D"/>
    <w:rsid w:val="003B0BD4"/>
    <w:rsid w:val="003C25F2"/>
    <w:rsid w:val="003D2A22"/>
    <w:rsid w:val="003D2C9B"/>
    <w:rsid w:val="003E2893"/>
    <w:rsid w:val="003E3EF7"/>
    <w:rsid w:val="003E6BD0"/>
    <w:rsid w:val="004030ED"/>
    <w:rsid w:val="00406F12"/>
    <w:rsid w:val="004279D0"/>
    <w:rsid w:val="00427E5A"/>
    <w:rsid w:val="0043078B"/>
    <w:rsid w:val="00436D4B"/>
    <w:rsid w:val="00440577"/>
    <w:rsid w:val="004409A4"/>
    <w:rsid w:val="00456125"/>
    <w:rsid w:val="00460F8A"/>
    <w:rsid w:val="00463737"/>
    <w:rsid w:val="00473AC6"/>
    <w:rsid w:val="00475910"/>
    <w:rsid w:val="004A44BC"/>
    <w:rsid w:val="004A51C9"/>
    <w:rsid w:val="004A5676"/>
    <w:rsid w:val="004B6C91"/>
    <w:rsid w:val="004C00C5"/>
    <w:rsid w:val="004C0411"/>
    <w:rsid w:val="004C141B"/>
    <w:rsid w:val="004C2362"/>
    <w:rsid w:val="004C5EA0"/>
    <w:rsid w:val="004D0021"/>
    <w:rsid w:val="004D2E6D"/>
    <w:rsid w:val="004E4B36"/>
    <w:rsid w:val="004F3EB8"/>
    <w:rsid w:val="004F7D17"/>
    <w:rsid w:val="00502741"/>
    <w:rsid w:val="00502985"/>
    <w:rsid w:val="00511255"/>
    <w:rsid w:val="00512380"/>
    <w:rsid w:val="0052362C"/>
    <w:rsid w:val="005241EE"/>
    <w:rsid w:val="00524995"/>
    <w:rsid w:val="00527C5A"/>
    <w:rsid w:val="00533D73"/>
    <w:rsid w:val="00534762"/>
    <w:rsid w:val="00551A9B"/>
    <w:rsid w:val="00565D0F"/>
    <w:rsid w:val="00566E1F"/>
    <w:rsid w:val="00571D62"/>
    <w:rsid w:val="00574E8C"/>
    <w:rsid w:val="005827E1"/>
    <w:rsid w:val="00592A1A"/>
    <w:rsid w:val="0059560E"/>
    <w:rsid w:val="005C6C8E"/>
    <w:rsid w:val="005C7369"/>
    <w:rsid w:val="005D5E3B"/>
    <w:rsid w:val="005E76C3"/>
    <w:rsid w:val="005F5908"/>
    <w:rsid w:val="00605F7B"/>
    <w:rsid w:val="00607EA3"/>
    <w:rsid w:val="006118F4"/>
    <w:rsid w:val="00615AB2"/>
    <w:rsid w:val="00616518"/>
    <w:rsid w:val="00622DF1"/>
    <w:rsid w:val="0062694E"/>
    <w:rsid w:val="006416C1"/>
    <w:rsid w:val="0064267C"/>
    <w:rsid w:val="0065245B"/>
    <w:rsid w:val="00665B7C"/>
    <w:rsid w:val="0066642B"/>
    <w:rsid w:val="00676DA8"/>
    <w:rsid w:val="00683408"/>
    <w:rsid w:val="0068399D"/>
    <w:rsid w:val="0068614A"/>
    <w:rsid w:val="006A366E"/>
    <w:rsid w:val="006A515C"/>
    <w:rsid w:val="006B267D"/>
    <w:rsid w:val="006B7ED3"/>
    <w:rsid w:val="006C3F54"/>
    <w:rsid w:val="006D0F0C"/>
    <w:rsid w:val="006D75C2"/>
    <w:rsid w:val="006D7CF9"/>
    <w:rsid w:val="006E0C73"/>
    <w:rsid w:val="006E2344"/>
    <w:rsid w:val="006E3D6B"/>
    <w:rsid w:val="006F4B94"/>
    <w:rsid w:val="006F72DF"/>
    <w:rsid w:val="00704BD0"/>
    <w:rsid w:val="00706F05"/>
    <w:rsid w:val="0072037E"/>
    <w:rsid w:val="00720F8E"/>
    <w:rsid w:val="00736EEC"/>
    <w:rsid w:val="007516EA"/>
    <w:rsid w:val="00756335"/>
    <w:rsid w:val="00762718"/>
    <w:rsid w:val="007659A9"/>
    <w:rsid w:val="00771D6B"/>
    <w:rsid w:val="007762ED"/>
    <w:rsid w:val="00790C2E"/>
    <w:rsid w:val="00793C84"/>
    <w:rsid w:val="00795BDC"/>
    <w:rsid w:val="00795F22"/>
    <w:rsid w:val="007A0833"/>
    <w:rsid w:val="007A3351"/>
    <w:rsid w:val="007A5771"/>
    <w:rsid w:val="007B0653"/>
    <w:rsid w:val="007B2B65"/>
    <w:rsid w:val="007B3CB6"/>
    <w:rsid w:val="007B67DA"/>
    <w:rsid w:val="007D23E1"/>
    <w:rsid w:val="007D3F5F"/>
    <w:rsid w:val="007E04CF"/>
    <w:rsid w:val="007E11A6"/>
    <w:rsid w:val="007F093C"/>
    <w:rsid w:val="008035F0"/>
    <w:rsid w:val="008114FB"/>
    <w:rsid w:val="008120E9"/>
    <w:rsid w:val="00813DE4"/>
    <w:rsid w:val="00820A77"/>
    <w:rsid w:val="00823733"/>
    <w:rsid w:val="008257A1"/>
    <w:rsid w:val="008276AE"/>
    <w:rsid w:val="0083487B"/>
    <w:rsid w:val="00834DA4"/>
    <w:rsid w:val="008354BA"/>
    <w:rsid w:val="00842E5C"/>
    <w:rsid w:val="008444DA"/>
    <w:rsid w:val="008451A3"/>
    <w:rsid w:val="008453AB"/>
    <w:rsid w:val="008518EA"/>
    <w:rsid w:val="0085553A"/>
    <w:rsid w:val="008622A1"/>
    <w:rsid w:val="00863A30"/>
    <w:rsid w:val="0087284A"/>
    <w:rsid w:val="0087300D"/>
    <w:rsid w:val="00875175"/>
    <w:rsid w:val="008771F5"/>
    <w:rsid w:val="008827F7"/>
    <w:rsid w:val="00890614"/>
    <w:rsid w:val="00890BCA"/>
    <w:rsid w:val="0089304F"/>
    <w:rsid w:val="00894EE2"/>
    <w:rsid w:val="008A02BF"/>
    <w:rsid w:val="008A6A35"/>
    <w:rsid w:val="008B1966"/>
    <w:rsid w:val="008B6FF6"/>
    <w:rsid w:val="008C6630"/>
    <w:rsid w:val="008C68C0"/>
    <w:rsid w:val="008D1D43"/>
    <w:rsid w:val="008D2BCF"/>
    <w:rsid w:val="008E062B"/>
    <w:rsid w:val="008E392F"/>
    <w:rsid w:val="008E65E4"/>
    <w:rsid w:val="009018B1"/>
    <w:rsid w:val="00903EC7"/>
    <w:rsid w:val="00904B7F"/>
    <w:rsid w:val="0090673F"/>
    <w:rsid w:val="0091038C"/>
    <w:rsid w:val="0091084F"/>
    <w:rsid w:val="009118FE"/>
    <w:rsid w:val="00916E1F"/>
    <w:rsid w:val="00922AD7"/>
    <w:rsid w:val="00930DA8"/>
    <w:rsid w:val="00955EDB"/>
    <w:rsid w:val="00961CE4"/>
    <w:rsid w:val="009667F3"/>
    <w:rsid w:val="0096783D"/>
    <w:rsid w:val="009A6DAE"/>
    <w:rsid w:val="009B17A7"/>
    <w:rsid w:val="009B1ECD"/>
    <w:rsid w:val="009B4E07"/>
    <w:rsid w:val="009B5B8E"/>
    <w:rsid w:val="009C0FDC"/>
    <w:rsid w:val="009C2387"/>
    <w:rsid w:val="009D3902"/>
    <w:rsid w:val="009E0172"/>
    <w:rsid w:val="009E3720"/>
    <w:rsid w:val="009F226B"/>
    <w:rsid w:val="00A05076"/>
    <w:rsid w:val="00A0672F"/>
    <w:rsid w:val="00A231BA"/>
    <w:rsid w:val="00A263EF"/>
    <w:rsid w:val="00A27245"/>
    <w:rsid w:val="00A32C20"/>
    <w:rsid w:val="00A32E5C"/>
    <w:rsid w:val="00A33939"/>
    <w:rsid w:val="00A56EFC"/>
    <w:rsid w:val="00A6442F"/>
    <w:rsid w:val="00A66EE2"/>
    <w:rsid w:val="00A76F33"/>
    <w:rsid w:val="00AC3F69"/>
    <w:rsid w:val="00AC3FD8"/>
    <w:rsid w:val="00AC4C4E"/>
    <w:rsid w:val="00AD01DF"/>
    <w:rsid w:val="00AE376B"/>
    <w:rsid w:val="00AE39E3"/>
    <w:rsid w:val="00AE4947"/>
    <w:rsid w:val="00AF635D"/>
    <w:rsid w:val="00B0046C"/>
    <w:rsid w:val="00B02B82"/>
    <w:rsid w:val="00B116CC"/>
    <w:rsid w:val="00B23601"/>
    <w:rsid w:val="00B354FD"/>
    <w:rsid w:val="00B3671D"/>
    <w:rsid w:val="00B41C56"/>
    <w:rsid w:val="00B5202A"/>
    <w:rsid w:val="00B571B2"/>
    <w:rsid w:val="00B73FF6"/>
    <w:rsid w:val="00B7532E"/>
    <w:rsid w:val="00B83D1D"/>
    <w:rsid w:val="00B9104A"/>
    <w:rsid w:val="00BA025A"/>
    <w:rsid w:val="00BB1D07"/>
    <w:rsid w:val="00BB2DF9"/>
    <w:rsid w:val="00BD0F8C"/>
    <w:rsid w:val="00BD3D91"/>
    <w:rsid w:val="00BE4FEF"/>
    <w:rsid w:val="00BE5CFB"/>
    <w:rsid w:val="00BF27CD"/>
    <w:rsid w:val="00C01303"/>
    <w:rsid w:val="00C25E43"/>
    <w:rsid w:val="00C33584"/>
    <w:rsid w:val="00C3565E"/>
    <w:rsid w:val="00C3671B"/>
    <w:rsid w:val="00C52E18"/>
    <w:rsid w:val="00C57C43"/>
    <w:rsid w:val="00C75351"/>
    <w:rsid w:val="00C810AE"/>
    <w:rsid w:val="00C927EB"/>
    <w:rsid w:val="00C97078"/>
    <w:rsid w:val="00CA605E"/>
    <w:rsid w:val="00CB0173"/>
    <w:rsid w:val="00CD08DC"/>
    <w:rsid w:val="00CD128C"/>
    <w:rsid w:val="00CD6FAC"/>
    <w:rsid w:val="00CF0323"/>
    <w:rsid w:val="00CF22D5"/>
    <w:rsid w:val="00D118AB"/>
    <w:rsid w:val="00D12AFB"/>
    <w:rsid w:val="00D22C36"/>
    <w:rsid w:val="00D27A8E"/>
    <w:rsid w:val="00D31C2D"/>
    <w:rsid w:val="00D33D37"/>
    <w:rsid w:val="00D36C9F"/>
    <w:rsid w:val="00D47C05"/>
    <w:rsid w:val="00D535D0"/>
    <w:rsid w:val="00D622BA"/>
    <w:rsid w:val="00D71473"/>
    <w:rsid w:val="00D90692"/>
    <w:rsid w:val="00D919F1"/>
    <w:rsid w:val="00DA0A72"/>
    <w:rsid w:val="00DA3AF4"/>
    <w:rsid w:val="00DA3C85"/>
    <w:rsid w:val="00DA3E8D"/>
    <w:rsid w:val="00DB1868"/>
    <w:rsid w:val="00DB33FB"/>
    <w:rsid w:val="00DD009F"/>
    <w:rsid w:val="00DD10FA"/>
    <w:rsid w:val="00DF1FCB"/>
    <w:rsid w:val="00DF4999"/>
    <w:rsid w:val="00E01CC0"/>
    <w:rsid w:val="00E32CFF"/>
    <w:rsid w:val="00E5003A"/>
    <w:rsid w:val="00E50186"/>
    <w:rsid w:val="00E502D9"/>
    <w:rsid w:val="00E60451"/>
    <w:rsid w:val="00E76E65"/>
    <w:rsid w:val="00E81EDE"/>
    <w:rsid w:val="00E86508"/>
    <w:rsid w:val="00E92E67"/>
    <w:rsid w:val="00E95346"/>
    <w:rsid w:val="00E95888"/>
    <w:rsid w:val="00EA6C3B"/>
    <w:rsid w:val="00EB2FCC"/>
    <w:rsid w:val="00EB6228"/>
    <w:rsid w:val="00EE0429"/>
    <w:rsid w:val="00EE4066"/>
    <w:rsid w:val="00EE5CC8"/>
    <w:rsid w:val="00EE7A60"/>
    <w:rsid w:val="00EF625A"/>
    <w:rsid w:val="00EF6BD4"/>
    <w:rsid w:val="00EF70D8"/>
    <w:rsid w:val="00F01C7B"/>
    <w:rsid w:val="00F24736"/>
    <w:rsid w:val="00F279E2"/>
    <w:rsid w:val="00F27BF3"/>
    <w:rsid w:val="00F376FB"/>
    <w:rsid w:val="00F44BBC"/>
    <w:rsid w:val="00F46F0E"/>
    <w:rsid w:val="00F51584"/>
    <w:rsid w:val="00F63502"/>
    <w:rsid w:val="00F6796A"/>
    <w:rsid w:val="00F679F8"/>
    <w:rsid w:val="00F8114B"/>
    <w:rsid w:val="00F86864"/>
    <w:rsid w:val="00F94740"/>
    <w:rsid w:val="00F95280"/>
    <w:rsid w:val="00FA0CD1"/>
    <w:rsid w:val="00FA707E"/>
    <w:rsid w:val="00FB4DBE"/>
    <w:rsid w:val="00FB689E"/>
    <w:rsid w:val="00FD0D30"/>
    <w:rsid w:val="00FD2F8B"/>
    <w:rsid w:val="00FE45D6"/>
    <w:rsid w:val="00FF1493"/>
    <w:rsid w:val="00FF34BD"/>
    <w:rsid w:val="00FF6D04"/>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9458">
      <o:colormenu v:ext="edit" shadow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unhideWhenUsed="0"/>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unhideWhenUsed="0"/>
    <w:lsdException w:name="Default Paragraph Font" w:uiPriority="1"/>
    <w:lsdException w:name="Body Text Indent" w:uiPriority="0"/>
    <w:lsdException w:name="Subtitle" w:uiPriority="11" w:unhideWhenUsed="0"/>
    <w:lsdException w:name="Strong" w:uiPriority="22" w:unhideWhenUsed="0" w:qFormat="1"/>
    <w:lsdException w:name="Emphasis" w:uiPriority="20" w:unhideWhenUsed="0"/>
    <w:lsdException w:name="Table Grid" w:semiHidden="0" w:uiPriority="59" w:unhideWhenUsed="0"/>
    <w:lsdException w:name="Placeholder Text" w:unhideWhenUsed="0"/>
    <w:lsdException w:name="No Spacing"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unhideWhenUsed="0"/>
    <w:lsdException w:name="Quote" w:uiPriority="29" w:unhideWhenUsed="0"/>
    <w:lsdException w:name="Intense Quote"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unhideWhenUsed="0"/>
    <w:lsdException w:name="Intense Emphasis" w:uiPriority="21" w:unhideWhenUsed="0"/>
    <w:lsdException w:name="Subtle Reference" w:uiPriority="31" w:unhideWhenUsed="0"/>
    <w:lsdException w:name="Intense Reference" w:uiPriority="32" w:unhideWhenUsed="0"/>
    <w:lsdException w:name="Book Title" w:uiPriority="33" w:unhideWhenUsed="0"/>
    <w:lsdException w:name="Bibliography" w:uiPriority="37"/>
    <w:lsdException w:name="TOC Heading" w:uiPriority="39" w:qFormat="1"/>
  </w:latentStyles>
  <w:style w:type="paragraph" w:default="1" w:styleId="a">
    <w:name w:val="Normal"/>
    <w:uiPriority w:val="99"/>
    <w:semiHidden/>
    <w:rsid w:val="00AE39E3"/>
  </w:style>
  <w:style w:type="paragraph" w:styleId="1">
    <w:name w:val="heading 1"/>
    <w:basedOn w:val="a"/>
    <w:next w:val="a"/>
    <w:link w:val="10"/>
    <w:uiPriority w:val="9"/>
    <w:semiHidden/>
    <w:rsid w:val="00E76E65"/>
    <w:pPr>
      <w:keepNext/>
      <w:keepLines/>
      <w:spacing w:before="600" w:after="12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F95280"/>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F95280"/>
    <w:rPr>
      <w:rFonts w:ascii="Tahoma" w:hAnsi="Tahoma" w:cs="Tahoma"/>
      <w:sz w:val="16"/>
      <w:szCs w:val="16"/>
    </w:rPr>
  </w:style>
  <w:style w:type="paragraph" w:styleId="a5">
    <w:name w:val="footnote text"/>
    <w:basedOn w:val="a"/>
    <w:link w:val="a6"/>
    <w:uiPriority w:val="99"/>
    <w:semiHidden/>
    <w:unhideWhenUsed/>
    <w:rsid w:val="00427E5A"/>
    <w:pPr>
      <w:spacing w:after="0" w:line="240" w:lineRule="auto"/>
    </w:pPr>
    <w:rPr>
      <w:sz w:val="20"/>
      <w:szCs w:val="20"/>
    </w:rPr>
  </w:style>
  <w:style w:type="character" w:customStyle="1" w:styleId="a6">
    <w:name w:val="Текст сноски Знак"/>
    <w:basedOn w:val="a0"/>
    <w:link w:val="a5"/>
    <w:uiPriority w:val="99"/>
    <w:semiHidden/>
    <w:rsid w:val="00427E5A"/>
    <w:rPr>
      <w:sz w:val="20"/>
      <w:szCs w:val="20"/>
    </w:rPr>
  </w:style>
  <w:style w:type="character" w:styleId="a7">
    <w:name w:val="footnote reference"/>
    <w:basedOn w:val="a0"/>
    <w:uiPriority w:val="99"/>
    <w:semiHidden/>
    <w:unhideWhenUsed/>
    <w:rsid w:val="00427E5A"/>
    <w:rPr>
      <w:vertAlign w:val="superscript"/>
    </w:rPr>
  </w:style>
  <w:style w:type="paragraph" w:styleId="a8">
    <w:name w:val="endnote text"/>
    <w:basedOn w:val="a"/>
    <w:link w:val="a9"/>
    <w:uiPriority w:val="99"/>
    <w:semiHidden/>
    <w:unhideWhenUsed/>
    <w:rsid w:val="00427E5A"/>
    <w:pPr>
      <w:spacing w:after="0" w:line="240" w:lineRule="auto"/>
    </w:pPr>
    <w:rPr>
      <w:sz w:val="20"/>
      <w:szCs w:val="20"/>
    </w:rPr>
  </w:style>
  <w:style w:type="character" w:customStyle="1" w:styleId="a9">
    <w:name w:val="Текст концевой сноски Знак"/>
    <w:basedOn w:val="a0"/>
    <w:link w:val="a8"/>
    <w:uiPriority w:val="99"/>
    <w:semiHidden/>
    <w:rsid w:val="00427E5A"/>
    <w:rPr>
      <w:sz w:val="20"/>
      <w:szCs w:val="20"/>
    </w:rPr>
  </w:style>
  <w:style w:type="character" w:styleId="aa">
    <w:name w:val="endnote reference"/>
    <w:basedOn w:val="a0"/>
    <w:uiPriority w:val="99"/>
    <w:semiHidden/>
    <w:unhideWhenUsed/>
    <w:rsid w:val="00427E5A"/>
    <w:rPr>
      <w:vertAlign w:val="superscript"/>
    </w:rPr>
  </w:style>
  <w:style w:type="paragraph" w:customStyle="1" w:styleId="MainHeader">
    <w:name w:val="Main_Header"/>
    <w:basedOn w:val="htmlparentstyle"/>
    <w:link w:val="MainHeader0"/>
    <w:qFormat/>
    <w:rsid w:val="0068614A"/>
    <w:pPr>
      <w:spacing w:before="240" w:after="240"/>
    </w:pPr>
    <w:rPr>
      <w:rFonts w:cs="Arial"/>
      <w:b/>
      <w:sz w:val="28"/>
      <w:szCs w:val="26"/>
      <w:lang w:val="en-US"/>
    </w:rPr>
  </w:style>
  <w:style w:type="paragraph" w:customStyle="1" w:styleId="Affelations">
    <w:name w:val="Affelations"/>
    <w:basedOn w:val="htmlparentstyle"/>
    <w:link w:val="Affelations0"/>
    <w:qFormat/>
    <w:rsid w:val="005827E1"/>
    <w:pPr>
      <w:spacing w:line="240" w:lineRule="auto"/>
      <w:jc w:val="left"/>
    </w:pPr>
    <w:rPr>
      <w:rFonts w:cs="Arial"/>
      <w:i/>
      <w:iCs/>
      <w:lang w:val="en-GB"/>
    </w:rPr>
  </w:style>
  <w:style w:type="character" w:customStyle="1" w:styleId="MainHeader0">
    <w:name w:val="Main_Header Знак"/>
    <w:basedOn w:val="a0"/>
    <w:link w:val="MainHeader"/>
    <w:rsid w:val="005827E1"/>
    <w:rPr>
      <w:rFonts w:ascii="Arial" w:hAnsi="Arial" w:cs="Arial"/>
      <w:b/>
      <w:sz w:val="28"/>
      <w:szCs w:val="26"/>
      <w:lang w:val="en-US"/>
    </w:rPr>
  </w:style>
  <w:style w:type="paragraph" w:customStyle="1" w:styleId="CorrespondingAuthor">
    <w:name w:val="CorrespondingAuthor"/>
    <w:basedOn w:val="htmlparentstyle"/>
    <w:link w:val="CorrespondingAuthor0"/>
    <w:qFormat/>
    <w:rsid w:val="005827E1"/>
    <w:pPr>
      <w:spacing w:after="200"/>
      <w:jc w:val="left"/>
    </w:pPr>
    <w:rPr>
      <w:rFonts w:ascii="Times New Roman" w:hAnsi="Times New Roman" w:cs="Times New Roman"/>
      <w:i/>
      <w:lang w:val="en-US"/>
    </w:rPr>
  </w:style>
  <w:style w:type="character" w:styleId="ab">
    <w:name w:val="line number"/>
    <w:basedOn w:val="a0"/>
    <w:uiPriority w:val="99"/>
    <w:semiHidden/>
    <w:unhideWhenUsed/>
    <w:rsid w:val="007A3351"/>
  </w:style>
  <w:style w:type="character" w:customStyle="1" w:styleId="Affelations0">
    <w:name w:val="Affelations Знак"/>
    <w:basedOn w:val="a0"/>
    <w:link w:val="Affelations"/>
    <w:rsid w:val="005827E1"/>
    <w:rPr>
      <w:rFonts w:ascii="Arial" w:hAnsi="Arial" w:cs="Arial"/>
      <w:i/>
      <w:iCs/>
      <w:lang w:val="en-GB"/>
    </w:rPr>
  </w:style>
  <w:style w:type="paragraph" w:customStyle="1" w:styleId="Text">
    <w:name w:val="Text"/>
    <w:basedOn w:val="htmlparentstyle"/>
    <w:link w:val="Text0"/>
    <w:qFormat/>
    <w:rsid w:val="0068614A"/>
    <w:rPr>
      <w:rFonts w:cs="Arial"/>
    </w:rPr>
  </w:style>
  <w:style w:type="paragraph" w:customStyle="1" w:styleId="ArticleTitle">
    <w:name w:val="ArticleTitle"/>
    <w:basedOn w:val="htmlparentstyle"/>
    <w:link w:val="ArticleTitle0"/>
    <w:qFormat/>
    <w:rsid w:val="00406F12"/>
    <w:pPr>
      <w:spacing w:after="380"/>
      <w:jc w:val="center"/>
    </w:pPr>
    <w:rPr>
      <w:rFonts w:ascii="Times New Roman" w:hAnsi="Times New Roman" w:cs="Times New Roman"/>
      <w:b/>
      <w:i/>
      <w:color w:val="0000FF"/>
      <w:sz w:val="36"/>
      <w:szCs w:val="36"/>
      <w:lang w:val="en-US"/>
    </w:rPr>
  </w:style>
  <w:style w:type="character" w:customStyle="1" w:styleId="CorrespondingAuthor0">
    <w:name w:val="CorrespondingAuthor Знак"/>
    <w:basedOn w:val="a0"/>
    <w:link w:val="CorrespondingAuthor"/>
    <w:rsid w:val="005827E1"/>
    <w:rPr>
      <w:rFonts w:ascii="Times New Roman" w:hAnsi="Times New Roman" w:cs="Times New Roman"/>
      <w:i/>
      <w:lang w:val="en-US"/>
    </w:rPr>
  </w:style>
  <w:style w:type="paragraph" w:customStyle="1" w:styleId="Authors">
    <w:name w:val="Authors"/>
    <w:basedOn w:val="htmlparentstyle"/>
    <w:link w:val="Authors0"/>
    <w:qFormat/>
    <w:rsid w:val="00756335"/>
    <w:pPr>
      <w:spacing w:line="240" w:lineRule="auto"/>
      <w:jc w:val="center"/>
    </w:pPr>
    <w:rPr>
      <w:rFonts w:ascii="Times New Roman" w:hAnsi="Times New Roman" w:cs="Times New Roman"/>
      <w:b/>
      <w:noProof/>
      <w:color w:val="000066"/>
      <w:sz w:val="26"/>
      <w:szCs w:val="26"/>
      <w:lang w:val="en-US"/>
    </w:rPr>
  </w:style>
  <w:style w:type="paragraph" w:customStyle="1" w:styleId="IllustrationDescription">
    <w:name w:val="IllustrationDescription"/>
    <w:basedOn w:val="htmlparentstyle"/>
    <w:link w:val="IllustrationDescription0"/>
    <w:qFormat/>
    <w:rsid w:val="005827E1"/>
    <w:pPr>
      <w:spacing w:before="120" w:after="200"/>
      <w:jc w:val="center"/>
    </w:pPr>
    <w:rPr>
      <w:rFonts w:cs="Arial"/>
      <w:bCs/>
      <w:sz w:val="20"/>
      <w:szCs w:val="16"/>
      <w:lang w:val="en-US"/>
    </w:rPr>
  </w:style>
  <w:style w:type="character" w:customStyle="1" w:styleId="Text0">
    <w:name w:val="Text Знак"/>
    <w:basedOn w:val="a0"/>
    <w:link w:val="Text"/>
    <w:rsid w:val="005827E1"/>
    <w:rPr>
      <w:rFonts w:ascii="Arial" w:hAnsi="Arial" w:cs="Arial"/>
    </w:rPr>
  </w:style>
  <w:style w:type="paragraph" w:customStyle="1" w:styleId="Illustration">
    <w:name w:val="Illustration"/>
    <w:basedOn w:val="htmlparentstyle"/>
    <w:link w:val="Illustration0"/>
    <w:qFormat/>
    <w:rsid w:val="005827E1"/>
    <w:pPr>
      <w:widowControl w:val="0"/>
      <w:spacing w:before="200" w:after="120"/>
      <w:jc w:val="center"/>
    </w:pPr>
    <w:rPr>
      <w:rFonts w:cs="Arial"/>
      <w:noProof/>
      <w:szCs w:val="18"/>
      <w:lang w:eastAsia="ru-RU"/>
    </w:rPr>
  </w:style>
  <w:style w:type="character" w:customStyle="1" w:styleId="IllustrationDescription0">
    <w:name w:val="IllustrationDescription Знак"/>
    <w:basedOn w:val="a0"/>
    <w:link w:val="IllustrationDescription"/>
    <w:rsid w:val="005827E1"/>
    <w:rPr>
      <w:rFonts w:ascii="Arial" w:hAnsi="Arial" w:cs="Arial"/>
      <w:bCs/>
      <w:sz w:val="20"/>
      <w:szCs w:val="16"/>
      <w:lang w:val="en-US"/>
    </w:rPr>
  </w:style>
  <w:style w:type="paragraph" w:customStyle="1" w:styleId="References">
    <w:name w:val="References"/>
    <w:basedOn w:val="htmlparentstyle"/>
    <w:link w:val="References0"/>
    <w:qFormat/>
    <w:rsid w:val="00A0672F"/>
    <w:pPr>
      <w:spacing w:line="240" w:lineRule="auto"/>
    </w:pPr>
    <w:rPr>
      <w:rFonts w:cs="Arial"/>
    </w:rPr>
  </w:style>
  <w:style w:type="character" w:customStyle="1" w:styleId="Illustration0">
    <w:name w:val="Illustration Знак"/>
    <w:basedOn w:val="a0"/>
    <w:link w:val="Illustration"/>
    <w:rsid w:val="005827E1"/>
    <w:rPr>
      <w:rFonts w:ascii="Arial" w:hAnsi="Arial" w:cs="Arial"/>
      <w:noProof/>
      <w:szCs w:val="18"/>
      <w:lang w:eastAsia="ru-RU"/>
    </w:rPr>
  </w:style>
  <w:style w:type="character" w:customStyle="1" w:styleId="References0">
    <w:name w:val="References Знак"/>
    <w:basedOn w:val="a0"/>
    <w:link w:val="References"/>
    <w:rsid w:val="00AE39E3"/>
    <w:rPr>
      <w:rFonts w:ascii="Arial" w:hAnsi="Arial" w:cs="Arial"/>
    </w:rPr>
  </w:style>
  <w:style w:type="table" w:styleId="ac">
    <w:name w:val="Table Grid"/>
    <w:basedOn w:val="a1"/>
    <w:uiPriority w:val="59"/>
    <w:rsid w:val="00CD6FA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11">
    <w:name w:val="Светлая заливка1"/>
    <w:basedOn w:val="a1"/>
    <w:uiPriority w:val="60"/>
    <w:rsid w:val="00052C07"/>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2">
    <w:name w:val="Light Shading Accent 2"/>
    <w:basedOn w:val="a1"/>
    <w:uiPriority w:val="60"/>
    <w:rsid w:val="00052C07"/>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customStyle="1" w:styleId="10">
    <w:name w:val="Заголовок 1 Знак"/>
    <w:basedOn w:val="a0"/>
    <w:link w:val="1"/>
    <w:uiPriority w:val="9"/>
    <w:semiHidden/>
    <w:rsid w:val="00AE39E3"/>
    <w:rPr>
      <w:rFonts w:asciiTheme="majorHAnsi" w:eastAsiaTheme="majorEastAsia" w:hAnsiTheme="majorHAnsi" w:cstheme="majorBidi"/>
      <w:b/>
      <w:bCs/>
      <w:color w:val="365F91" w:themeColor="accent1" w:themeShade="BF"/>
      <w:sz w:val="28"/>
      <w:szCs w:val="28"/>
    </w:rPr>
  </w:style>
  <w:style w:type="character" w:customStyle="1" w:styleId="ArticleTitle0">
    <w:name w:val="ArticleTitle Знак"/>
    <w:basedOn w:val="a0"/>
    <w:link w:val="ArticleTitle"/>
    <w:rsid w:val="005827E1"/>
    <w:rPr>
      <w:rFonts w:ascii="Times New Roman" w:hAnsi="Times New Roman" w:cs="Times New Roman"/>
      <w:b/>
      <w:i/>
      <w:color w:val="0000FF"/>
      <w:sz w:val="36"/>
      <w:szCs w:val="36"/>
      <w:lang w:val="en-US"/>
    </w:rPr>
  </w:style>
  <w:style w:type="table" w:customStyle="1" w:styleId="12">
    <w:name w:val="Сетка таблицы1"/>
    <w:basedOn w:val="a1"/>
    <w:next w:val="a1"/>
    <w:uiPriority w:val="59"/>
    <w:rsid w:val="002C295A"/>
    <w:pPr>
      <w:spacing w:after="0" w:line="240" w:lineRule="auto"/>
    </w:pPr>
    <w:rPr>
      <w:rFonts w:eastAsiaTheme="minorEastAsia"/>
      <w:lang w:eastAsia="ru-RU"/>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d">
    <w:name w:val="Body Text Indent"/>
    <w:basedOn w:val="a"/>
    <w:link w:val="ae"/>
    <w:semiHidden/>
    <w:rsid w:val="00165A36"/>
    <w:pPr>
      <w:spacing w:after="0" w:line="240" w:lineRule="auto"/>
      <w:ind w:left="540"/>
    </w:pPr>
    <w:rPr>
      <w:rFonts w:ascii="Times New Roman" w:eastAsia="Times New Roman" w:hAnsi="Times New Roman" w:cs="Times New Roman"/>
      <w:sz w:val="24"/>
      <w:szCs w:val="24"/>
      <w:lang w:eastAsia="ru-RU"/>
    </w:rPr>
  </w:style>
  <w:style w:type="character" w:customStyle="1" w:styleId="ae">
    <w:name w:val="Основной текст с отступом Знак"/>
    <w:basedOn w:val="a0"/>
    <w:link w:val="ad"/>
    <w:semiHidden/>
    <w:rsid w:val="00165A36"/>
    <w:rPr>
      <w:rFonts w:ascii="Times New Roman" w:eastAsia="Times New Roman" w:hAnsi="Times New Roman" w:cs="Times New Roman"/>
      <w:sz w:val="24"/>
      <w:szCs w:val="24"/>
      <w:lang w:eastAsia="ru-RU"/>
    </w:rPr>
  </w:style>
  <w:style w:type="paragraph" w:customStyle="1" w:styleId="AbsFig">
    <w:name w:val="AbsFig"/>
    <w:basedOn w:val="htmlparentstyle"/>
    <w:link w:val="AbsFig0"/>
    <w:qFormat/>
    <w:rsid w:val="001704B0"/>
    <w:pPr>
      <w:spacing w:before="200" w:after="200"/>
      <w:ind w:left="147"/>
      <w:jc w:val="center"/>
    </w:pPr>
    <w:rPr>
      <w:rFonts w:cs="Arial"/>
      <w:noProof/>
      <w:spacing w:val="-2"/>
      <w:szCs w:val="20"/>
      <w:lang w:eastAsia="ru-RU"/>
    </w:rPr>
  </w:style>
  <w:style w:type="paragraph" w:customStyle="1" w:styleId="AbsText">
    <w:name w:val="AbsText"/>
    <w:basedOn w:val="htmlparentstyle"/>
    <w:link w:val="AbsText0"/>
    <w:qFormat/>
    <w:rsid w:val="001704B0"/>
    <w:pPr>
      <w:ind w:left="147"/>
    </w:pPr>
    <w:rPr>
      <w:rFonts w:cs="Arial"/>
      <w:szCs w:val="18"/>
      <w:lang w:val="en-US"/>
    </w:rPr>
  </w:style>
  <w:style w:type="character" w:customStyle="1" w:styleId="AbsFig0">
    <w:name w:val="AbsFig Знак"/>
    <w:basedOn w:val="a0"/>
    <w:link w:val="AbsFig"/>
    <w:rsid w:val="001704B0"/>
    <w:rPr>
      <w:rFonts w:ascii="Arial" w:hAnsi="Arial" w:cs="Arial"/>
      <w:noProof/>
      <w:spacing w:val="-2"/>
      <w:szCs w:val="20"/>
      <w:lang w:eastAsia="ru-RU"/>
    </w:rPr>
  </w:style>
  <w:style w:type="paragraph" w:customStyle="1" w:styleId="Keywords">
    <w:name w:val="Keywords"/>
    <w:basedOn w:val="htmlparentstyle"/>
    <w:link w:val="Keywords0"/>
    <w:qFormat/>
    <w:rsid w:val="00EF6BD4"/>
    <w:pPr>
      <w:spacing w:before="120"/>
      <w:ind w:left="147"/>
    </w:pPr>
    <w:rPr>
      <w:rFonts w:cs="Arial"/>
      <w:lang w:val="en-US"/>
    </w:rPr>
  </w:style>
  <w:style w:type="character" w:customStyle="1" w:styleId="AbsText0">
    <w:name w:val="AbsText Знак"/>
    <w:basedOn w:val="a0"/>
    <w:link w:val="AbsText"/>
    <w:rsid w:val="001704B0"/>
    <w:rPr>
      <w:rFonts w:ascii="Arial" w:hAnsi="Arial" w:cs="Arial"/>
      <w:szCs w:val="18"/>
      <w:lang w:val="en-US"/>
    </w:rPr>
  </w:style>
  <w:style w:type="character" w:customStyle="1" w:styleId="Keywords0">
    <w:name w:val="Keywords Знак"/>
    <w:basedOn w:val="a0"/>
    <w:link w:val="Keywords"/>
    <w:rsid w:val="001704B0"/>
    <w:rPr>
      <w:rFonts w:ascii="Arial" w:hAnsi="Arial" w:cs="Arial"/>
      <w:lang w:val="en-US"/>
    </w:rPr>
  </w:style>
  <w:style w:type="character" w:customStyle="1" w:styleId="Authors0">
    <w:name w:val="Authors Знак"/>
    <w:basedOn w:val="a0"/>
    <w:link w:val="Authors"/>
    <w:rsid w:val="005827E1"/>
    <w:rPr>
      <w:rFonts w:ascii="Times New Roman" w:hAnsi="Times New Roman" w:cs="Times New Roman"/>
      <w:b/>
      <w:noProof/>
      <w:color w:val="000066"/>
      <w:sz w:val="26"/>
      <w:szCs w:val="26"/>
      <w:lang w:val="en-US"/>
    </w:rPr>
  </w:style>
  <w:style w:type="character" w:styleId="af">
    <w:name w:val="FollowedHyperlink"/>
    <w:basedOn w:val="a0"/>
    <w:uiPriority w:val="99"/>
    <w:semiHidden/>
    <w:unhideWhenUsed/>
    <w:rsid w:val="00FD0D30"/>
    <w:rPr>
      <w:color w:val="800080" w:themeColor="followedHyperlink"/>
      <w:u w:val="single"/>
    </w:rPr>
  </w:style>
  <w:style w:type="table" w:customStyle="1" w:styleId="21">
    <w:name w:val="Таблица простая 21"/>
    <w:basedOn w:val="a1"/>
    <w:uiPriority w:val="42"/>
    <w:rsid w:val="007659A9"/>
    <w:pPr>
      <w:spacing w:after="0" w:line="240" w:lineRule="auto"/>
    </w:pPr>
    <w:rPr>
      <w:rFonts w:eastAsiaTheme="minorEastAsia"/>
      <w:lang w:eastAsia="ru-RU"/>
    </w:r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TableDescription">
    <w:name w:val="TableDescription"/>
    <w:basedOn w:val="htmlparentstyle"/>
    <w:link w:val="TableDescription0"/>
    <w:qFormat/>
    <w:rsid w:val="005827E1"/>
    <w:pPr>
      <w:spacing w:before="200" w:after="120"/>
      <w:jc w:val="center"/>
    </w:pPr>
    <w:rPr>
      <w:sz w:val="20"/>
    </w:rPr>
  </w:style>
  <w:style w:type="character" w:customStyle="1" w:styleId="TableDescription0">
    <w:name w:val="TableDescription Знак"/>
    <w:basedOn w:val="IllustrationDescription0"/>
    <w:link w:val="TableDescription"/>
    <w:rsid w:val="005827E1"/>
  </w:style>
  <w:style w:type="table" w:customStyle="1" w:styleId="ArticleDefaultTable">
    <w:name w:val="ArticleDefaultTable"/>
    <w:basedOn w:val="a1"/>
    <w:uiPriority w:val="99"/>
    <w:qFormat/>
    <w:rsid w:val="00025448"/>
    <w:pPr>
      <w:spacing w:after="0" w:line="240" w:lineRule="auto"/>
      <w:jc w:val="center"/>
    </w:pPr>
    <w:rPr>
      <w:rFonts w:ascii="Arial" w:hAnsi="Arial"/>
      <w:sz w:val="20"/>
    </w:rPr>
    <w:tblPr>
      <w:tblInd w:w="0" w:type="dxa"/>
      <w:tblBorders>
        <w:top w:val="single" w:sz="4" w:space="0" w:color="auto"/>
        <w:bottom w:val="single" w:sz="4" w:space="0" w:color="auto"/>
      </w:tblBorders>
      <w:tblCellMar>
        <w:top w:w="0" w:type="dxa"/>
        <w:left w:w="108" w:type="dxa"/>
        <w:bottom w:w="0" w:type="dxa"/>
        <w:right w:w="108" w:type="dxa"/>
      </w:tblCellMar>
    </w:tblPr>
    <w:tcPr>
      <w:vAlign w:val="center"/>
    </w:tcPr>
    <w:tblStylePr w:type="firstRow">
      <w:rPr>
        <w:rFonts w:ascii="Arial" w:hAnsi="Arial"/>
        <w:sz w:val="20"/>
      </w:rPr>
      <w:tblPr/>
      <w:tcPr>
        <w:tcBorders>
          <w:top w:val="single" w:sz="4" w:space="0" w:color="auto"/>
          <w:left w:val="nil"/>
          <w:bottom w:val="single" w:sz="4" w:space="0" w:color="auto"/>
          <w:right w:val="nil"/>
          <w:insideH w:val="nil"/>
          <w:insideV w:val="nil"/>
          <w:tl2br w:val="nil"/>
          <w:tr2bl w:val="nil"/>
        </w:tcBorders>
      </w:tcPr>
    </w:tblStylePr>
  </w:style>
  <w:style w:type="paragraph" w:customStyle="1" w:styleId="ArticleTable">
    <w:name w:val="ArticleTable"/>
    <w:basedOn w:val="htmlparentstyle"/>
    <w:link w:val="ArticleTable0"/>
    <w:qFormat/>
    <w:rsid w:val="00D90692"/>
    <w:pPr>
      <w:autoSpaceDE w:val="0"/>
      <w:autoSpaceDN w:val="0"/>
      <w:adjustRightInd w:val="0"/>
      <w:spacing w:line="240" w:lineRule="auto"/>
      <w:jc w:val="center"/>
    </w:pPr>
    <w:rPr>
      <w:rFonts w:cs="Arial"/>
      <w:sz w:val="20"/>
      <w:szCs w:val="16"/>
      <w:lang w:val="en-US"/>
    </w:rPr>
  </w:style>
  <w:style w:type="character" w:customStyle="1" w:styleId="ArticleTable0">
    <w:name w:val="ArticleTable Знак"/>
    <w:basedOn w:val="a0"/>
    <w:link w:val="ArticleTable"/>
    <w:rsid w:val="00D90692"/>
    <w:rPr>
      <w:rFonts w:ascii="Arial" w:hAnsi="Arial" w:cs="Arial"/>
      <w:color w:val="263238"/>
      <w:sz w:val="20"/>
      <w:szCs w:val="16"/>
      <w:lang w:val="en-US"/>
    </w:rPr>
  </w:style>
  <w:style w:type="paragraph" w:customStyle="1" w:styleId="htmlparentstyle">
    <w:name w:val="html_parent_style"/>
    <w:basedOn w:val="a"/>
    <w:rsid w:val="00F24736"/>
    <w:pPr>
      <w:spacing w:after="0"/>
      <w:jc w:val="both"/>
    </w:pPr>
    <w:rPr>
      <w:rFonts w:ascii="Arial" w:hAnsi="Arial"/>
      <w:color w:val="263238"/>
    </w:rPr>
  </w:style>
  <w:style w:type="paragraph" w:customStyle="1" w:styleId="ArticleTableLegend">
    <w:name w:val="ArticleTableLegend"/>
    <w:basedOn w:val="htmlparentstyle"/>
    <w:next w:val="htmlparentstyle"/>
    <w:link w:val="ArticleTableLegend0"/>
    <w:qFormat/>
    <w:rsid w:val="005827E1"/>
    <w:pPr>
      <w:spacing w:before="60"/>
    </w:pPr>
    <w:rPr>
      <w:rFonts w:cs="Times New Roman"/>
      <w:bCs/>
      <w:iCs/>
      <w:sz w:val="20"/>
      <w:szCs w:val="16"/>
      <w:lang w:val="en-US"/>
    </w:rPr>
  </w:style>
  <w:style w:type="character" w:customStyle="1" w:styleId="ArticleTableLegend0">
    <w:name w:val="ArticleTableLegend Знак"/>
    <w:basedOn w:val="a0"/>
    <w:link w:val="ArticleTableLegend"/>
    <w:rsid w:val="00D90692"/>
    <w:rPr>
      <w:rFonts w:ascii="Arial" w:hAnsi="Arial" w:cs="Times New Roman"/>
      <w:bCs/>
      <w:iCs/>
      <w:color w:val="263238"/>
      <w:sz w:val="20"/>
      <w:szCs w:val="16"/>
      <w:lang w:val="en-US"/>
    </w:rPr>
  </w:style>
  <w:style w:type="paragraph" w:customStyle="1" w:styleId="Header1">
    <w:name w:val="Header 1"/>
    <w:basedOn w:val="a"/>
    <w:link w:val="Header10"/>
    <w:qFormat/>
    <w:rsid w:val="003D2C9B"/>
    <w:pPr>
      <w:spacing w:before="200"/>
    </w:pPr>
    <w:rPr>
      <w:rFonts w:ascii="Arial" w:hAnsi="Arial" w:cs="Arial"/>
      <w:b/>
      <w:lang w:val="en-US"/>
    </w:rPr>
  </w:style>
  <w:style w:type="paragraph" w:customStyle="1" w:styleId="MainText">
    <w:name w:val="Main Text"/>
    <w:basedOn w:val="a"/>
    <w:link w:val="MainText0"/>
    <w:qFormat/>
    <w:rsid w:val="003D2C9B"/>
    <w:pPr>
      <w:spacing w:after="0"/>
      <w:ind w:firstLine="278"/>
      <w:jc w:val="both"/>
    </w:pPr>
    <w:rPr>
      <w:rFonts w:ascii="Times New Roman" w:hAnsi="Times New Roman" w:cs="Times New Roman"/>
      <w:sz w:val="18"/>
      <w:szCs w:val="18"/>
      <w:lang w:val="en-US"/>
    </w:rPr>
  </w:style>
  <w:style w:type="character" w:customStyle="1" w:styleId="Header10">
    <w:name w:val="Header 1 Знак"/>
    <w:basedOn w:val="a0"/>
    <w:link w:val="Header1"/>
    <w:rsid w:val="003D2C9B"/>
    <w:rPr>
      <w:rFonts w:ascii="Arial" w:hAnsi="Arial" w:cs="Arial"/>
      <w:b/>
      <w:lang w:val="en-US"/>
    </w:rPr>
  </w:style>
  <w:style w:type="paragraph" w:customStyle="1" w:styleId="Captions">
    <w:name w:val="Captions"/>
    <w:basedOn w:val="MainText"/>
    <w:next w:val="MainText"/>
    <w:link w:val="Captions0"/>
    <w:qFormat/>
    <w:rsid w:val="003D2C9B"/>
    <w:pPr>
      <w:spacing w:before="200" w:line="240" w:lineRule="auto"/>
    </w:pPr>
    <w:rPr>
      <w:b/>
    </w:rPr>
  </w:style>
  <w:style w:type="character" w:customStyle="1" w:styleId="MainText0">
    <w:name w:val="Main Text Знак"/>
    <w:basedOn w:val="a0"/>
    <w:link w:val="MainText"/>
    <w:rsid w:val="003D2C9B"/>
    <w:rPr>
      <w:rFonts w:ascii="Times New Roman" w:hAnsi="Times New Roman" w:cs="Times New Roman"/>
      <w:sz w:val="18"/>
      <w:szCs w:val="18"/>
      <w:lang w:val="en-US"/>
    </w:rPr>
  </w:style>
  <w:style w:type="paragraph" w:customStyle="1" w:styleId="Header2">
    <w:name w:val="Header 2"/>
    <w:basedOn w:val="a"/>
    <w:next w:val="MainText"/>
    <w:link w:val="Header20"/>
    <w:qFormat/>
    <w:rsid w:val="003D2C9B"/>
    <w:pPr>
      <w:spacing w:before="120" w:after="120" w:line="240" w:lineRule="auto"/>
    </w:pPr>
    <w:rPr>
      <w:rFonts w:ascii="Times New Roman" w:hAnsi="Times New Roman" w:cs="Times New Roman"/>
      <w:b/>
      <w:sz w:val="20"/>
      <w:szCs w:val="20"/>
      <w:lang w:val="en-US"/>
    </w:rPr>
  </w:style>
  <w:style w:type="character" w:customStyle="1" w:styleId="Captions0">
    <w:name w:val="Captions Знак"/>
    <w:basedOn w:val="a0"/>
    <w:link w:val="Captions"/>
    <w:rsid w:val="003D2C9B"/>
    <w:rPr>
      <w:rFonts w:ascii="Times New Roman" w:hAnsi="Times New Roman" w:cs="Times New Roman"/>
      <w:b/>
      <w:sz w:val="18"/>
      <w:szCs w:val="18"/>
      <w:lang w:val="en-US"/>
    </w:rPr>
  </w:style>
  <w:style w:type="character" w:customStyle="1" w:styleId="Header20">
    <w:name w:val="Header 2 Знак"/>
    <w:basedOn w:val="a0"/>
    <w:link w:val="Header2"/>
    <w:rsid w:val="003D2C9B"/>
    <w:rPr>
      <w:rFonts w:ascii="Times New Roman" w:hAnsi="Times New Roman" w:cs="Times New Roman"/>
      <w:b/>
      <w:sz w:val="20"/>
      <w:szCs w:val="20"/>
      <w:lang w:val="en-US"/>
    </w:rPr>
  </w:style>
  <w:style w:type="character" w:customStyle="1" w:styleId="ezkurwreuab5ozgtqnkl">
    <w:name w:val="ezkurwreuab5ozgtqnkl"/>
    <w:basedOn w:val="a0"/>
    <w:rsid w:val="003D2C9B"/>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oi.org/10.32931/io2507a"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460D56-451C-41ED-B2A3-F273ADD1A5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4</Pages>
  <Words>1297</Words>
  <Characters>7397</Characters>
  <Application>Microsoft Office Word</Application>
  <DocSecurity>0</DocSecurity>
  <Lines>61</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8677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INEOS Open</dc:creator>
  <cp:lastModifiedBy>VIP_Kafa</cp:lastModifiedBy>
  <cp:revision>33</cp:revision>
  <dcterms:created xsi:type="dcterms:W3CDTF">2025-07-01T17:14:00Z</dcterms:created>
  <dcterms:modified xsi:type="dcterms:W3CDTF">2025-08-03T08:57:00Z</dcterms:modified>
</cp:coreProperties>
</file>