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21"/>
        <w:gridCol w:w="4664"/>
      </w:tblGrid>
      <w:tr w:rsidR="008622A1" w:rsidRPr="00716C8A" w14:paraId="7780B175" w14:textId="77777777" w:rsidTr="00DF4999">
        <w:trPr>
          <w:trHeight w:val="516"/>
        </w:trPr>
        <w:tc>
          <w:tcPr>
            <w:tcW w:w="1242" w:type="dxa"/>
          </w:tcPr>
          <w:p w14:paraId="48D38C0E" w14:textId="77777777" w:rsidR="008622A1" w:rsidRPr="00716C8A" w:rsidRDefault="001B0919" w:rsidP="00683408">
            <w:pPr>
              <w:pStyle w:val="MainText"/>
              <w:ind w:firstLine="4"/>
              <w:jc w:val="left"/>
            </w:pPr>
            <w:r w:rsidRPr="00716C8A">
              <w:rPr>
                <w:noProof/>
                <w:lang w:val="ru-RU" w:eastAsia="ru-RU"/>
              </w:rPr>
              <w:drawing>
                <wp:inline distT="0" distB="0" distL="0" distR="0" wp14:anchorId="69A22411" wp14:editId="0C4E8C13">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76B0CBA0" w14:textId="77777777" w:rsidR="008622A1" w:rsidRPr="00716C8A" w:rsidRDefault="00541249" w:rsidP="00541249">
            <w:pPr>
              <w:jc w:val="center"/>
              <w:rPr>
                <w:lang w:val="en-US"/>
              </w:rPr>
            </w:pPr>
            <w:r w:rsidRPr="00716C8A">
              <w:rPr>
                <w:rFonts w:ascii="Arial" w:hAnsi="Arial" w:cs="Arial"/>
                <w:b/>
                <w:caps/>
                <w:sz w:val="28"/>
                <w:szCs w:val="28"/>
                <w:lang w:val="en-US"/>
              </w:rPr>
              <w:t>INFLUENCE OF DIETHYLZINC ON the ETHYLENE POLYMERIZATION CATALYZED BY</w:t>
            </w:r>
            <w:r w:rsidR="004535A2" w:rsidRPr="00716C8A">
              <w:rPr>
                <w:rFonts w:ascii="Arial" w:hAnsi="Arial" w:cs="Arial"/>
                <w:b/>
                <w:caps/>
                <w:sz w:val="28"/>
                <w:szCs w:val="28"/>
                <w:lang w:val="en-US"/>
              </w:rPr>
              <w:br/>
            </w:r>
            <w:r w:rsidR="004535A2" w:rsidRPr="00716C8A">
              <w:rPr>
                <w:rFonts w:ascii="Arial" w:hAnsi="Arial" w:cs="Arial"/>
                <w:b/>
                <w:sz w:val="28"/>
                <w:szCs w:val="28"/>
                <w:lang w:val="en-US"/>
              </w:rPr>
              <w:t>α</w:t>
            </w:r>
            <w:r w:rsidRPr="00716C8A">
              <w:rPr>
                <w:rFonts w:ascii="Arial" w:hAnsi="Arial" w:cs="Arial"/>
                <w:b/>
                <w:caps/>
                <w:sz w:val="28"/>
                <w:szCs w:val="28"/>
                <w:lang w:val="en-US"/>
              </w:rPr>
              <w:t>-DIIMINE NICKEL</w:t>
            </w:r>
            <w:r w:rsidR="007D0992" w:rsidRPr="00716C8A">
              <w:rPr>
                <w:rFonts w:ascii="Arial" w:hAnsi="Arial" w:cs="Arial"/>
                <w:b/>
                <w:caps/>
                <w:sz w:val="28"/>
                <w:szCs w:val="28"/>
                <w:lang w:val="en-US"/>
              </w:rPr>
              <w:t>(II)</w:t>
            </w:r>
            <w:r w:rsidRPr="00716C8A">
              <w:rPr>
                <w:rFonts w:ascii="Arial" w:hAnsi="Arial" w:cs="Arial"/>
                <w:b/>
                <w:caps/>
                <w:sz w:val="28"/>
                <w:szCs w:val="28"/>
                <w:lang w:val="en-US"/>
              </w:rPr>
              <w:t xml:space="preserve"> COMPLEXES</w:t>
            </w:r>
          </w:p>
        </w:tc>
      </w:tr>
      <w:tr w:rsidR="00D71473" w:rsidRPr="00716C8A" w14:paraId="414621AB" w14:textId="77777777" w:rsidTr="00DF4999">
        <w:trPr>
          <w:trHeight w:val="516"/>
        </w:trPr>
        <w:tc>
          <w:tcPr>
            <w:tcW w:w="2410" w:type="dxa"/>
            <w:gridSpan w:val="2"/>
            <w:vMerge w:val="restart"/>
          </w:tcPr>
          <w:p w14:paraId="1F24CAEB" w14:textId="77777777" w:rsidR="000E1B06" w:rsidRPr="00716C8A" w:rsidRDefault="00D71473" w:rsidP="007516EA">
            <w:pPr>
              <w:pStyle w:val="MainText"/>
              <w:ind w:firstLine="0"/>
              <w:jc w:val="left"/>
            </w:pPr>
            <w:r w:rsidRPr="00716C8A">
              <w:t xml:space="preserve">Cite this: </w:t>
            </w:r>
            <w:r w:rsidR="00DF4999" w:rsidRPr="00716C8A">
              <w:rPr>
                <w:i/>
              </w:rPr>
              <w:t>INEOS</w:t>
            </w:r>
            <w:r w:rsidR="00DF4999" w:rsidRPr="00716C8A">
              <w:rPr>
                <w:rFonts w:ascii="Times New Roman CYR" w:hAnsi="Times New Roman CYR" w:cs="Times New Roman CYR"/>
                <w:i/>
              </w:rPr>
              <w:t xml:space="preserve"> OPEN</w:t>
            </w:r>
            <w:r w:rsidR="00DF4999" w:rsidRPr="00716C8A">
              <w:t>,</w:t>
            </w:r>
          </w:p>
          <w:p w14:paraId="6189651F" w14:textId="3130150B" w:rsidR="00D71473" w:rsidRPr="00716C8A" w:rsidRDefault="00DF4999" w:rsidP="007516EA">
            <w:pPr>
              <w:pStyle w:val="MainText"/>
              <w:ind w:firstLine="0"/>
              <w:jc w:val="left"/>
            </w:pPr>
            <w:r w:rsidRPr="00716C8A">
              <w:rPr>
                <w:b/>
              </w:rPr>
              <w:t>20</w:t>
            </w:r>
            <w:r w:rsidR="00541249" w:rsidRPr="00716C8A">
              <w:rPr>
                <w:b/>
              </w:rPr>
              <w:t>25</w:t>
            </w:r>
            <w:r w:rsidRPr="00716C8A">
              <w:t xml:space="preserve">, </w:t>
            </w:r>
            <w:r w:rsidR="00541249" w:rsidRPr="00716C8A">
              <w:rPr>
                <w:i/>
                <w:iCs/>
              </w:rPr>
              <w:t>8</w:t>
            </w:r>
            <w:r w:rsidRPr="00716C8A">
              <w:rPr>
                <w:i/>
                <w:iCs/>
              </w:rPr>
              <w:t xml:space="preserve"> (</w:t>
            </w:r>
            <w:r w:rsidR="00541249" w:rsidRPr="00716C8A">
              <w:rPr>
                <w:i/>
                <w:iCs/>
              </w:rPr>
              <w:t>1–3</w:t>
            </w:r>
            <w:r w:rsidRPr="00716C8A">
              <w:rPr>
                <w:i/>
                <w:iCs/>
              </w:rPr>
              <w:t>)</w:t>
            </w:r>
            <w:r w:rsidRPr="00716C8A">
              <w:t xml:space="preserve">, </w:t>
            </w:r>
            <w:r w:rsidR="00D22D8D" w:rsidRPr="00716C8A">
              <w:t>101</w:t>
            </w:r>
            <w:r w:rsidRPr="00716C8A">
              <w:t>–</w:t>
            </w:r>
            <w:r w:rsidR="00D22D8D" w:rsidRPr="00716C8A">
              <w:t>103</w:t>
            </w:r>
          </w:p>
          <w:p w14:paraId="6EF9489A" w14:textId="016D1594" w:rsidR="007516EA" w:rsidRPr="00716C8A" w:rsidRDefault="007516EA" w:rsidP="007516EA">
            <w:pPr>
              <w:pStyle w:val="MainText"/>
              <w:ind w:firstLine="0"/>
              <w:jc w:val="left"/>
            </w:pPr>
            <w:r w:rsidRPr="00716C8A">
              <w:t>DOI: 10.32931/io</w:t>
            </w:r>
            <w:r w:rsidR="00D22D8D" w:rsidRPr="00716C8A">
              <w:t>2537a</w:t>
            </w:r>
          </w:p>
          <w:p w14:paraId="6C631CD3" w14:textId="77777777" w:rsidR="00BE4FEF" w:rsidRPr="00716C8A" w:rsidRDefault="00BE4FEF" w:rsidP="007516EA">
            <w:pPr>
              <w:pStyle w:val="MainText"/>
              <w:ind w:firstLine="0"/>
              <w:jc w:val="left"/>
            </w:pPr>
          </w:p>
          <w:p w14:paraId="3155C59C" w14:textId="1F9F04CA" w:rsidR="00D71473" w:rsidRPr="00716C8A" w:rsidRDefault="00D71473" w:rsidP="007516EA">
            <w:pPr>
              <w:pStyle w:val="MainText"/>
              <w:ind w:firstLine="0"/>
              <w:rPr>
                <w:i/>
                <w:szCs w:val="14"/>
              </w:rPr>
            </w:pPr>
            <w:r w:rsidRPr="00716C8A">
              <w:rPr>
                <w:i/>
                <w:szCs w:val="14"/>
              </w:rPr>
              <w:t xml:space="preserve">Received </w:t>
            </w:r>
            <w:r w:rsidR="00D22D8D" w:rsidRPr="00716C8A">
              <w:rPr>
                <w:i/>
                <w:szCs w:val="14"/>
              </w:rPr>
              <w:t xml:space="preserve">1 November </w:t>
            </w:r>
            <w:r w:rsidRPr="00716C8A">
              <w:rPr>
                <w:i/>
                <w:szCs w:val="14"/>
              </w:rPr>
              <w:t>2</w:t>
            </w:r>
            <w:r w:rsidR="008E062B" w:rsidRPr="00716C8A">
              <w:rPr>
                <w:i/>
                <w:szCs w:val="14"/>
              </w:rPr>
              <w:t>0</w:t>
            </w:r>
            <w:r w:rsidR="00D22D8D" w:rsidRPr="00716C8A">
              <w:rPr>
                <w:i/>
                <w:szCs w:val="14"/>
              </w:rPr>
              <w:t>24</w:t>
            </w:r>
            <w:r w:rsidRPr="00716C8A">
              <w:rPr>
                <w:i/>
                <w:szCs w:val="14"/>
              </w:rPr>
              <w:t>,</w:t>
            </w:r>
          </w:p>
          <w:p w14:paraId="428ACE5C" w14:textId="77777777" w:rsidR="00D71473" w:rsidRPr="00716C8A" w:rsidRDefault="00D71473" w:rsidP="007516EA">
            <w:pPr>
              <w:pStyle w:val="MainText"/>
              <w:ind w:firstLine="0"/>
              <w:rPr>
                <w:i/>
                <w:szCs w:val="14"/>
              </w:rPr>
            </w:pPr>
            <w:r w:rsidRPr="00716C8A">
              <w:rPr>
                <w:i/>
                <w:szCs w:val="14"/>
              </w:rPr>
              <w:t xml:space="preserve">Accepted </w:t>
            </w:r>
            <w:r w:rsidR="0033266A" w:rsidRPr="00716C8A">
              <w:rPr>
                <w:i/>
                <w:szCs w:val="14"/>
              </w:rPr>
              <w:t>1</w:t>
            </w:r>
            <w:r w:rsidR="0033266A" w:rsidRPr="00716C8A">
              <w:rPr>
                <w:szCs w:val="14"/>
              </w:rPr>
              <w:t>5</w:t>
            </w:r>
            <w:r w:rsidR="0033266A" w:rsidRPr="00716C8A">
              <w:rPr>
                <w:i/>
                <w:iCs/>
                <w:szCs w:val="14"/>
              </w:rPr>
              <w:t xml:space="preserve"> February </w:t>
            </w:r>
            <w:r w:rsidR="008E062B" w:rsidRPr="00716C8A">
              <w:rPr>
                <w:i/>
                <w:szCs w:val="14"/>
              </w:rPr>
              <w:t>20</w:t>
            </w:r>
            <w:r w:rsidR="0033266A" w:rsidRPr="00716C8A">
              <w:rPr>
                <w:i/>
                <w:szCs w:val="14"/>
              </w:rPr>
              <w:t>25</w:t>
            </w:r>
          </w:p>
          <w:p w14:paraId="621B6D58" w14:textId="77777777" w:rsidR="00820A77" w:rsidRPr="00716C8A" w:rsidRDefault="00820A77" w:rsidP="007516EA">
            <w:pPr>
              <w:pStyle w:val="MainText"/>
              <w:ind w:firstLine="0"/>
              <w:rPr>
                <w:szCs w:val="14"/>
              </w:rPr>
            </w:pPr>
          </w:p>
          <w:p w14:paraId="513EC593" w14:textId="77777777" w:rsidR="00D71473" w:rsidRPr="00716C8A" w:rsidRDefault="00440577" w:rsidP="007516EA">
            <w:pPr>
              <w:pStyle w:val="MainText"/>
              <w:ind w:firstLine="0"/>
            </w:pPr>
            <w:r w:rsidRPr="00716C8A">
              <w:rPr>
                <w:szCs w:val="14"/>
              </w:rPr>
              <w:t>http://</w:t>
            </w:r>
            <w:r w:rsidR="00D71473" w:rsidRPr="00716C8A">
              <w:rPr>
                <w:szCs w:val="14"/>
              </w:rPr>
              <w:t>ineosopen.org</w:t>
            </w:r>
          </w:p>
        </w:tc>
        <w:tc>
          <w:tcPr>
            <w:tcW w:w="7229" w:type="dxa"/>
            <w:gridSpan w:val="2"/>
          </w:tcPr>
          <w:p w14:paraId="702E74DC" w14:textId="77777777" w:rsidR="00D71473" w:rsidRPr="00716C8A" w:rsidRDefault="00541249" w:rsidP="00541249">
            <w:pPr>
              <w:pStyle w:val="AuthorNames"/>
              <w:ind w:left="0"/>
              <w:contextualSpacing w:val="0"/>
            </w:pPr>
            <w:r w:rsidRPr="00716C8A">
              <w:t>D. Saracheno,*</w:t>
            </w:r>
            <w:r w:rsidRPr="00716C8A">
              <w:rPr>
                <w:i/>
                <w:vertAlign w:val="superscript"/>
              </w:rPr>
              <w:t>a,b</w:t>
            </w:r>
            <w:r w:rsidRPr="00716C8A">
              <w:rPr>
                <w:iCs/>
              </w:rPr>
              <w:t xml:space="preserve"> </w:t>
            </w:r>
            <w:r w:rsidRPr="00716C8A">
              <w:t>A. O. Vikhrov,</w:t>
            </w:r>
            <w:r w:rsidRPr="00716C8A">
              <w:rPr>
                <w:i/>
                <w:vertAlign w:val="superscript"/>
              </w:rPr>
              <w:t>a</w:t>
            </w:r>
            <w:r w:rsidRPr="00716C8A">
              <w:t xml:space="preserve"> M. I. Buzin,</w:t>
            </w:r>
            <w:r w:rsidRPr="00716C8A">
              <w:rPr>
                <w:i/>
                <w:vertAlign w:val="superscript"/>
              </w:rPr>
              <w:t>a</w:t>
            </w:r>
            <w:r w:rsidRPr="00716C8A">
              <w:rPr>
                <w:i/>
                <w:vertAlign w:val="superscript"/>
              </w:rPr>
              <w:br/>
            </w:r>
            <w:r w:rsidRPr="00716C8A">
              <w:t>V. A. Tuskaev,</w:t>
            </w:r>
            <w:r w:rsidRPr="00716C8A">
              <w:rPr>
                <w:i/>
                <w:iCs/>
                <w:vertAlign w:val="superscript"/>
              </w:rPr>
              <w:t>a,b</w:t>
            </w:r>
            <w:r w:rsidRPr="00716C8A">
              <w:t xml:space="preserve"> and S. Ch. Gagieva</w:t>
            </w:r>
            <w:r w:rsidRPr="00716C8A">
              <w:rPr>
                <w:i/>
                <w:vertAlign w:val="superscript"/>
              </w:rPr>
              <w:t>a,b</w:t>
            </w:r>
          </w:p>
        </w:tc>
      </w:tr>
      <w:tr w:rsidR="00D71473" w:rsidRPr="00716C8A" w14:paraId="79DBAD39" w14:textId="77777777" w:rsidTr="00DF4999">
        <w:trPr>
          <w:trHeight w:val="263"/>
        </w:trPr>
        <w:tc>
          <w:tcPr>
            <w:tcW w:w="2410" w:type="dxa"/>
            <w:gridSpan w:val="2"/>
            <w:vMerge/>
          </w:tcPr>
          <w:p w14:paraId="3A867FCD" w14:textId="77777777" w:rsidR="00D71473" w:rsidRPr="00716C8A" w:rsidRDefault="00D71473" w:rsidP="00D71473">
            <w:pPr>
              <w:pStyle w:val="AuthorNames"/>
            </w:pPr>
          </w:p>
        </w:tc>
        <w:tc>
          <w:tcPr>
            <w:tcW w:w="7229" w:type="dxa"/>
            <w:gridSpan w:val="2"/>
          </w:tcPr>
          <w:p w14:paraId="54E1BDC7" w14:textId="77777777" w:rsidR="00541249" w:rsidRPr="00716C8A" w:rsidRDefault="00541249" w:rsidP="007F4C06">
            <w:pPr>
              <w:pStyle w:val="Affiliations"/>
              <w:spacing w:before="120"/>
              <w:ind w:left="0"/>
            </w:pPr>
            <w:r w:rsidRPr="00716C8A">
              <w:rPr>
                <w:vertAlign w:val="superscript"/>
              </w:rPr>
              <w:t>a</w:t>
            </w:r>
            <w:r w:rsidRPr="00716C8A">
              <w:t xml:space="preserve"> </w:t>
            </w:r>
            <w:r w:rsidRPr="00716C8A">
              <w:rPr>
                <w:rFonts w:cs="Times New Roman"/>
              </w:rPr>
              <w:t>Nesmeyanov Institute of Organoelement Compounds, Russian Academy of Sciences, ul. Vavilova 28, str. 1, Moscow, 119334 Russia</w:t>
            </w:r>
          </w:p>
          <w:p w14:paraId="733A611E" w14:textId="77777777" w:rsidR="00541249" w:rsidRPr="00716C8A" w:rsidRDefault="00541249" w:rsidP="00541249">
            <w:pPr>
              <w:pStyle w:val="Affiliations"/>
              <w:ind w:left="0"/>
              <w:rPr>
                <w:rFonts w:cs="Times New Roman"/>
              </w:rPr>
            </w:pPr>
            <w:r w:rsidRPr="00716C8A">
              <w:rPr>
                <w:vertAlign w:val="superscript"/>
              </w:rPr>
              <w:t>b</w:t>
            </w:r>
            <w:r w:rsidRPr="00716C8A">
              <w:t xml:space="preserve"> </w:t>
            </w:r>
            <w:r w:rsidRPr="00716C8A">
              <w:rPr>
                <w:rFonts w:cs="Times New Roman"/>
              </w:rPr>
              <w:t>Department of Chemistry, Lomonosov Moscow State University,</w:t>
            </w:r>
          </w:p>
          <w:p w14:paraId="21ACB655" w14:textId="77777777" w:rsidR="00D71473" w:rsidRPr="00716C8A" w:rsidRDefault="00541249" w:rsidP="001C1ED1">
            <w:pPr>
              <w:pStyle w:val="Affiliations"/>
              <w:ind w:left="0"/>
            </w:pPr>
            <w:r w:rsidRPr="00716C8A">
              <w:rPr>
                <w:rFonts w:cs="Times New Roman"/>
              </w:rPr>
              <w:t xml:space="preserve">Leninskie Gory 1, </w:t>
            </w:r>
            <w:r w:rsidR="001C1ED1" w:rsidRPr="00716C8A">
              <w:rPr>
                <w:rFonts w:cs="Times New Roman"/>
                <w:lang w:val="en-US"/>
              </w:rPr>
              <w:t xml:space="preserve">str. 3, </w:t>
            </w:r>
            <w:r w:rsidRPr="00716C8A">
              <w:rPr>
                <w:rFonts w:cs="Times New Roman"/>
              </w:rPr>
              <w:t>Moscow, 11999</w:t>
            </w:r>
            <w:r w:rsidR="001C1ED1" w:rsidRPr="00716C8A">
              <w:rPr>
                <w:rFonts w:cs="Times New Roman"/>
              </w:rPr>
              <w:t>1</w:t>
            </w:r>
            <w:r w:rsidRPr="00716C8A">
              <w:rPr>
                <w:rFonts w:cs="Times New Roman"/>
              </w:rPr>
              <w:t xml:space="preserve"> Russia</w:t>
            </w:r>
          </w:p>
        </w:tc>
      </w:tr>
      <w:tr w:rsidR="00CD6FAC" w:rsidRPr="00716C8A" w14:paraId="7B2473AA" w14:textId="77777777" w:rsidTr="00DF4999">
        <w:tc>
          <w:tcPr>
            <w:tcW w:w="4962" w:type="dxa"/>
            <w:gridSpan w:val="3"/>
          </w:tcPr>
          <w:p w14:paraId="7B915572" w14:textId="77777777" w:rsidR="00D71473" w:rsidRPr="00716C8A" w:rsidRDefault="00D71473" w:rsidP="009667F3">
            <w:pPr>
              <w:pStyle w:val="Header1"/>
            </w:pPr>
            <w:r w:rsidRPr="00716C8A">
              <w:t>Abstract</w:t>
            </w:r>
          </w:p>
          <w:p w14:paraId="1187EC6E" w14:textId="77777777" w:rsidR="00CD6FAC" w:rsidRPr="00716C8A" w:rsidRDefault="009774C1" w:rsidP="009774C1">
            <w:pPr>
              <w:pStyle w:val="MainText"/>
              <w:ind w:firstLine="284"/>
            </w:pPr>
            <w:r w:rsidRPr="00716C8A">
              <w:t xml:space="preserve">The </w:t>
            </w:r>
            <w:r w:rsidR="004535A2" w:rsidRPr="00716C8A">
              <w:t>use</w:t>
            </w:r>
            <w:r w:rsidRPr="00716C8A">
              <w:t xml:space="preserve"> of diethylzinc </w:t>
            </w:r>
            <w:r w:rsidR="004535A2" w:rsidRPr="00716C8A">
              <w:t>in</w:t>
            </w:r>
            <w:r w:rsidRPr="00716C8A">
              <w:t xml:space="preserve"> the ethylene polymerization </w:t>
            </w:r>
            <w:r w:rsidR="004535A2" w:rsidRPr="00716C8A">
              <w:t xml:space="preserve">in addition to </w:t>
            </w:r>
            <w:r w:rsidRPr="00716C8A">
              <w:t>α-</w:t>
            </w:r>
            <w:proofErr w:type="spellStart"/>
            <w:r w:rsidRPr="00716C8A">
              <w:t>diimine</w:t>
            </w:r>
            <w:proofErr w:type="spellEnd"/>
            <w:r w:rsidRPr="00716C8A">
              <w:t xml:space="preserve"> </w:t>
            </w:r>
            <w:proofErr w:type="gramStart"/>
            <w:r w:rsidRPr="00716C8A">
              <w:t>nickel(</w:t>
            </w:r>
            <w:proofErr w:type="gramEnd"/>
            <w:r w:rsidRPr="00716C8A">
              <w:t xml:space="preserve">II) bromide complexes activated by </w:t>
            </w:r>
            <w:proofErr w:type="spellStart"/>
            <w:r w:rsidRPr="00716C8A">
              <w:t>Et₂AlCl</w:t>
            </w:r>
            <w:proofErr w:type="spellEnd"/>
            <w:r w:rsidRPr="00716C8A">
              <w:t xml:space="preserve"> leads to an increase in </w:t>
            </w:r>
            <w:r w:rsidR="007D0992" w:rsidRPr="00716C8A">
              <w:t xml:space="preserve">the </w:t>
            </w:r>
            <w:r w:rsidRPr="00716C8A">
              <w:t xml:space="preserve">catalytic activity and branching density of resulting polyethylene. It </w:t>
            </w:r>
            <w:r w:rsidR="007D0992" w:rsidRPr="00716C8A">
              <w:t>was</w:t>
            </w:r>
            <w:r w:rsidRPr="00716C8A">
              <w:t xml:space="preserve"> demonstrated that the effect of diethylzinc strongly depend</w:t>
            </w:r>
            <w:r w:rsidR="007D0992" w:rsidRPr="00716C8A">
              <w:t>s</w:t>
            </w:r>
            <w:r w:rsidRPr="00716C8A">
              <w:t xml:space="preserve"> on </w:t>
            </w:r>
            <w:r w:rsidR="007D0992" w:rsidRPr="00716C8A">
              <w:t xml:space="preserve">the </w:t>
            </w:r>
            <w:r w:rsidRPr="00716C8A">
              <w:t>ligand steric hindrance</w:t>
            </w:r>
            <w:r w:rsidR="001C1ED1" w:rsidRPr="00716C8A">
              <w:t>s</w:t>
            </w:r>
            <w:r w:rsidRPr="00716C8A">
              <w:t>, leading to the formation of hyperbranched polyethylene with high melting temperature and crystallinity</w:t>
            </w:r>
            <w:r w:rsidR="007D0992" w:rsidRPr="00716C8A">
              <w:t xml:space="preserve"> degree</w:t>
            </w:r>
            <w:r w:rsidR="00F94740" w:rsidRPr="00716C8A">
              <w:t>.</w:t>
            </w:r>
          </w:p>
        </w:tc>
        <w:tc>
          <w:tcPr>
            <w:tcW w:w="4677" w:type="dxa"/>
            <w:vAlign w:val="center"/>
          </w:tcPr>
          <w:p w14:paraId="2685EEBC" w14:textId="77777777" w:rsidR="00CD6FAC" w:rsidRPr="00716C8A" w:rsidRDefault="009774C1" w:rsidP="005C7369">
            <w:pPr>
              <w:pStyle w:val="MainText"/>
              <w:ind w:firstLine="0"/>
              <w:jc w:val="center"/>
            </w:pPr>
            <w:r w:rsidRPr="00716C8A">
              <w:object w:dxaOrig="5368" w:dyaOrig="1900" w14:anchorId="3C607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61.6pt" o:ole="">
                  <v:imagedata r:id="rId9" o:title=""/>
                </v:shape>
                <o:OLEObject Type="Embed" ProgID="ChemDraw.Document.6.0" ShapeID="_x0000_i1025" DrawAspect="Content" ObjectID="_1815685419" r:id="rId10"/>
              </w:object>
            </w:r>
          </w:p>
        </w:tc>
      </w:tr>
      <w:tr w:rsidR="0065245B" w:rsidRPr="00716C8A" w14:paraId="15281DCA" w14:textId="77777777" w:rsidTr="00DF4999">
        <w:tc>
          <w:tcPr>
            <w:tcW w:w="9639" w:type="dxa"/>
            <w:gridSpan w:val="4"/>
          </w:tcPr>
          <w:p w14:paraId="40764B00" w14:textId="77777777" w:rsidR="0065245B" w:rsidRPr="00716C8A" w:rsidRDefault="0065245B" w:rsidP="00930DA8">
            <w:pPr>
              <w:pStyle w:val="MainText"/>
              <w:spacing w:before="120" w:after="120"/>
              <w:ind w:firstLine="284"/>
            </w:pPr>
            <w:r w:rsidRPr="00716C8A">
              <w:rPr>
                <w:b/>
              </w:rPr>
              <w:t>Key words:</w:t>
            </w:r>
            <w:r w:rsidRPr="00716C8A">
              <w:t xml:space="preserve"> </w:t>
            </w:r>
            <w:r w:rsidR="009774C1" w:rsidRPr="00716C8A">
              <w:t xml:space="preserve">hyperbranched </w:t>
            </w:r>
            <w:r w:rsidR="007D0992" w:rsidRPr="00716C8A">
              <w:t>polyethylene,</w:t>
            </w:r>
            <w:r w:rsidR="009774C1" w:rsidRPr="00716C8A">
              <w:t xml:space="preserve"> nickel, diethylzinc</w:t>
            </w:r>
            <w:r w:rsidRPr="00716C8A">
              <w:t>.</w:t>
            </w:r>
          </w:p>
        </w:tc>
      </w:tr>
    </w:tbl>
    <w:p w14:paraId="3F0B793E" w14:textId="77777777" w:rsidR="00166162" w:rsidRPr="00716C8A" w:rsidRDefault="00166162" w:rsidP="00427E5A">
      <w:pPr>
        <w:rPr>
          <w:sz w:val="20"/>
          <w:szCs w:val="20"/>
          <w:lang w:val="en-US"/>
        </w:rPr>
        <w:sectPr w:rsidR="00166162" w:rsidRPr="00716C8A" w:rsidSect="00D22D8D">
          <w:headerReference w:type="default" r:id="rId11"/>
          <w:footerReference w:type="default" r:id="rId12"/>
          <w:endnotePr>
            <w:numFmt w:val="chicago"/>
          </w:endnotePr>
          <w:pgSz w:w="11906" w:h="16838" w:code="9"/>
          <w:pgMar w:top="1134" w:right="1134" w:bottom="1134" w:left="1134" w:header="709" w:footer="709" w:gutter="0"/>
          <w:pgNumType w:start="101"/>
          <w:cols w:space="282"/>
          <w:docGrid w:linePitch="360"/>
        </w:sectPr>
      </w:pPr>
    </w:p>
    <w:p w14:paraId="36371578" w14:textId="77777777" w:rsidR="00166162" w:rsidRPr="00716C8A" w:rsidRDefault="00166162" w:rsidP="00427E5A">
      <w:pPr>
        <w:rPr>
          <w:sz w:val="20"/>
          <w:szCs w:val="20"/>
          <w:lang w:val="en-US"/>
        </w:rPr>
        <w:sectPr w:rsidR="00166162" w:rsidRPr="00716C8A" w:rsidSect="00166162">
          <w:endnotePr>
            <w:numFmt w:val="chicago"/>
          </w:endnotePr>
          <w:type w:val="continuous"/>
          <w:pgSz w:w="11906" w:h="16838" w:code="9"/>
          <w:pgMar w:top="1134" w:right="1134" w:bottom="1134" w:left="1134" w:header="709" w:footer="709" w:gutter="0"/>
          <w:cols w:space="282"/>
          <w:docGrid w:linePitch="360"/>
        </w:sectPr>
      </w:pPr>
    </w:p>
    <w:p w14:paraId="7A3F5D2E" w14:textId="77777777" w:rsidR="00875175" w:rsidRPr="00716C8A" w:rsidRDefault="00427E5A" w:rsidP="009774C1">
      <w:pPr>
        <w:spacing w:after="240"/>
        <w:rPr>
          <w:rFonts w:ascii="Arial" w:hAnsi="Arial" w:cs="Arial"/>
          <w:b/>
          <w:lang w:val="en-US"/>
        </w:rPr>
      </w:pPr>
      <w:r w:rsidRPr="00716C8A">
        <w:rPr>
          <w:rFonts w:ascii="Arial" w:hAnsi="Arial" w:cs="Arial"/>
          <w:b/>
          <w:lang w:val="en-US"/>
        </w:rPr>
        <w:t>Introduction</w:t>
      </w:r>
    </w:p>
    <w:p w14:paraId="6BE69D94" w14:textId="77777777" w:rsidR="009774C1" w:rsidRPr="00716C8A" w:rsidRDefault="009774C1" w:rsidP="009774C1">
      <w:pPr>
        <w:spacing w:after="0"/>
        <w:ind w:firstLine="284"/>
        <w:jc w:val="both"/>
        <w:rPr>
          <w:rFonts w:ascii="Times New Roman" w:hAnsi="Times New Roman" w:cs="Times New Roman"/>
          <w:sz w:val="18"/>
          <w:szCs w:val="18"/>
          <w:lang w:val="en-US"/>
        </w:rPr>
      </w:pPr>
      <w:proofErr w:type="gramStart"/>
      <w:r w:rsidRPr="00716C8A">
        <w:rPr>
          <w:rFonts w:ascii="Times New Roman" w:hAnsi="Times New Roman" w:cs="Times New Roman"/>
          <w:sz w:val="18"/>
          <w:szCs w:val="18"/>
          <w:lang w:val="en-US"/>
        </w:rPr>
        <w:t>Nickel(</w:t>
      </w:r>
      <w:proofErr w:type="gramEnd"/>
      <w:r w:rsidRPr="00716C8A">
        <w:rPr>
          <w:rFonts w:ascii="Times New Roman" w:hAnsi="Times New Roman" w:cs="Times New Roman"/>
          <w:sz w:val="18"/>
          <w:szCs w:val="18"/>
          <w:lang w:val="en-US"/>
        </w:rPr>
        <w:t xml:space="preserve">II) complexes have long been recognized as </w:t>
      </w:r>
      <w:r w:rsidR="0034047D"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catalysts for the direct production of branched and hyperbranched polyethylene (PE) from ethylene. Through the "chain-walking" mechanism, polyethylenes with varying </w:t>
      </w:r>
      <w:r w:rsidR="0034047D" w:rsidRPr="00716C8A">
        <w:rPr>
          <w:rFonts w:ascii="Times New Roman" w:hAnsi="Times New Roman" w:cs="Times New Roman"/>
          <w:sz w:val="18"/>
          <w:szCs w:val="18"/>
          <w:lang w:val="en-US"/>
        </w:rPr>
        <w:t xml:space="preserve">branching </w:t>
      </w:r>
      <w:r w:rsidRPr="00716C8A">
        <w:rPr>
          <w:rFonts w:ascii="Times New Roman" w:hAnsi="Times New Roman" w:cs="Times New Roman"/>
          <w:sz w:val="18"/>
          <w:szCs w:val="18"/>
          <w:lang w:val="en-US"/>
        </w:rPr>
        <w:t xml:space="preserve">degrees can be synthesized by tuning the ligand environment and reaction conditions. This method differs fundamentally from </w:t>
      </w:r>
      <w:r w:rsidR="0034047D"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conventional radical polymerization used for </w:t>
      </w:r>
      <w:r w:rsidR="0034047D" w:rsidRPr="00716C8A">
        <w:rPr>
          <w:rFonts w:ascii="Times New Roman" w:hAnsi="Times New Roman" w:cs="Times New Roman"/>
          <w:sz w:val="18"/>
          <w:szCs w:val="18"/>
          <w:lang w:val="en-US"/>
        </w:rPr>
        <w:t xml:space="preserve">the synthesis of </w:t>
      </w:r>
      <w:r w:rsidRPr="00716C8A">
        <w:rPr>
          <w:rFonts w:ascii="Times New Roman" w:hAnsi="Times New Roman" w:cs="Times New Roman"/>
          <w:sz w:val="18"/>
          <w:szCs w:val="18"/>
          <w:lang w:val="en-US"/>
        </w:rPr>
        <w:t xml:space="preserve">low-density polyethylene (LDPE) or the copolymerization of ethylene with </w:t>
      </w:r>
      <w:r w:rsidR="0034047D" w:rsidRPr="00716C8A">
        <w:rPr>
          <w:rFonts w:ascii="Times New Roman" w:hAnsi="Times New Roman" w:cs="Times New Roman"/>
          <w:sz w:val="18"/>
          <w:szCs w:val="18"/>
          <w:lang w:val="en-US"/>
        </w:rPr>
        <w:t>expensive</w:t>
      </w:r>
      <w:r w:rsidRPr="00716C8A">
        <w:rPr>
          <w:rFonts w:ascii="Times New Roman" w:hAnsi="Times New Roman" w:cs="Times New Roman"/>
          <w:sz w:val="18"/>
          <w:szCs w:val="18"/>
          <w:lang w:val="en-US"/>
        </w:rPr>
        <w:t xml:space="preserve"> comonomers required for linear low-density polyethylene (LLDPE)</w:t>
      </w:r>
      <w:r w:rsidR="00B00725" w:rsidRPr="00716C8A">
        <w:rPr>
          <w:rFonts w:ascii="Times New Roman" w:hAnsi="Times New Roman" w:cs="Times New Roman"/>
          <w:sz w:val="18"/>
          <w:szCs w:val="18"/>
          <w:lang w:val="en-US"/>
        </w:rPr>
        <w:t xml:space="preserve"> [1, 2].</w:t>
      </w:r>
    </w:p>
    <w:p w14:paraId="093817F4" w14:textId="77777777" w:rsidR="0034047D" w:rsidRPr="00716C8A" w:rsidRDefault="0034047D" w:rsidP="009774C1">
      <w:pPr>
        <w:spacing w:after="0"/>
        <w:ind w:firstLine="284"/>
        <w:jc w:val="both"/>
        <w:rPr>
          <w:rFonts w:ascii="Times New Roman" w:hAnsi="Times New Roman" w:cs="Times New Roman"/>
          <w:sz w:val="18"/>
          <w:szCs w:val="18"/>
          <w:lang w:val="en-US"/>
        </w:rPr>
      </w:pPr>
      <w:r w:rsidRPr="00716C8A">
        <w:rPr>
          <w:rFonts w:ascii="Times New Roman" w:hAnsi="Times New Roman" w:cs="Times New Roman"/>
          <w:sz w:val="18"/>
          <w:szCs w:val="18"/>
          <w:lang w:val="en-US"/>
        </w:rPr>
        <w:t xml:space="preserve">The ability to control the branching degree of polyethylene by adding different </w:t>
      </w:r>
      <w:r w:rsidR="001C1ED1" w:rsidRPr="00716C8A">
        <w:rPr>
          <w:rFonts w:ascii="Times New Roman" w:hAnsi="Times New Roman" w:cs="Times New Roman"/>
          <w:sz w:val="18"/>
          <w:szCs w:val="18"/>
          <w:lang w:val="en-US"/>
        </w:rPr>
        <w:t>amount</w:t>
      </w:r>
      <w:r w:rsidRPr="00716C8A">
        <w:rPr>
          <w:rFonts w:ascii="Times New Roman" w:hAnsi="Times New Roman" w:cs="Times New Roman"/>
          <w:sz w:val="18"/>
          <w:szCs w:val="18"/>
          <w:lang w:val="en-US"/>
        </w:rPr>
        <w:t xml:space="preserve">s of diethylzinc (DEZ) to the catalytic system based on </w:t>
      </w:r>
      <w:r w:rsidRPr="00716C8A">
        <w:rPr>
          <w:rFonts w:ascii="Times New Roman" w:hAnsi="Times New Roman" w:cs="Times New Roman"/>
          <w:sz w:val="18"/>
          <w:szCs w:val="18"/>
        </w:rPr>
        <w:t>α</w:t>
      </w:r>
      <w:r w:rsidRPr="00716C8A">
        <w:rPr>
          <w:rFonts w:ascii="Times New Roman" w:hAnsi="Times New Roman" w:cs="Times New Roman"/>
          <w:sz w:val="18"/>
          <w:szCs w:val="18"/>
          <w:lang w:val="en-US"/>
        </w:rPr>
        <w:t>-</w:t>
      </w:r>
      <w:proofErr w:type="spellStart"/>
      <w:r w:rsidRPr="00716C8A">
        <w:rPr>
          <w:rFonts w:ascii="Times New Roman" w:hAnsi="Times New Roman" w:cs="Times New Roman"/>
          <w:sz w:val="18"/>
          <w:szCs w:val="18"/>
          <w:lang w:val="en-US"/>
        </w:rPr>
        <w:t>diimine</w:t>
      </w:r>
      <w:proofErr w:type="spellEnd"/>
      <w:r w:rsidRPr="00716C8A">
        <w:rPr>
          <w:rFonts w:ascii="Times New Roman" w:hAnsi="Times New Roman" w:cs="Times New Roman"/>
          <w:sz w:val="18"/>
          <w:szCs w:val="18"/>
          <w:lang w:val="en-US"/>
        </w:rPr>
        <w:t xml:space="preserve"> </w:t>
      </w:r>
      <w:proofErr w:type="gramStart"/>
      <w:r w:rsidRPr="00716C8A">
        <w:rPr>
          <w:rFonts w:ascii="Times New Roman" w:hAnsi="Times New Roman" w:cs="Times New Roman"/>
          <w:sz w:val="18"/>
          <w:szCs w:val="18"/>
          <w:lang w:val="en-US"/>
        </w:rPr>
        <w:t>Ni(</w:t>
      </w:r>
      <w:proofErr w:type="gramEnd"/>
      <w:r w:rsidRPr="00716C8A">
        <w:rPr>
          <w:rFonts w:ascii="Times New Roman" w:hAnsi="Times New Roman" w:cs="Times New Roman"/>
          <w:sz w:val="18"/>
          <w:szCs w:val="18"/>
          <w:lang w:val="en-US"/>
        </w:rPr>
        <w:t xml:space="preserve">II) complexes </w:t>
      </w:r>
      <w:r w:rsidRPr="00716C8A">
        <w:rPr>
          <w:rFonts w:ascii="Times New Roman" w:hAnsi="Times New Roman" w:cs="Times New Roman"/>
          <w:b/>
          <w:bCs/>
          <w:sz w:val="18"/>
          <w:szCs w:val="18"/>
          <w:lang w:val="en-US"/>
        </w:rPr>
        <w:t>A</w:t>
      </w:r>
      <w:r w:rsidRPr="00716C8A">
        <w:rPr>
          <w:rFonts w:ascii="Times New Roman" w:hAnsi="Times New Roman" w:cs="Times New Roman"/>
          <w:sz w:val="18"/>
          <w:szCs w:val="18"/>
          <w:lang w:val="en-US"/>
        </w:rPr>
        <w:t xml:space="preserve"> [3] and </w:t>
      </w:r>
      <w:r w:rsidRPr="00716C8A">
        <w:rPr>
          <w:rFonts w:ascii="Times New Roman" w:hAnsi="Times New Roman" w:cs="Times New Roman"/>
          <w:b/>
          <w:bCs/>
          <w:sz w:val="18"/>
          <w:szCs w:val="18"/>
          <w:lang w:val="en-US"/>
        </w:rPr>
        <w:t>B</w:t>
      </w:r>
      <w:r w:rsidRPr="00716C8A">
        <w:rPr>
          <w:rFonts w:ascii="Times New Roman" w:hAnsi="Times New Roman" w:cs="Times New Roman"/>
          <w:sz w:val="18"/>
          <w:szCs w:val="18"/>
          <w:lang w:val="en-US"/>
        </w:rPr>
        <w:t xml:space="preserve"> [4–6] (</w:t>
      </w:r>
      <w:r w:rsidR="001C1ED1" w:rsidRPr="00716C8A">
        <w:rPr>
          <w:rFonts w:ascii="Times New Roman" w:hAnsi="Times New Roman" w:cs="Times New Roman"/>
          <w:sz w:val="18"/>
          <w:szCs w:val="18"/>
          <w:lang w:val="en-US"/>
        </w:rPr>
        <w:t>Fig.</w:t>
      </w:r>
      <w:r w:rsidRPr="00716C8A">
        <w:rPr>
          <w:rFonts w:ascii="Times New Roman" w:hAnsi="Times New Roman" w:cs="Times New Roman"/>
          <w:sz w:val="18"/>
          <w:szCs w:val="18"/>
          <w:lang w:val="en-US"/>
        </w:rPr>
        <w:t xml:space="preserve"> 1) attracted our attention since this approach could be the key to creating highly branched polyethylenes directly from ethylene under controlled conditions.</w:t>
      </w:r>
    </w:p>
    <w:p w14:paraId="47FB8F62" w14:textId="77777777" w:rsidR="009774C1" w:rsidRPr="00716C8A" w:rsidRDefault="00F10CED" w:rsidP="009774C1">
      <w:pPr>
        <w:spacing w:before="200" w:after="120"/>
        <w:jc w:val="center"/>
        <w:rPr>
          <w:lang w:val="en-US"/>
        </w:rPr>
      </w:pPr>
      <w:r w:rsidRPr="00716C8A">
        <w:object w:dxaOrig="5498" w:dyaOrig="2354" w14:anchorId="5CCCFDAA">
          <v:shape id="_x0000_i1026" type="#_x0000_t75" style="width:135.9pt;height:57.35pt" o:ole="">
            <v:imagedata r:id="rId13" o:title=""/>
          </v:shape>
          <o:OLEObject Type="Embed" ProgID="ChemDraw.Document.6.0" ShapeID="_x0000_i1026" DrawAspect="Content" ObjectID="_1815685420" r:id="rId14"/>
        </w:object>
      </w:r>
      <w:bookmarkStart w:id="0" w:name="_Hlk181449755"/>
    </w:p>
    <w:p w14:paraId="18B86EBB" w14:textId="77777777" w:rsidR="009774C1" w:rsidRPr="00716C8A" w:rsidRDefault="001C1ED1" w:rsidP="009774C1">
      <w:pPr>
        <w:spacing w:before="120"/>
        <w:jc w:val="both"/>
        <w:rPr>
          <w:rFonts w:ascii="Times New Roman" w:hAnsi="Times New Roman" w:cs="Times New Roman"/>
          <w:sz w:val="16"/>
          <w:szCs w:val="16"/>
          <w:lang w:val="en-US"/>
        </w:rPr>
      </w:pPr>
      <w:r w:rsidRPr="00716C8A">
        <w:rPr>
          <w:rStyle w:val="Captions0"/>
          <w:sz w:val="16"/>
          <w:szCs w:val="16"/>
        </w:rPr>
        <w:t>Figure</w:t>
      </w:r>
      <w:r w:rsidR="009774C1" w:rsidRPr="00716C8A">
        <w:rPr>
          <w:rStyle w:val="Captions0"/>
          <w:sz w:val="16"/>
          <w:szCs w:val="16"/>
        </w:rPr>
        <w:t xml:space="preserve"> 1. </w:t>
      </w:r>
      <w:bookmarkStart w:id="1" w:name="_Hlk181628234"/>
      <w:r w:rsidR="0034047D" w:rsidRPr="00716C8A">
        <w:rPr>
          <w:rStyle w:val="Captions0"/>
          <w:b w:val="0"/>
          <w:bCs/>
          <w:sz w:val="16"/>
          <w:szCs w:val="16"/>
        </w:rPr>
        <w:t>α</w:t>
      </w:r>
      <w:r w:rsidR="009774C1" w:rsidRPr="00716C8A">
        <w:rPr>
          <w:rFonts w:ascii="Times New Roman" w:hAnsi="Times New Roman" w:cs="Times New Roman"/>
          <w:sz w:val="16"/>
          <w:szCs w:val="16"/>
          <w:lang w:val="en-US"/>
        </w:rPr>
        <w:t>-</w:t>
      </w:r>
      <w:r w:rsidR="0034047D" w:rsidRPr="00716C8A">
        <w:rPr>
          <w:rFonts w:ascii="Times New Roman" w:hAnsi="Times New Roman" w:cs="Times New Roman"/>
          <w:sz w:val="16"/>
          <w:szCs w:val="16"/>
          <w:lang w:val="en-US"/>
        </w:rPr>
        <w:t>D</w:t>
      </w:r>
      <w:r w:rsidR="009774C1" w:rsidRPr="00716C8A">
        <w:rPr>
          <w:rFonts w:ascii="Times New Roman" w:hAnsi="Times New Roman" w:cs="Times New Roman"/>
          <w:sz w:val="16"/>
          <w:szCs w:val="16"/>
          <w:lang w:val="en-US"/>
        </w:rPr>
        <w:t xml:space="preserve">iimine </w:t>
      </w:r>
      <w:proofErr w:type="gramStart"/>
      <w:r w:rsidR="009774C1" w:rsidRPr="00716C8A">
        <w:rPr>
          <w:rFonts w:ascii="Times New Roman" w:hAnsi="Times New Roman" w:cs="Times New Roman"/>
          <w:sz w:val="16"/>
          <w:szCs w:val="16"/>
          <w:lang w:val="en-US"/>
        </w:rPr>
        <w:t>Ni(</w:t>
      </w:r>
      <w:proofErr w:type="gramEnd"/>
      <w:r w:rsidR="009774C1" w:rsidRPr="00716C8A">
        <w:rPr>
          <w:rFonts w:ascii="Times New Roman" w:hAnsi="Times New Roman" w:cs="Times New Roman"/>
          <w:sz w:val="16"/>
          <w:szCs w:val="16"/>
          <w:lang w:val="en-US"/>
        </w:rPr>
        <w:t xml:space="preserve">II) </w:t>
      </w:r>
      <w:bookmarkEnd w:id="1"/>
      <w:r w:rsidR="009774C1" w:rsidRPr="00716C8A">
        <w:rPr>
          <w:rFonts w:ascii="Times New Roman" w:hAnsi="Times New Roman" w:cs="Times New Roman"/>
          <w:sz w:val="16"/>
          <w:szCs w:val="16"/>
          <w:lang w:val="en-US"/>
        </w:rPr>
        <w:t xml:space="preserve">complexes </w:t>
      </w:r>
      <w:r w:rsidR="009774C1" w:rsidRPr="00716C8A">
        <w:rPr>
          <w:rFonts w:ascii="Times New Roman" w:hAnsi="Times New Roman" w:cs="Times New Roman"/>
          <w:b/>
          <w:bCs/>
          <w:sz w:val="16"/>
          <w:szCs w:val="16"/>
          <w:lang w:val="en-US"/>
        </w:rPr>
        <w:t>A</w:t>
      </w:r>
      <w:r w:rsidR="009774C1" w:rsidRPr="00716C8A">
        <w:rPr>
          <w:rFonts w:ascii="Times New Roman" w:hAnsi="Times New Roman" w:cs="Times New Roman"/>
          <w:sz w:val="16"/>
          <w:szCs w:val="16"/>
          <w:lang w:val="en-US"/>
        </w:rPr>
        <w:t xml:space="preserve"> and </w:t>
      </w:r>
      <w:r w:rsidR="009774C1" w:rsidRPr="00716C8A">
        <w:rPr>
          <w:rFonts w:ascii="Times New Roman" w:hAnsi="Times New Roman" w:cs="Times New Roman"/>
          <w:b/>
          <w:bCs/>
          <w:sz w:val="16"/>
          <w:szCs w:val="16"/>
          <w:lang w:val="en-US"/>
        </w:rPr>
        <w:t>B</w:t>
      </w:r>
      <w:r w:rsidR="009774C1" w:rsidRPr="00716C8A">
        <w:rPr>
          <w:rStyle w:val="Captions0"/>
          <w:b w:val="0"/>
          <w:sz w:val="16"/>
          <w:szCs w:val="16"/>
        </w:rPr>
        <w:t>.</w:t>
      </w:r>
      <w:bookmarkEnd w:id="0"/>
    </w:p>
    <w:p w14:paraId="767CC463" w14:textId="77777777" w:rsidR="00427E5A" w:rsidRPr="00716C8A" w:rsidRDefault="009774C1" w:rsidP="009774C1">
      <w:pPr>
        <w:pStyle w:val="MainText"/>
        <w:ind w:firstLine="284"/>
      </w:pPr>
      <w:r w:rsidRPr="00716C8A">
        <w:t xml:space="preserve">While previous studies have extensively examined </w:t>
      </w:r>
      <w:r w:rsidR="0034047D" w:rsidRPr="00716C8A">
        <w:t xml:space="preserve">the </w:t>
      </w:r>
      <w:r w:rsidRPr="00716C8A">
        <w:t xml:space="preserve">Brookhart-type nickel catalysts, the role of DEZ in fine-tuning </w:t>
      </w:r>
      <w:r w:rsidR="0034047D" w:rsidRPr="00716C8A">
        <w:t xml:space="preserve">the </w:t>
      </w:r>
      <w:r w:rsidRPr="00716C8A">
        <w:t xml:space="preserve">polymer microstructure remains largely unexplored. Our findings demonstrate that DEZ not only </w:t>
      </w:r>
      <w:r w:rsidR="0034047D" w:rsidRPr="00716C8A">
        <w:t>affect</w:t>
      </w:r>
      <w:r w:rsidRPr="00716C8A">
        <w:t xml:space="preserve">s </w:t>
      </w:r>
      <w:r w:rsidR="0034047D" w:rsidRPr="00716C8A">
        <w:t xml:space="preserve">the </w:t>
      </w:r>
      <w:r w:rsidRPr="00716C8A">
        <w:t xml:space="preserve">polymerization activity but also provides a new strategy for achieving highly branched polyethylenes directly from ethylene under controlled conditions. To gain deeper insights into this effect, we systematically investigated the </w:t>
      </w:r>
      <w:r w:rsidR="0034047D" w:rsidRPr="00716C8A">
        <w:t xml:space="preserve">effect </w:t>
      </w:r>
      <w:r w:rsidRPr="00716C8A">
        <w:t>of DEZ as an additive in these well-established catalytic systems</w:t>
      </w:r>
      <w:r w:rsidR="00B00725" w:rsidRPr="00716C8A">
        <w:t xml:space="preserve"> [7]</w:t>
      </w:r>
      <w:r w:rsidRPr="00716C8A">
        <w:t>.</w:t>
      </w:r>
    </w:p>
    <w:p w14:paraId="2B86FC9B" w14:textId="77777777" w:rsidR="00875175" w:rsidRPr="00716C8A" w:rsidRDefault="00875175" w:rsidP="0034047D">
      <w:pPr>
        <w:pStyle w:val="Header1"/>
        <w:spacing w:before="0" w:after="240"/>
      </w:pPr>
      <w:r w:rsidRPr="00716C8A">
        <w:t>Results and discussion</w:t>
      </w:r>
    </w:p>
    <w:p w14:paraId="74959CD9" w14:textId="77777777" w:rsidR="00E77EC3" w:rsidRPr="00716C8A" w:rsidRDefault="00E77EC3" w:rsidP="00E77EC3">
      <w:pPr>
        <w:spacing w:after="0"/>
        <w:ind w:firstLine="284"/>
        <w:jc w:val="both"/>
        <w:rPr>
          <w:rFonts w:ascii="Times New Roman" w:hAnsi="Times New Roman" w:cs="Times New Roman"/>
          <w:sz w:val="18"/>
          <w:szCs w:val="18"/>
          <w:lang w:val="en-US"/>
        </w:rPr>
      </w:pPr>
      <w:r w:rsidRPr="00716C8A">
        <w:rPr>
          <w:rFonts w:ascii="Times New Roman" w:hAnsi="Times New Roman" w:cs="Times New Roman"/>
          <w:sz w:val="18"/>
          <w:szCs w:val="18"/>
          <w:lang w:val="en-US"/>
        </w:rPr>
        <w:t xml:space="preserve">In </w:t>
      </w:r>
      <w:r w:rsidR="0034047D" w:rsidRPr="00716C8A">
        <w:rPr>
          <w:rFonts w:ascii="Times New Roman" w:hAnsi="Times New Roman" w:cs="Times New Roman"/>
          <w:sz w:val="18"/>
          <w:szCs w:val="18"/>
          <w:lang w:val="en-US"/>
        </w:rPr>
        <w:t xml:space="preserve">this work, </w:t>
      </w:r>
      <w:r w:rsidRPr="00716C8A">
        <w:rPr>
          <w:rFonts w:ascii="Times New Roman" w:hAnsi="Times New Roman" w:cs="Times New Roman"/>
          <w:sz w:val="18"/>
          <w:szCs w:val="18"/>
          <w:lang w:val="en-US"/>
        </w:rPr>
        <w:t xml:space="preserve">we utilized </w:t>
      </w:r>
      <w:r w:rsidR="0034047D"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catalytic system based on α-</w:t>
      </w:r>
      <w:proofErr w:type="spellStart"/>
      <w:r w:rsidRPr="00716C8A">
        <w:rPr>
          <w:rFonts w:ascii="Times New Roman" w:hAnsi="Times New Roman" w:cs="Times New Roman"/>
          <w:sz w:val="18"/>
          <w:szCs w:val="18"/>
          <w:lang w:val="en-US"/>
        </w:rPr>
        <w:t>diimine</w:t>
      </w:r>
      <w:proofErr w:type="spellEnd"/>
      <w:r w:rsidRPr="00716C8A">
        <w:rPr>
          <w:rFonts w:ascii="Times New Roman" w:hAnsi="Times New Roman" w:cs="Times New Roman"/>
          <w:sz w:val="18"/>
          <w:szCs w:val="18"/>
          <w:lang w:val="en-US"/>
        </w:rPr>
        <w:t xml:space="preserve"> </w:t>
      </w:r>
      <w:r w:rsidR="009F2EBE" w:rsidRPr="00716C8A">
        <w:rPr>
          <w:rFonts w:ascii="Times New Roman" w:hAnsi="Times New Roman" w:cs="Times New Roman"/>
          <w:sz w:val="18"/>
          <w:szCs w:val="18"/>
          <w:lang w:val="en-US"/>
        </w:rPr>
        <w:t xml:space="preserve">nickel(II) </w:t>
      </w:r>
      <w:r w:rsidRPr="00716C8A">
        <w:rPr>
          <w:rFonts w:ascii="Times New Roman" w:hAnsi="Times New Roman" w:cs="Times New Roman"/>
          <w:sz w:val="18"/>
          <w:szCs w:val="18"/>
          <w:lang w:val="en-US"/>
        </w:rPr>
        <w:t xml:space="preserve">complexes </w:t>
      </w:r>
      <w:r w:rsidRPr="00716C8A">
        <w:rPr>
          <w:rFonts w:ascii="Times New Roman" w:hAnsi="Times New Roman" w:cs="Times New Roman"/>
          <w:b/>
          <w:bCs/>
          <w:sz w:val="18"/>
          <w:szCs w:val="18"/>
          <w:lang w:val="en-US"/>
        </w:rPr>
        <w:t>1</w:t>
      </w:r>
      <w:r w:rsidR="001C1ED1" w:rsidRPr="00716C8A">
        <w:rPr>
          <w:rFonts w:ascii="Times New Roman" w:hAnsi="Times New Roman" w:cs="Times New Roman"/>
          <w:bCs/>
          <w:sz w:val="18"/>
          <w:szCs w:val="18"/>
          <w:lang w:val="en-US"/>
        </w:rPr>
        <w:t>–</w:t>
      </w:r>
      <w:r w:rsidRPr="00716C8A">
        <w:rPr>
          <w:rFonts w:ascii="Times New Roman" w:hAnsi="Times New Roman" w:cs="Times New Roman"/>
          <w:b/>
          <w:bCs/>
          <w:sz w:val="18"/>
          <w:szCs w:val="18"/>
          <w:lang w:val="en-US"/>
        </w:rPr>
        <w:t>3</w:t>
      </w:r>
      <w:r w:rsidRPr="00716C8A">
        <w:rPr>
          <w:rFonts w:ascii="Times New Roman" w:hAnsi="Times New Roman" w:cs="Times New Roman"/>
          <w:sz w:val="18"/>
          <w:szCs w:val="18"/>
          <w:lang w:val="en-US"/>
        </w:rPr>
        <w:t xml:space="preserve"> (</w:t>
      </w:r>
      <w:r w:rsidR="001C1ED1" w:rsidRPr="00716C8A">
        <w:rPr>
          <w:rFonts w:ascii="Times New Roman" w:hAnsi="Times New Roman" w:cs="Times New Roman"/>
          <w:sz w:val="18"/>
          <w:szCs w:val="18"/>
          <w:lang w:val="en-US"/>
        </w:rPr>
        <w:t xml:space="preserve">Fig. </w:t>
      </w:r>
      <w:r w:rsidRPr="00716C8A">
        <w:rPr>
          <w:rFonts w:ascii="Times New Roman" w:hAnsi="Times New Roman" w:cs="Times New Roman"/>
          <w:sz w:val="18"/>
          <w:szCs w:val="18"/>
          <w:lang w:val="en-US"/>
        </w:rPr>
        <w:t>2) activated by 150 equiv</w:t>
      </w:r>
      <w:r w:rsidR="009F2EBE"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of Et</w:t>
      </w:r>
      <w:r w:rsidRPr="00716C8A">
        <w:rPr>
          <w:rFonts w:ascii="Times New Roman" w:hAnsi="Times New Roman" w:cs="Times New Roman"/>
          <w:sz w:val="18"/>
          <w:szCs w:val="18"/>
          <w:vertAlign w:val="subscript"/>
          <w:lang w:val="en-US"/>
        </w:rPr>
        <w:t>2</w:t>
      </w:r>
      <w:r w:rsidRPr="00716C8A">
        <w:rPr>
          <w:rFonts w:ascii="Times New Roman" w:hAnsi="Times New Roman" w:cs="Times New Roman"/>
          <w:sz w:val="18"/>
          <w:szCs w:val="18"/>
          <w:lang w:val="en-US"/>
        </w:rPr>
        <w:t>AlCl (DEAC) in the presence or absence of ZnEt</w:t>
      </w:r>
      <w:r w:rsidRPr="00716C8A">
        <w:rPr>
          <w:rFonts w:ascii="Times New Roman" w:hAnsi="Times New Roman" w:cs="Times New Roman"/>
          <w:sz w:val="18"/>
          <w:szCs w:val="18"/>
          <w:vertAlign w:val="subscript"/>
          <w:lang w:val="en-US"/>
        </w:rPr>
        <w:t>2</w:t>
      </w:r>
      <w:r w:rsidRPr="00716C8A">
        <w:rPr>
          <w:rFonts w:ascii="Times New Roman" w:hAnsi="Times New Roman" w:cs="Times New Roman"/>
          <w:sz w:val="18"/>
          <w:szCs w:val="18"/>
          <w:lang w:val="en-US"/>
        </w:rPr>
        <w:t xml:space="preserve">. Typically, the ethylene polymerization tests were performed under 3 atm of ethylene at </w:t>
      </w:r>
      <w:proofErr w:type="gramStart"/>
      <w:r w:rsidRPr="00716C8A">
        <w:rPr>
          <w:rFonts w:ascii="Times New Roman" w:hAnsi="Times New Roman" w:cs="Times New Roman"/>
          <w:sz w:val="18"/>
          <w:szCs w:val="18"/>
          <w:lang w:val="en-US"/>
        </w:rPr>
        <w:t>30 </w:t>
      </w:r>
      <w:r w:rsidR="009F2EBE" w:rsidRPr="00716C8A">
        <w:rPr>
          <w:rFonts w:ascii="Times New Roman" w:hAnsi="Times New Roman" w:cs="Times New Roman"/>
          <w:sz w:val="18"/>
          <w:szCs w:val="18"/>
          <w:lang w:val="en-US"/>
        </w:rPr>
        <w:t xml:space="preserve"> </w:t>
      </w:r>
      <w:r w:rsidRPr="00716C8A">
        <w:rPr>
          <w:rFonts w:ascii="Times New Roman" w:hAnsi="Times New Roman" w:cs="Times New Roman"/>
          <w:sz w:val="18"/>
          <w:szCs w:val="18"/>
          <w:lang w:val="en-US"/>
        </w:rPr>
        <w:t>℃</w:t>
      </w:r>
      <w:proofErr w:type="gramEnd"/>
      <w:r w:rsidRPr="00716C8A">
        <w:rPr>
          <w:rFonts w:ascii="Times New Roman" w:hAnsi="Times New Roman" w:cs="Times New Roman"/>
          <w:sz w:val="18"/>
          <w:szCs w:val="18"/>
          <w:lang w:val="en-US"/>
        </w:rPr>
        <w:t xml:space="preserve"> in chlorobenzene for 30 min</w:t>
      </w:r>
      <w:r w:rsidR="009F2EBE"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unless otherwise noted</w:t>
      </w:r>
      <w:r w:rsidR="009F2EBE"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and the results of this screening are </w:t>
      </w:r>
      <w:r w:rsidR="009F2EBE" w:rsidRPr="00716C8A">
        <w:rPr>
          <w:rFonts w:ascii="Times New Roman" w:hAnsi="Times New Roman" w:cs="Times New Roman"/>
          <w:sz w:val="18"/>
          <w:szCs w:val="18"/>
          <w:lang w:val="en-US"/>
        </w:rPr>
        <w:t>presented</w:t>
      </w:r>
      <w:r w:rsidRPr="00716C8A">
        <w:rPr>
          <w:rFonts w:ascii="Times New Roman" w:hAnsi="Times New Roman" w:cs="Times New Roman"/>
          <w:sz w:val="18"/>
          <w:szCs w:val="18"/>
          <w:lang w:val="en-US"/>
        </w:rPr>
        <w:t xml:space="preserve"> in Table 1. We used chlorobenzene as a solvent instead of toluene to eliminate the side process of </w:t>
      </w:r>
      <w:r w:rsidR="009F2EBE"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Friedel</w:t>
      </w:r>
      <w:r w:rsidR="009F2EBE"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Crafts alkylation.</w:t>
      </w:r>
    </w:p>
    <w:p w14:paraId="2AAF292B" w14:textId="77777777" w:rsidR="00E77EC3" w:rsidRPr="00716C8A" w:rsidRDefault="00E77EC3" w:rsidP="00E77EC3">
      <w:pPr>
        <w:pStyle w:val="Captions"/>
        <w:spacing w:after="120" w:line="276" w:lineRule="auto"/>
        <w:ind w:firstLine="0"/>
        <w:jc w:val="center"/>
      </w:pPr>
      <w:r w:rsidRPr="00716C8A">
        <w:object w:dxaOrig="10209" w:dyaOrig="2167" w14:anchorId="3F2C3E8C">
          <v:shape id="_x0000_i1027" type="#_x0000_t75" style="width:231.4pt;height:46.2pt" o:ole="">
            <v:imagedata r:id="rId15" o:title=""/>
          </v:shape>
          <o:OLEObject Type="Embed" ProgID="ChemDraw.Document.6.0" ShapeID="_x0000_i1027" DrawAspect="Content" ObjectID="_1815685421" r:id="rId16"/>
        </w:object>
      </w:r>
    </w:p>
    <w:p w14:paraId="1CCB25AC" w14:textId="77777777" w:rsidR="00E77EC3" w:rsidRPr="00716C8A" w:rsidRDefault="001C1ED1" w:rsidP="00E77EC3">
      <w:pPr>
        <w:pStyle w:val="Captions"/>
        <w:spacing w:before="120" w:after="200" w:line="276" w:lineRule="auto"/>
        <w:ind w:firstLine="0"/>
        <w:rPr>
          <w:b w:val="0"/>
          <w:sz w:val="16"/>
          <w:szCs w:val="16"/>
        </w:rPr>
      </w:pPr>
      <w:r w:rsidRPr="00716C8A">
        <w:rPr>
          <w:sz w:val="16"/>
          <w:szCs w:val="16"/>
        </w:rPr>
        <w:t>Figure</w:t>
      </w:r>
      <w:r w:rsidR="00E77EC3" w:rsidRPr="00716C8A">
        <w:rPr>
          <w:sz w:val="16"/>
          <w:szCs w:val="16"/>
        </w:rPr>
        <w:t xml:space="preserve"> 2.</w:t>
      </w:r>
      <w:r w:rsidR="00E77EC3" w:rsidRPr="00716C8A">
        <w:rPr>
          <w:b w:val="0"/>
          <w:sz w:val="16"/>
          <w:szCs w:val="16"/>
        </w:rPr>
        <w:t xml:space="preserve"> </w:t>
      </w:r>
      <w:r w:rsidR="00347A99" w:rsidRPr="00716C8A">
        <w:rPr>
          <w:b w:val="0"/>
          <w:bCs/>
          <w:sz w:val="16"/>
          <w:szCs w:val="16"/>
        </w:rPr>
        <w:t>α</w:t>
      </w:r>
      <w:r w:rsidR="00E77EC3" w:rsidRPr="00716C8A">
        <w:rPr>
          <w:b w:val="0"/>
          <w:sz w:val="16"/>
          <w:szCs w:val="16"/>
        </w:rPr>
        <w:t>-</w:t>
      </w:r>
      <w:r w:rsidR="00347A99" w:rsidRPr="00716C8A">
        <w:rPr>
          <w:b w:val="0"/>
          <w:sz w:val="16"/>
          <w:szCs w:val="16"/>
        </w:rPr>
        <w:t>D</w:t>
      </w:r>
      <w:r w:rsidR="00E77EC3" w:rsidRPr="00716C8A">
        <w:rPr>
          <w:b w:val="0"/>
          <w:sz w:val="16"/>
          <w:szCs w:val="16"/>
        </w:rPr>
        <w:t xml:space="preserve">iimine </w:t>
      </w:r>
      <w:proofErr w:type="gramStart"/>
      <w:r w:rsidR="00E77EC3" w:rsidRPr="00716C8A">
        <w:rPr>
          <w:b w:val="0"/>
          <w:sz w:val="16"/>
          <w:szCs w:val="16"/>
        </w:rPr>
        <w:t>Ni(</w:t>
      </w:r>
      <w:proofErr w:type="gramEnd"/>
      <w:r w:rsidR="00E77EC3" w:rsidRPr="00716C8A">
        <w:rPr>
          <w:b w:val="0"/>
          <w:sz w:val="16"/>
          <w:szCs w:val="16"/>
        </w:rPr>
        <w:t xml:space="preserve">II) complexes </w:t>
      </w:r>
      <w:r w:rsidR="00F10CED" w:rsidRPr="00716C8A">
        <w:rPr>
          <w:bCs/>
          <w:sz w:val="16"/>
          <w:szCs w:val="16"/>
        </w:rPr>
        <w:t>1</w:t>
      </w:r>
      <w:r w:rsidR="00F10CED" w:rsidRPr="00716C8A">
        <w:rPr>
          <w:b w:val="0"/>
          <w:bCs/>
          <w:sz w:val="16"/>
          <w:szCs w:val="16"/>
        </w:rPr>
        <w:t>–</w:t>
      </w:r>
      <w:r w:rsidR="00E77EC3" w:rsidRPr="00716C8A">
        <w:rPr>
          <w:bCs/>
          <w:sz w:val="16"/>
          <w:szCs w:val="16"/>
        </w:rPr>
        <w:t>3</w:t>
      </w:r>
      <w:r w:rsidR="00E77EC3" w:rsidRPr="00716C8A">
        <w:rPr>
          <w:b w:val="0"/>
          <w:sz w:val="16"/>
          <w:szCs w:val="16"/>
        </w:rPr>
        <w:t>.</w:t>
      </w:r>
    </w:p>
    <w:p w14:paraId="3871032A" w14:textId="77777777" w:rsidR="0030773A" w:rsidRPr="00716C8A" w:rsidRDefault="00E77EC3" w:rsidP="00E77EC3">
      <w:pPr>
        <w:spacing w:after="0"/>
        <w:ind w:firstLine="284"/>
        <w:jc w:val="both"/>
        <w:rPr>
          <w:rFonts w:ascii="Times New Roman" w:hAnsi="Times New Roman" w:cs="Times New Roman"/>
          <w:sz w:val="18"/>
          <w:szCs w:val="18"/>
          <w:lang w:val="en-US"/>
        </w:rPr>
        <w:sectPr w:rsidR="0030773A" w:rsidRPr="00716C8A" w:rsidSect="00166162">
          <w:endnotePr>
            <w:numFmt w:val="chicago"/>
          </w:endnotePr>
          <w:type w:val="continuous"/>
          <w:pgSz w:w="11906" w:h="16838" w:code="9"/>
          <w:pgMar w:top="1134" w:right="1134" w:bottom="1134" w:left="1134" w:header="709" w:footer="709" w:gutter="0"/>
          <w:cols w:num="2" w:space="282"/>
          <w:docGrid w:linePitch="360"/>
        </w:sectPr>
      </w:pPr>
      <w:r w:rsidRPr="00716C8A">
        <w:rPr>
          <w:rFonts w:ascii="Times New Roman" w:hAnsi="Times New Roman" w:cs="Times New Roman"/>
          <w:sz w:val="18"/>
          <w:szCs w:val="18"/>
          <w:lang w:val="en-US"/>
        </w:rPr>
        <w:t>A series of nickel bromide complexes (</w:t>
      </w:r>
      <w:r w:rsidRPr="00716C8A">
        <w:rPr>
          <w:rFonts w:ascii="Times New Roman" w:hAnsi="Times New Roman" w:cs="Times New Roman"/>
          <w:b/>
          <w:bCs/>
          <w:sz w:val="18"/>
          <w:szCs w:val="18"/>
          <w:lang w:val="en-US"/>
        </w:rPr>
        <w:t>1</w:t>
      </w:r>
      <w:r w:rsidR="00F10CED" w:rsidRPr="00716C8A">
        <w:rPr>
          <w:rFonts w:ascii="Times New Roman" w:hAnsi="Times New Roman" w:cs="Times New Roman"/>
          <w:bCs/>
          <w:sz w:val="18"/>
          <w:szCs w:val="18"/>
          <w:lang w:val="en-US"/>
        </w:rPr>
        <w:t>–</w:t>
      </w:r>
      <w:r w:rsidRPr="00716C8A">
        <w:rPr>
          <w:rFonts w:ascii="Times New Roman" w:hAnsi="Times New Roman" w:cs="Times New Roman"/>
          <w:b/>
          <w:bCs/>
          <w:sz w:val="18"/>
          <w:szCs w:val="18"/>
          <w:lang w:val="en-US"/>
        </w:rPr>
        <w:t>3</w:t>
      </w:r>
      <w:r w:rsidRPr="00716C8A">
        <w:rPr>
          <w:rFonts w:ascii="Times New Roman" w:hAnsi="Times New Roman" w:cs="Times New Roman"/>
          <w:sz w:val="18"/>
          <w:szCs w:val="18"/>
          <w:lang w:val="en-US"/>
        </w:rPr>
        <w:t xml:space="preserve">) with bulky </w:t>
      </w:r>
      <w:bookmarkStart w:id="2" w:name="_Hlk181628249"/>
      <w:r w:rsidRPr="00716C8A">
        <w:rPr>
          <w:rFonts w:ascii="Times New Roman" w:hAnsi="Times New Roman" w:cs="Times New Roman"/>
          <w:sz w:val="18"/>
          <w:szCs w:val="18"/>
        </w:rPr>
        <w:t>α</w:t>
      </w:r>
      <w:bookmarkEnd w:id="2"/>
      <w:r w:rsidRPr="00716C8A">
        <w:rPr>
          <w:rFonts w:ascii="Times New Roman" w:hAnsi="Times New Roman" w:cs="Times New Roman"/>
          <w:sz w:val="18"/>
          <w:szCs w:val="18"/>
          <w:lang w:val="en-US"/>
        </w:rPr>
        <w:t>-</w:t>
      </w:r>
      <w:proofErr w:type="spellStart"/>
      <w:r w:rsidRPr="00716C8A">
        <w:rPr>
          <w:rFonts w:ascii="Times New Roman" w:hAnsi="Times New Roman" w:cs="Times New Roman"/>
          <w:sz w:val="18"/>
          <w:szCs w:val="18"/>
          <w:lang w:val="en-US"/>
        </w:rPr>
        <w:t>diimine</w:t>
      </w:r>
      <w:proofErr w:type="spellEnd"/>
      <w:r w:rsidRPr="00716C8A">
        <w:rPr>
          <w:rFonts w:ascii="Times New Roman" w:hAnsi="Times New Roman" w:cs="Times New Roman"/>
          <w:sz w:val="18"/>
          <w:szCs w:val="18"/>
          <w:lang w:val="en-US"/>
        </w:rPr>
        <w:t xml:space="preserve"> ligands was selected as the </w:t>
      </w:r>
      <w:r w:rsidR="00347A99" w:rsidRPr="00716C8A">
        <w:rPr>
          <w:rFonts w:ascii="Times New Roman" w:hAnsi="Times New Roman" w:cs="Times New Roman"/>
          <w:sz w:val="18"/>
          <w:szCs w:val="18"/>
          <w:lang w:val="en-US"/>
        </w:rPr>
        <w:t>research object</w:t>
      </w:r>
      <w:r w:rsidR="001C1ED1" w:rsidRPr="00716C8A">
        <w:rPr>
          <w:rFonts w:ascii="Times New Roman" w:hAnsi="Times New Roman" w:cs="Times New Roman"/>
          <w:sz w:val="18"/>
          <w:szCs w:val="18"/>
          <w:lang w:val="en-US"/>
        </w:rPr>
        <w:t>s</w:t>
      </w:r>
      <w:r w:rsidR="00347A99" w:rsidRPr="00716C8A">
        <w:rPr>
          <w:rFonts w:ascii="Times New Roman" w:hAnsi="Times New Roman" w:cs="Times New Roman"/>
          <w:sz w:val="18"/>
          <w:szCs w:val="18"/>
          <w:lang w:val="en-US"/>
        </w:rPr>
        <w:t xml:space="preserve"> since</w:t>
      </w:r>
      <w:r w:rsidRPr="00716C8A">
        <w:rPr>
          <w:rFonts w:ascii="Times New Roman" w:hAnsi="Times New Roman" w:cs="Times New Roman"/>
          <w:sz w:val="18"/>
          <w:szCs w:val="18"/>
          <w:lang w:val="en-US"/>
        </w:rPr>
        <w:t xml:space="preserve"> these complexes allow </w:t>
      </w:r>
      <w:r w:rsidR="00347A99" w:rsidRPr="00716C8A">
        <w:rPr>
          <w:rFonts w:ascii="Times New Roman" w:hAnsi="Times New Roman" w:cs="Times New Roman"/>
          <w:sz w:val="18"/>
          <w:szCs w:val="18"/>
          <w:lang w:val="en-US"/>
        </w:rPr>
        <w:t>for</w:t>
      </w:r>
      <w:r w:rsidRPr="00716C8A">
        <w:rPr>
          <w:rFonts w:ascii="Times New Roman" w:hAnsi="Times New Roman" w:cs="Times New Roman"/>
          <w:sz w:val="18"/>
          <w:szCs w:val="18"/>
          <w:lang w:val="en-US"/>
        </w:rPr>
        <w:t xml:space="preserve"> examin</w:t>
      </w:r>
      <w:r w:rsidR="00347A99" w:rsidRPr="00716C8A">
        <w:rPr>
          <w:rFonts w:ascii="Times New Roman" w:hAnsi="Times New Roman" w:cs="Times New Roman"/>
          <w:sz w:val="18"/>
          <w:szCs w:val="18"/>
          <w:lang w:val="en-US"/>
        </w:rPr>
        <w:t>ing</w:t>
      </w:r>
      <w:r w:rsidRPr="00716C8A">
        <w:rPr>
          <w:rFonts w:ascii="Times New Roman" w:hAnsi="Times New Roman" w:cs="Times New Roman"/>
          <w:sz w:val="18"/>
          <w:szCs w:val="18"/>
          <w:lang w:val="en-US"/>
        </w:rPr>
        <w:t xml:space="preserve"> the effect of steric hindrance</w:t>
      </w:r>
      <w:r w:rsidR="00347A99" w:rsidRPr="00716C8A">
        <w:rPr>
          <w:rFonts w:ascii="Times New Roman" w:hAnsi="Times New Roman" w:cs="Times New Roman"/>
          <w:sz w:val="18"/>
          <w:szCs w:val="18"/>
          <w:lang w:val="en-US"/>
        </w:rPr>
        <w:t>s</w:t>
      </w:r>
      <w:r w:rsidRPr="00716C8A">
        <w:rPr>
          <w:rFonts w:ascii="Times New Roman" w:hAnsi="Times New Roman" w:cs="Times New Roman"/>
          <w:sz w:val="18"/>
          <w:szCs w:val="18"/>
          <w:lang w:val="en-US"/>
        </w:rPr>
        <w:t xml:space="preserve"> around the catalytic center on the properties of the resulting polymer. As </w:t>
      </w:r>
      <w:r w:rsidR="00347A99" w:rsidRPr="00716C8A">
        <w:rPr>
          <w:rFonts w:ascii="Times New Roman" w:hAnsi="Times New Roman" w:cs="Times New Roman"/>
          <w:sz w:val="18"/>
          <w:szCs w:val="18"/>
          <w:lang w:val="en-US"/>
        </w:rPr>
        <w:t xml:space="preserve">is </w:t>
      </w:r>
      <w:r w:rsidRPr="00716C8A">
        <w:rPr>
          <w:rFonts w:ascii="Times New Roman" w:hAnsi="Times New Roman" w:cs="Times New Roman"/>
          <w:sz w:val="18"/>
          <w:szCs w:val="18"/>
          <w:lang w:val="en-US"/>
        </w:rPr>
        <w:t xml:space="preserve">shown in Table 1, upon activation of complexes </w:t>
      </w:r>
      <w:r w:rsidR="00347A99" w:rsidRPr="00716C8A">
        <w:rPr>
          <w:rFonts w:ascii="Times New Roman" w:hAnsi="Times New Roman" w:cs="Times New Roman"/>
          <w:b/>
          <w:bCs/>
          <w:sz w:val="18"/>
          <w:szCs w:val="18"/>
          <w:lang w:val="en-US"/>
        </w:rPr>
        <w:t>1</w:t>
      </w:r>
      <w:r w:rsidR="00347A99" w:rsidRPr="00716C8A">
        <w:rPr>
          <w:rFonts w:ascii="Times New Roman" w:hAnsi="Times New Roman" w:cs="Times New Roman"/>
          <w:bCs/>
          <w:sz w:val="18"/>
          <w:szCs w:val="18"/>
          <w:lang w:val="en-US"/>
        </w:rPr>
        <w:t>–</w:t>
      </w:r>
      <w:r w:rsidR="00347A99" w:rsidRPr="00716C8A">
        <w:rPr>
          <w:rFonts w:ascii="Times New Roman" w:hAnsi="Times New Roman" w:cs="Times New Roman"/>
          <w:b/>
          <w:bCs/>
          <w:sz w:val="18"/>
          <w:szCs w:val="18"/>
          <w:lang w:val="en-US"/>
        </w:rPr>
        <w:t>3</w:t>
      </w:r>
      <w:r w:rsidRPr="00716C8A">
        <w:rPr>
          <w:rFonts w:ascii="Times New Roman" w:hAnsi="Times New Roman" w:cs="Times New Roman"/>
          <w:sz w:val="18"/>
          <w:szCs w:val="18"/>
          <w:lang w:val="en-US"/>
        </w:rPr>
        <w:t xml:space="preserve"> with 150 equiv</w:t>
      </w:r>
      <w:r w:rsidR="00347A99"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of DEAC (</w:t>
      </w:r>
      <w:r w:rsidR="00347A99" w:rsidRPr="00716C8A">
        <w:rPr>
          <w:rFonts w:ascii="Times New Roman" w:hAnsi="Times New Roman" w:cs="Times New Roman"/>
          <w:sz w:val="18"/>
          <w:szCs w:val="18"/>
          <w:lang w:val="en-US"/>
        </w:rPr>
        <w:t>runs</w:t>
      </w:r>
      <w:r w:rsidRPr="00716C8A">
        <w:rPr>
          <w:rFonts w:ascii="Times New Roman" w:hAnsi="Times New Roman" w:cs="Times New Roman"/>
          <w:sz w:val="18"/>
          <w:szCs w:val="18"/>
          <w:lang w:val="en-US"/>
        </w:rPr>
        <w:t xml:space="preserve"> 1, 8</w:t>
      </w:r>
      <w:r w:rsidR="00347A99"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and 10), a decrease in </w:t>
      </w:r>
      <w:r w:rsidR="00347A99"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steric bulk leads to an increase in the catalytic activity of the system (125, 373, and </w:t>
      </w:r>
      <w:proofErr w:type="gramStart"/>
      <w:r w:rsidRPr="00716C8A">
        <w:rPr>
          <w:rFonts w:ascii="Times New Roman" w:hAnsi="Times New Roman" w:cs="Times New Roman"/>
          <w:sz w:val="18"/>
          <w:szCs w:val="18"/>
          <w:lang w:val="en-US"/>
        </w:rPr>
        <w:t>433 </w:t>
      </w:r>
      <w:r w:rsidR="00F10CED" w:rsidRPr="00716C8A">
        <w:rPr>
          <w:rFonts w:ascii="Times New Roman" w:hAnsi="Times New Roman" w:cs="Times New Roman"/>
          <w:sz w:val="18"/>
          <w:szCs w:val="18"/>
          <w:lang w:val="en-US"/>
        </w:rPr>
        <w:t xml:space="preserve"> kg</w:t>
      </w:r>
      <w:proofErr w:type="gramEnd"/>
      <w:r w:rsidR="00F10CED" w:rsidRPr="00716C8A">
        <w:rPr>
          <w:rFonts w:ascii="Times New Roman" w:hAnsi="Times New Roman" w:cs="Times New Roman"/>
          <w:sz w:val="18"/>
          <w:szCs w:val="18"/>
          <w:lang w:val="en-US"/>
        </w:rPr>
        <w:t xml:space="preserve"> </w:t>
      </w:r>
      <w:proofErr w:type="spellStart"/>
      <w:r w:rsidR="00F10CED" w:rsidRPr="00716C8A">
        <w:rPr>
          <w:rFonts w:ascii="Times New Roman" w:hAnsi="Times New Roman" w:cs="Times New Roman"/>
          <w:sz w:val="18"/>
          <w:szCs w:val="18"/>
          <w:lang w:val="en-US"/>
        </w:rPr>
        <w:t>PE·</w:t>
      </w:r>
      <w:proofErr w:type="gramStart"/>
      <w:r w:rsidR="00F10CED" w:rsidRPr="00716C8A">
        <w:rPr>
          <w:rFonts w:ascii="Times New Roman" w:hAnsi="Times New Roman" w:cs="Times New Roman"/>
          <w:sz w:val="18"/>
          <w:szCs w:val="18"/>
          <w:lang w:val="en-US"/>
        </w:rPr>
        <w:t>mol</w:t>
      </w:r>
      <w:proofErr w:type="spellEnd"/>
      <w:r w:rsidR="00F10CED" w:rsidRPr="00716C8A">
        <w:rPr>
          <w:rFonts w:ascii="Times New Roman" w:hAnsi="Times New Roman" w:cs="Times New Roman"/>
          <w:sz w:val="18"/>
          <w:szCs w:val="18"/>
          <w:lang w:val="en-US"/>
        </w:rPr>
        <w:t>(</w:t>
      </w:r>
      <w:proofErr w:type="gramEnd"/>
      <w:r w:rsidR="00F10CED" w:rsidRPr="00716C8A">
        <w:rPr>
          <w:rFonts w:ascii="Times New Roman" w:hAnsi="Times New Roman" w:cs="Times New Roman"/>
          <w:sz w:val="18"/>
          <w:szCs w:val="18"/>
          <w:lang w:val="en-US"/>
        </w:rPr>
        <w:t>Ni)</w:t>
      </w:r>
      <w:r w:rsidR="00F10CED" w:rsidRPr="00716C8A">
        <w:rPr>
          <w:rFonts w:ascii="Times New Roman" w:hAnsi="Times New Roman" w:cs="Times New Roman"/>
          <w:sz w:val="18"/>
          <w:szCs w:val="18"/>
          <w:vertAlign w:val="superscript"/>
          <w:lang w:val="en-US"/>
        </w:rPr>
        <w:t>–1</w:t>
      </w:r>
      <w:r w:rsidR="00F10CED" w:rsidRPr="00716C8A">
        <w:rPr>
          <w:rFonts w:ascii="Times New Roman" w:hAnsi="Times New Roman" w:cs="Times New Roman"/>
          <w:sz w:val="18"/>
          <w:szCs w:val="18"/>
          <w:lang w:val="en-US"/>
        </w:rPr>
        <w:t>·h</w:t>
      </w:r>
      <w:r w:rsidR="00F10CED" w:rsidRPr="00716C8A">
        <w:rPr>
          <w:rFonts w:ascii="Times New Roman" w:hAnsi="Times New Roman" w:cs="Times New Roman"/>
          <w:sz w:val="18"/>
          <w:szCs w:val="18"/>
          <w:vertAlign w:val="superscript"/>
          <w:lang w:val="en-US"/>
        </w:rPr>
        <w:t>–1</w:t>
      </w:r>
      <w:r w:rsidR="00F10CED" w:rsidRPr="00716C8A">
        <w:rPr>
          <w:rFonts w:ascii="Times New Roman" w:hAnsi="Times New Roman" w:cs="Times New Roman"/>
          <w:sz w:val="18"/>
          <w:szCs w:val="18"/>
          <w:lang w:val="en-US"/>
        </w:rPr>
        <w:t>·atm</w:t>
      </w:r>
      <w:r w:rsidR="00F10CED" w:rsidRPr="00716C8A">
        <w:rPr>
          <w:rFonts w:ascii="Times New Roman" w:hAnsi="Times New Roman" w:cs="Times New Roman"/>
          <w:sz w:val="18"/>
          <w:szCs w:val="18"/>
          <w:vertAlign w:val="superscript"/>
          <w:lang w:val="en-US"/>
        </w:rPr>
        <w:t>–1</w:t>
      </w:r>
      <w:r w:rsidRPr="00716C8A">
        <w:rPr>
          <w:rFonts w:ascii="Times New Roman" w:hAnsi="Times New Roman" w:cs="Times New Roman"/>
          <w:sz w:val="18"/>
          <w:szCs w:val="18"/>
          <w:lang w:val="en-US"/>
        </w:rPr>
        <w:t xml:space="preserve">) </w:t>
      </w:r>
      <w:r w:rsidR="001C1ED1" w:rsidRPr="00716C8A">
        <w:rPr>
          <w:rFonts w:ascii="Times New Roman" w:hAnsi="Times New Roman" w:cs="Times New Roman"/>
          <w:sz w:val="18"/>
          <w:szCs w:val="18"/>
          <w:lang w:val="en-US"/>
        </w:rPr>
        <w:t>owing</w:t>
      </w:r>
      <w:r w:rsidRPr="00716C8A">
        <w:rPr>
          <w:rFonts w:ascii="Times New Roman" w:hAnsi="Times New Roman" w:cs="Times New Roman"/>
          <w:sz w:val="18"/>
          <w:szCs w:val="18"/>
          <w:lang w:val="en-US"/>
        </w:rPr>
        <w:t xml:space="preserve"> to the easier access of ethylene molecules to the active center. However, this also facilitates </w:t>
      </w:r>
      <w:r w:rsidR="00347A99"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chain termination </w:t>
      </w:r>
      <w:r w:rsidRPr="00716C8A">
        <w:rPr>
          <w:rFonts w:ascii="Times New Roman" w:hAnsi="Times New Roman" w:cs="Times New Roman"/>
          <w:i/>
          <w:sz w:val="18"/>
          <w:szCs w:val="18"/>
          <w:lang w:val="en-US"/>
        </w:rPr>
        <w:t>via</w:t>
      </w:r>
      <w:r w:rsidRPr="00716C8A">
        <w:rPr>
          <w:rFonts w:ascii="Times New Roman" w:hAnsi="Times New Roman" w:cs="Times New Roman"/>
          <w:sz w:val="18"/>
          <w:szCs w:val="18"/>
          <w:lang w:val="en-US"/>
        </w:rPr>
        <w:t xml:space="preserve"> </w:t>
      </w:r>
      <w:r w:rsidRPr="00716C8A">
        <w:rPr>
          <w:rFonts w:ascii="Times New Roman" w:hAnsi="Times New Roman" w:cs="Times New Roman"/>
          <w:i/>
          <w:sz w:val="18"/>
          <w:szCs w:val="18"/>
        </w:rPr>
        <w:t>β</w:t>
      </w:r>
      <w:r w:rsidRPr="00716C8A">
        <w:rPr>
          <w:rFonts w:ascii="Times New Roman" w:hAnsi="Times New Roman" w:cs="Times New Roman"/>
          <w:sz w:val="18"/>
          <w:szCs w:val="18"/>
          <w:lang w:val="en-US"/>
        </w:rPr>
        <w:t xml:space="preserve">-elimination, resulting in a decrease </w:t>
      </w:r>
      <w:r w:rsidR="00347A99" w:rsidRPr="00716C8A">
        <w:rPr>
          <w:rFonts w:ascii="Times New Roman" w:hAnsi="Times New Roman" w:cs="Times New Roman"/>
          <w:sz w:val="18"/>
          <w:szCs w:val="18"/>
          <w:lang w:val="en-US"/>
        </w:rPr>
        <w:t xml:space="preserve">of the molar mass </w:t>
      </w:r>
      <w:r w:rsidRPr="00716C8A">
        <w:rPr>
          <w:rFonts w:ascii="Times New Roman" w:hAnsi="Times New Roman" w:cs="Times New Roman"/>
          <w:sz w:val="18"/>
          <w:szCs w:val="18"/>
          <w:lang w:val="en-US"/>
        </w:rPr>
        <w:t xml:space="preserve">from 271 to </w:t>
      </w:r>
      <w:proofErr w:type="gramStart"/>
      <w:r w:rsidRPr="00716C8A">
        <w:rPr>
          <w:rFonts w:ascii="Times New Roman" w:hAnsi="Times New Roman" w:cs="Times New Roman"/>
          <w:sz w:val="18"/>
          <w:szCs w:val="18"/>
          <w:lang w:val="en-US"/>
        </w:rPr>
        <w:t>172</w:t>
      </w:r>
      <w:r w:rsidR="00347A99" w:rsidRPr="00716C8A">
        <w:rPr>
          <w:rFonts w:ascii="Times New Roman" w:hAnsi="Times New Roman" w:cs="Times New Roman"/>
          <w:sz w:val="18"/>
          <w:szCs w:val="18"/>
          <w:lang w:val="en-US"/>
        </w:rPr>
        <w:t xml:space="preserve"> </w:t>
      </w:r>
      <w:r w:rsidRPr="00716C8A">
        <w:rPr>
          <w:rFonts w:ascii="Times New Roman" w:hAnsi="Times New Roman" w:cs="Times New Roman"/>
          <w:sz w:val="18"/>
          <w:szCs w:val="18"/>
          <w:lang w:val="en-US"/>
        </w:rPr>
        <w:t> kg</w:t>
      </w:r>
      <w:proofErr w:type="gramEnd"/>
      <w:r w:rsidRPr="00716C8A">
        <w:rPr>
          <w:rFonts w:ascii="Times New Roman" w:hAnsi="Times New Roman" w:cs="Times New Roman"/>
          <w:sz w:val="18"/>
          <w:szCs w:val="18"/>
          <w:lang w:val="en-US"/>
        </w:rPr>
        <w:t xml:space="preserve">/mol and </w:t>
      </w:r>
      <w:r w:rsidR="00347A99" w:rsidRPr="00716C8A">
        <w:rPr>
          <w:rFonts w:ascii="Times New Roman" w:hAnsi="Times New Roman" w:cs="Times New Roman"/>
          <w:sz w:val="18"/>
          <w:szCs w:val="18"/>
          <w:lang w:val="en-US"/>
        </w:rPr>
        <w:t xml:space="preserve">an increase in the </w:t>
      </w:r>
      <w:r w:rsidRPr="00716C8A">
        <w:rPr>
          <w:rFonts w:ascii="Times New Roman" w:hAnsi="Times New Roman" w:cs="Times New Roman"/>
          <w:sz w:val="18"/>
          <w:szCs w:val="18"/>
          <w:lang w:val="en-US"/>
        </w:rPr>
        <w:t>polydispersity index from 1.8 to 3</w:t>
      </w:r>
      <w:r w:rsidR="00347A99" w:rsidRPr="00716C8A">
        <w:rPr>
          <w:rFonts w:ascii="Times New Roman" w:hAnsi="Times New Roman" w:cs="Times New Roman"/>
          <w:sz w:val="18"/>
          <w:szCs w:val="18"/>
          <w:lang w:val="en-US"/>
        </w:rPr>
        <w:t>.0</w:t>
      </w:r>
      <w:r w:rsidRPr="00716C8A">
        <w:rPr>
          <w:rFonts w:ascii="Times New Roman" w:hAnsi="Times New Roman" w:cs="Times New Roman"/>
          <w:sz w:val="18"/>
          <w:szCs w:val="18"/>
          <w:lang w:val="en-US"/>
        </w:rPr>
        <w:t xml:space="preserve"> (</w:t>
      </w:r>
      <w:r w:rsidR="00347A99" w:rsidRPr="00716C8A">
        <w:rPr>
          <w:rFonts w:ascii="Times New Roman" w:hAnsi="Times New Roman" w:cs="Times New Roman"/>
          <w:sz w:val="18"/>
          <w:szCs w:val="18"/>
          <w:lang w:val="en-US"/>
        </w:rPr>
        <w:t>runs</w:t>
      </w:r>
      <w:r w:rsidRPr="00716C8A">
        <w:rPr>
          <w:rFonts w:ascii="Times New Roman" w:hAnsi="Times New Roman" w:cs="Times New Roman"/>
          <w:sz w:val="18"/>
          <w:szCs w:val="18"/>
          <w:lang w:val="en-US"/>
        </w:rPr>
        <w:t xml:space="preserve"> 1 and 8). </w:t>
      </w:r>
      <w:r w:rsidR="00347A99" w:rsidRPr="00716C8A">
        <w:rPr>
          <w:rFonts w:ascii="Times New Roman" w:hAnsi="Times New Roman" w:cs="Times New Roman"/>
          <w:sz w:val="18"/>
          <w:szCs w:val="18"/>
          <w:lang w:val="en-US"/>
        </w:rPr>
        <w:t>The r</w:t>
      </w:r>
      <w:r w:rsidRPr="00716C8A">
        <w:rPr>
          <w:rFonts w:ascii="Times New Roman" w:hAnsi="Times New Roman" w:cs="Times New Roman"/>
          <w:sz w:val="18"/>
          <w:szCs w:val="18"/>
          <w:lang w:val="en-US"/>
        </w:rPr>
        <w:t>educed steric hindrance</w:t>
      </w:r>
      <w:r w:rsidR="00347A99" w:rsidRPr="00716C8A">
        <w:rPr>
          <w:rFonts w:ascii="Times New Roman" w:hAnsi="Times New Roman" w:cs="Times New Roman"/>
          <w:sz w:val="18"/>
          <w:szCs w:val="18"/>
          <w:lang w:val="en-US"/>
        </w:rPr>
        <w:t>s</w:t>
      </w:r>
      <w:r w:rsidRPr="00716C8A">
        <w:rPr>
          <w:rFonts w:ascii="Times New Roman" w:hAnsi="Times New Roman" w:cs="Times New Roman"/>
          <w:sz w:val="18"/>
          <w:szCs w:val="18"/>
          <w:lang w:val="en-US"/>
        </w:rPr>
        <w:t xml:space="preserve"> further promote </w:t>
      </w:r>
      <w:r w:rsidR="00347A99"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increased chain-walking activity of nickel, as </w:t>
      </w:r>
      <w:r w:rsidR="00347A99" w:rsidRPr="00716C8A">
        <w:rPr>
          <w:rFonts w:ascii="Times New Roman" w:hAnsi="Times New Roman" w:cs="Times New Roman"/>
          <w:sz w:val="18"/>
          <w:szCs w:val="18"/>
          <w:lang w:val="en-US"/>
        </w:rPr>
        <w:t xml:space="preserve">is </w:t>
      </w:r>
      <w:r w:rsidRPr="00716C8A">
        <w:rPr>
          <w:rFonts w:ascii="Times New Roman" w:hAnsi="Times New Roman" w:cs="Times New Roman"/>
          <w:sz w:val="18"/>
          <w:szCs w:val="18"/>
          <w:lang w:val="en-US"/>
        </w:rPr>
        <w:t xml:space="preserve">evidenced by </w:t>
      </w:r>
      <w:r w:rsidR="00347A99" w:rsidRPr="00716C8A">
        <w:rPr>
          <w:rFonts w:ascii="Times New Roman" w:hAnsi="Times New Roman" w:cs="Times New Roman"/>
          <w:sz w:val="18"/>
          <w:szCs w:val="18"/>
          <w:lang w:val="en-US"/>
        </w:rPr>
        <w:t>the</w:t>
      </w:r>
      <w:r w:rsidRPr="00716C8A">
        <w:rPr>
          <w:rFonts w:ascii="Times New Roman" w:hAnsi="Times New Roman" w:cs="Times New Roman"/>
          <w:sz w:val="18"/>
          <w:szCs w:val="18"/>
          <w:lang w:val="en-US"/>
        </w:rPr>
        <w:t xml:space="preserve"> growing number of branches (44, 80, and 93 per 1000 carbons</w:t>
      </w:r>
      <w:r w:rsidR="00347A99" w:rsidRPr="00716C8A">
        <w:rPr>
          <w:rFonts w:ascii="Times New Roman" w:hAnsi="Times New Roman" w:cs="Times New Roman"/>
          <w:sz w:val="18"/>
          <w:szCs w:val="18"/>
          <w:lang w:val="en-US"/>
        </w:rPr>
        <w:t xml:space="preserve"> in</w:t>
      </w:r>
      <w:r w:rsidRPr="00716C8A">
        <w:rPr>
          <w:rFonts w:ascii="Times New Roman" w:hAnsi="Times New Roman" w:cs="Times New Roman"/>
          <w:sz w:val="18"/>
          <w:szCs w:val="18"/>
          <w:lang w:val="en-US"/>
        </w:rPr>
        <w:t xml:space="preserve"> runs 1, 8 and 10, respectively). An increase in </w:t>
      </w:r>
      <w:r w:rsidR="00347A99"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temperature from 30 to 60</w:t>
      </w:r>
      <w:r w:rsidR="00347A99" w:rsidRPr="00716C8A">
        <w:rPr>
          <w:rFonts w:ascii="Times New Roman" w:hAnsi="Times New Roman" w:cs="Times New Roman"/>
          <w:sz w:val="18"/>
          <w:szCs w:val="18"/>
          <w:lang w:val="en-US"/>
        </w:rPr>
        <w:t xml:space="preserve"> °C</w:t>
      </w:r>
      <w:r w:rsidRPr="00716C8A">
        <w:rPr>
          <w:rFonts w:ascii="Times New Roman" w:hAnsi="Times New Roman" w:cs="Times New Roman"/>
          <w:sz w:val="18"/>
          <w:szCs w:val="18"/>
          <w:lang w:val="en-US"/>
        </w:rPr>
        <w:t xml:space="preserve"> </w:t>
      </w:r>
      <w:r w:rsidR="00347A99" w:rsidRPr="00716C8A">
        <w:rPr>
          <w:rFonts w:ascii="Times New Roman" w:hAnsi="Times New Roman" w:cs="Times New Roman"/>
          <w:sz w:val="18"/>
          <w:szCs w:val="18"/>
          <w:lang w:val="en-US"/>
        </w:rPr>
        <w:t>also leads to the formation</w:t>
      </w:r>
    </w:p>
    <w:p w14:paraId="62932744" w14:textId="77777777" w:rsidR="0030773A" w:rsidRPr="00716C8A" w:rsidRDefault="004A0176" w:rsidP="004A0176">
      <w:pPr>
        <w:widowControl w:val="0"/>
        <w:spacing w:after="120"/>
        <w:jc w:val="both"/>
        <w:rPr>
          <w:rFonts w:ascii="Times New Roman" w:hAnsi="Times New Roman" w:cs="Times New Roman"/>
          <w:sz w:val="18"/>
          <w:szCs w:val="18"/>
          <w:lang w:val="en-US"/>
        </w:rPr>
      </w:pPr>
      <w:r w:rsidRPr="00716C8A">
        <w:rPr>
          <w:rFonts w:ascii="Times New Roman" w:eastAsia="Times New Roman" w:hAnsi="Times New Roman" w:cs="Times New Roman"/>
          <w:b/>
          <w:bCs/>
          <w:color w:val="000000"/>
          <w:sz w:val="16"/>
          <w:szCs w:val="16"/>
          <w:lang w:val="en-US" w:eastAsia="ru-RU"/>
        </w:rPr>
        <w:lastRenderedPageBreak/>
        <w:t xml:space="preserve">Table 1. </w:t>
      </w:r>
      <w:r w:rsidRPr="00716C8A">
        <w:rPr>
          <w:rFonts w:ascii="Times New Roman" w:eastAsia="Times New Roman" w:hAnsi="Times New Roman" w:cs="Times New Roman"/>
          <w:color w:val="000000"/>
          <w:sz w:val="16"/>
          <w:szCs w:val="16"/>
          <w:lang w:val="en-US" w:eastAsia="ru-RU"/>
        </w:rPr>
        <w:t xml:space="preserve">Ethylene polymerization catalyzed by complexes </w:t>
      </w:r>
      <w:r w:rsidRPr="00716C8A">
        <w:rPr>
          <w:rFonts w:ascii="Times New Roman" w:eastAsia="Times New Roman" w:hAnsi="Times New Roman" w:cs="Times New Roman"/>
          <w:b/>
          <w:bCs/>
          <w:color w:val="000000"/>
          <w:sz w:val="16"/>
          <w:szCs w:val="16"/>
          <w:lang w:val="en-US" w:eastAsia="ru-RU"/>
        </w:rPr>
        <w:t xml:space="preserve">1–3 </w:t>
      </w:r>
      <w:r w:rsidRPr="00716C8A">
        <w:rPr>
          <w:rFonts w:ascii="Times New Roman" w:eastAsia="Times New Roman" w:hAnsi="Times New Roman" w:cs="Times New Roman"/>
          <w:color w:val="000000"/>
          <w:sz w:val="16"/>
          <w:szCs w:val="16"/>
          <w:lang w:val="en-US" w:eastAsia="ru-RU"/>
        </w:rPr>
        <w:t>in the presence or absence of ZnEt</w:t>
      </w:r>
      <w:r w:rsidRPr="00716C8A">
        <w:rPr>
          <w:rFonts w:ascii="Times New Roman" w:eastAsia="Times New Roman" w:hAnsi="Times New Roman" w:cs="Times New Roman"/>
          <w:color w:val="000000"/>
          <w:sz w:val="16"/>
          <w:szCs w:val="16"/>
          <w:vertAlign w:val="subscript"/>
          <w:lang w:val="en-US" w:eastAsia="ru-RU"/>
        </w:rPr>
        <w:t>2</w:t>
      </w:r>
      <w:r w:rsidRPr="00716C8A">
        <w:rPr>
          <w:rFonts w:ascii="Times New Roman" w:eastAsia="Times New Roman" w:hAnsi="Times New Roman" w:cs="Times New Roman"/>
          <w:b/>
          <w:i/>
          <w:color w:val="000000"/>
          <w:sz w:val="16"/>
          <w:szCs w:val="16"/>
          <w:vertAlign w:val="superscript"/>
          <w:lang w:val="en-US" w:eastAsia="ru-RU"/>
        </w:rPr>
        <w:t>a</w:t>
      </w:r>
    </w:p>
    <w:tbl>
      <w:tblPr>
        <w:tblpPr w:leftFromText="2835" w:rightFromText="2835" w:vertAnchor="text" w:horzAnchor="margin" w:tblpXSpec="center" w:tblpY="58"/>
        <w:tblW w:w="9606" w:type="dxa"/>
        <w:tblLayout w:type="fixed"/>
        <w:tblLook w:val="04A0" w:firstRow="1" w:lastRow="0" w:firstColumn="1" w:lastColumn="0" w:noHBand="0" w:noVBand="1"/>
      </w:tblPr>
      <w:tblGrid>
        <w:gridCol w:w="567"/>
        <w:gridCol w:w="993"/>
        <w:gridCol w:w="1100"/>
        <w:gridCol w:w="1134"/>
        <w:gridCol w:w="851"/>
        <w:gridCol w:w="992"/>
        <w:gridCol w:w="1134"/>
        <w:gridCol w:w="567"/>
        <w:gridCol w:w="567"/>
        <w:gridCol w:w="850"/>
        <w:gridCol w:w="851"/>
      </w:tblGrid>
      <w:tr w:rsidR="004A0176" w:rsidRPr="00716C8A" w14:paraId="4C9CDC58" w14:textId="77777777" w:rsidTr="004A0176">
        <w:trPr>
          <w:trHeight w:val="317"/>
        </w:trPr>
        <w:tc>
          <w:tcPr>
            <w:tcW w:w="567" w:type="dxa"/>
            <w:tcBorders>
              <w:top w:val="single" w:sz="4" w:space="0" w:color="auto"/>
              <w:left w:val="nil"/>
              <w:bottom w:val="single" w:sz="4" w:space="0" w:color="auto"/>
              <w:right w:val="nil"/>
            </w:tcBorders>
            <w:vAlign w:val="center"/>
            <w:hideMark/>
          </w:tcPr>
          <w:p w14:paraId="425640B5"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eastAsia="ru-RU"/>
              </w:rPr>
            </w:pPr>
            <w:proofErr w:type="spellStart"/>
            <w:r w:rsidRPr="00716C8A">
              <w:rPr>
                <w:rFonts w:ascii="Times New Roman" w:eastAsia="Times New Roman" w:hAnsi="Times New Roman" w:cs="Times New Roman"/>
                <w:iCs/>
                <w:color w:val="000000"/>
                <w:sz w:val="16"/>
                <w:szCs w:val="16"/>
                <w:lang w:eastAsia="ru-RU"/>
              </w:rPr>
              <w:t>Run</w:t>
            </w:r>
            <w:proofErr w:type="spellEnd"/>
          </w:p>
        </w:tc>
        <w:tc>
          <w:tcPr>
            <w:tcW w:w="993" w:type="dxa"/>
            <w:tcBorders>
              <w:top w:val="single" w:sz="4" w:space="0" w:color="auto"/>
              <w:left w:val="nil"/>
              <w:bottom w:val="single" w:sz="4" w:space="0" w:color="auto"/>
              <w:right w:val="nil"/>
            </w:tcBorders>
            <w:vAlign w:val="center"/>
            <w:hideMark/>
          </w:tcPr>
          <w:p w14:paraId="01FD33E7"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proofErr w:type="spellStart"/>
            <w:r w:rsidRPr="00716C8A">
              <w:rPr>
                <w:rFonts w:ascii="Times New Roman" w:eastAsia="Times New Roman" w:hAnsi="Times New Roman" w:cs="Times New Roman"/>
                <w:iCs/>
                <w:color w:val="000000"/>
                <w:sz w:val="16"/>
                <w:szCs w:val="16"/>
                <w:lang w:eastAsia="ru-RU"/>
              </w:rPr>
              <w:t>Precat</w:t>
            </w:r>
            <w:r w:rsidRPr="00716C8A">
              <w:rPr>
                <w:rFonts w:ascii="Times New Roman" w:eastAsia="Times New Roman" w:hAnsi="Times New Roman" w:cs="Times New Roman"/>
                <w:iCs/>
                <w:color w:val="000000"/>
                <w:sz w:val="16"/>
                <w:szCs w:val="16"/>
                <w:lang w:val="en-US" w:eastAsia="ru-RU"/>
              </w:rPr>
              <w:t>alyst</w:t>
            </w:r>
            <w:proofErr w:type="spellEnd"/>
          </w:p>
        </w:tc>
        <w:tc>
          <w:tcPr>
            <w:tcW w:w="1100" w:type="dxa"/>
            <w:tcBorders>
              <w:top w:val="single" w:sz="4" w:space="0" w:color="auto"/>
              <w:left w:val="nil"/>
              <w:bottom w:val="single" w:sz="4" w:space="0" w:color="auto"/>
              <w:right w:val="nil"/>
            </w:tcBorders>
            <w:vAlign w:val="center"/>
            <w:hideMark/>
          </w:tcPr>
          <w:p w14:paraId="69BCD7B8"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eastAsia="ru-RU"/>
              </w:rPr>
            </w:pPr>
            <w:r w:rsidRPr="00716C8A">
              <w:rPr>
                <w:rFonts w:ascii="Times New Roman" w:eastAsia="Times New Roman" w:hAnsi="Times New Roman" w:cs="Times New Roman"/>
                <w:iCs/>
                <w:color w:val="000000"/>
                <w:sz w:val="16"/>
                <w:szCs w:val="16"/>
                <w:lang w:eastAsia="ru-RU"/>
              </w:rPr>
              <w:t>ZnEt</w:t>
            </w:r>
            <w:r w:rsidRPr="00716C8A">
              <w:rPr>
                <w:rFonts w:ascii="Times New Roman" w:eastAsia="Times New Roman" w:hAnsi="Times New Roman" w:cs="Times New Roman"/>
                <w:iCs/>
                <w:color w:val="000000"/>
                <w:sz w:val="16"/>
                <w:szCs w:val="16"/>
                <w:vertAlign w:val="subscript"/>
                <w:lang w:eastAsia="ru-RU"/>
              </w:rPr>
              <w:t>2</w:t>
            </w:r>
            <w:r w:rsidRPr="00716C8A">
              <w:rPr>
                <w:rFonts w:ascii="Times New Roman" w:eastAsia="Times New Roman" w:hAnsi="Times New Roman" w:cs="Times New Roman"/>
                <w:iCs/>
                <w:color w:val="000000"/>
                <w:sz w:val="16"/>
                <w:szCs w:val="16"/>
                <w:lang w:eastAsia="ru-RU"/>
              </w:rPr>
              <w:t xml:space="preserve">, </w:t>
            </w:r>
            <w:proofErr w:type="spellStart"/>
            <w:r w:rsidRPr="00716C8A">
              <w:rPr>
                <w:rFonts w:ascii="Times New Roman" w:eastAsia="Times New Roman" w:hAnsi="Times New Roman" w:cs="Times New Roman"/>
                <w:iCs/>
                <w:color w:val="000000"/>
                <w:sz w:val="16"/>
                <w:szCs w:val="16"/>
                <w:lang w:eastAsia="ru-RU"/>
              </w:rPr>
              <w:t>equiv</w:t>
            </w:r>
            <w:proofErr w:type="spellEnd"/>
            <w:r w:rsidRPr="00716C8A">
              <w:rPr>
                <w:rFonts w:ascii="Times New Roman" w:eastAsia="Times New Roman" w:hAnsi="Times New Roman" w:cs="Times New Roman"/>
                <w:iCs/>
                <w:color w:val="000000"/>
                <w:sz w:val="16"/>
                <w:szCs w:val="16"/>
                <w:lang w:eastAsia="ru-RU"/>
              </w:rPr>
              <w:t>.</w:t>
            </w:r>
          </w:p>
        </w:tc>
        <w:tc>
          <w:tcPr>
            <w:tcW w:w="1134" w:type="dxa"/>
            <w:tcBorders>
              <w:top w:val="single" w:sz="4" w:space="0" w:color="auto"/>
              <w:left w:val="nil"/>
              <w:bottom w:val="single" w:sz="4" w:space="0" w:color="auto"/>
              <w:right w:val="nil"/>
            </w:tcBorders>
            <w:vAlign w:val="center"/>
            <w:hideMark/>
          </w:tcPr>
          <w:p w14:paraId="0CAC8D88"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eastAsia="ru-RU"/>
              </w:rPr>
            </w:pPr>
            <w:r w:rsidRPr="00716C8A">
              <w:rPr>
                <w:rFonts w:ascii="Times New Roman" w:eastAsia="Times New Roman" w:hAnsi="Times New Roman" w:cs="Times New Roman"/>
                <w:iCs/>
                <w:color w:val="000000"/>
                <w:sz w:val="16"/>
                <w:szCs w:val="16"/>
                <w:lang w:eastAsia="ru-RU"/>
              </w:rPr>
              <w:t>Product, g</w:t>
            </w:r>
          </w:p>
        </w:tc>
        <w:tc>
          <w:tcPr>
            <w:tcW w:w="851" w:type="dxa"/>
            <w:tcBorders>
              <w:top w:val="single" w:sz="4" w:space="0" w:color="auto"/>
              <w:left w:val="nil"/>
              <w:bottom w:val="single" w:sz="4" w:space="0" w:color="auto"/>
              <w:right w:val="nil"/>
            </w:tcBorders>
            <w:vAlign w:val="center"/>
            <w:hideMark/>
          </w:tcPr>
          <w:p w14:paraId="52BE6329"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proofErr w:type="spellStart"/>
            <w:r w:rsidRPr="00716C8A">
              <w:rPr>
                <w:rFonts w:ascii="Times New Roman" w:eastAsia="Times New Roman" w:hAnsi="Times New Roman" w:cs="Times New Roman"/>
                <w:iCs/>
                <w:color w:val="000000"/>
                <w:sz w:val="16"/>
                <w:szCs w:val="16"/>
                <w:lang w:val="en-US" w:eastAsia="ru-RU"/>
              </w:rPr>
              <w:t>Activity</w:t>
            </w:r>
            <w:r w:rsidRPr="00716C8A">
              <w:rPr>
                <w:rFonts w:ascii="Times New Roman" w:eastAsia="Times New Roman" w:hAnsi="Times New Roman" w:cs="Times New Roman"/>
                <w:b/>
                <w:i/>
                <w:iCs/>
                <w:color w:val="000000"/>
                <w:sz w:val="16"/>
                <w:szCs w:val="16"/>
                <w:vertAlign w:val="superscript"/>
                <w:lang w:val="en-US" w:eastAsia="ru-RU"/>
              </w:rPr>
              <w:t>b</w:t>
            </w:r>
            <w:proofErr w:type="spellEnd"/>
          </w:p>
        </w:tc>
        <w:tc>
          <w:tcPr>
            <w:tcW w:w="992" w:type="dxa"/>
            <w:tcBorders>
              <w:top w:val="single" w:sz="4" w:space="0" w:color="auto"/>
              <w:left w:val="nil"/>
              <w:bottom w:val="single" w:sz="4" w:space="0" w:color="auto"/>
              <w:right w:val="nil"/>
            </w:tcBorders>
            <w:vAlign w:val="center"/>
            <w:hideMark/>
          </w:tcPr>
          <w:p w14:paraId="6CEF040B"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eastAsia="ru-RU"/>
              </w:rPr>
            </w:pPr>
            <w:proofErr w:type="spellStart"/>
            <w:r w:rsidRPr="00716C8A">
              <w:rPr>
                <w:rFonts w:ascii="Times New Roman" w:eastAsia="Times New Roman" w:hAnsi="Times New Roman" w:cs="Times New Roman"/>
                <w:i/>
                <w:iCs/>
                <w:color w:val="000000"/>
                <w:sz w:val="16"/>
                <w:szCs w:val="16"/>
                <w:lang w:eastAsia="ru-RU"/>
              </w:rPr>
              <w:t>M</w:t>
            </w:r>
            <w:r w:rsidRPr="00716C8A">
              <w:rPr>
                <w:rFonts w:ascii="Times New Roman" w:eastAsia="Times New Roman" w:hAnsi="Times New Roman" w:cs="Times New Roman"/>
                <w:iCs/>
                <w:color w:val="000000"/>
                <w:sz w:val="16"/>
                <w:szCs w:val="16"/>
                <w:vertAlign w:val="subscript"/>
                <w:lang w:eastAsia="ru-RU"/>
              </w:rPr>
              <w:t>n</w:t>
            </w:r>
            <w:proofErr w:type="spellEnd"/>
            <w:r w:rsidRPr="00716C8A">
              <w:rPr>
                <w:rFonts w:ascii="Times New Roman" w:eastAsia="Times New Roman" w:hAnsi="Times New Roman" w:cs="Times New Roman"/>
                <w:iCs/>
                <w:color w:val="000000"/>
                <w:sz w:val="16"/>
                <w:szCs w:val="16"/>
                <w:lang w:eastAsia="ru-RU"/>
              </w:rPr>
              <w:t xml:space="preserve">, </w:t>
            </w:r>
            <w:proofErr w:type="spellStart"/>
            <w:r w:rsidRPr="00716C8A">
              <w:rPr>
                <w:rFonts w:ascii="Times New Roman" w:eastAsia="Times New Roman" w:hAnsi="Times New Roman" w:cs="Times New Roman"/>
                <w:iCs/>
                <w:color w:val="000000"/>
                <w:sz w:val="16"/>
                <w:szCs w:val="16"/>
                <w:lang w:eastAsia="ru-RU"/>
              </w:rPr>
              <w:t>kg</w:t>
            </w:r>
            <w:proofErr w:type="spellEnd"/>
            <w:r w:rsidRPr="00716C8A">
              <w:rPr>
                <w:rFonts w:ascii="Times New Roman" w:eastAsia="Times New Roman" w:hAnsi="Times New Roman" w:cs="Times New Roman"/>
                <w:iCs/>
                <w:color w:val="000000"/>
                <w:sz w:val="16"/>
                <w:szCs w:val="16"/>
                <w:lang w:eastAsia="ru-RU"/>
              </w:rPr>
              <w:t>/</w:t>
            </w:r>
            <w:proofErr w:type="spellStart"/>
            <w:r w:rsidRPr="00716C8A">
              <w:rPr>
                <w:rFonts w:ascii="Times New Roman" w:eastAsia="Times New Roman" w:hAnsi="Times New Roman" w:cs="Times New Roman"/>
                <w:iCs/>
                <w:color w:val="000000"/>
                <w:sz w:val="16"/>
                <w:szCs w:val="16"/>
                <w:lang w:eastAsia="ru-RU"/>
              </w:rPr>
              <w:t>mol</w:t>
            </w:r>
            <w:proofErr w:type="spellEnd"/>
            <w:r w:rsidRPr="00716C8A">
              <w:rPr>
                <w:rFonts w:ascii="Times New Roman" w:eastAsia="Times New Roman" w:hAnsi="Times New Roman" w:cs="Times New Roman"/>
                <w:b/>
                <w:i/>
                <w:iCs/>
                <w:color w:val="000000"/>
                <w:sz w:val="16"/>
                <w:szCs w:val="16"/>
                <w:vertAlign w:val="superscript"/>
                <w:lang w:val="en-US" w:eastAsia="ru-RU"/>
              </w:rPr>
              <w:t>c</w:t>
            </w:r>
          </w:p>
        </w:tc>
        <w:tc>
          <w:tcPr>
            <w:tcW w:w="1134" w:type="dxa"/>
            <w:tcBorders>
              <w:top w:val="single" w:sz="4" w:space="0" w:color="auto"/>
              <w:left w:val="nil"/>
              <w:bottom w:val="single" w:sz="4" w:space="0" w:color="auto"/>
              <w:right w:val="nil"/>
            </w:tcBorders>
            <w:vAlign w:val="center"/>
            <w:hideMark/>
          </w:tcPr>
          <w:p w14:paraId="287B0645"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proofErr w:type="spellStart"/>
            <w:r w:rsidRPr="00716C8A">
              <w:rPr>
                <w:rFonts w:ascii="Times New Roman" w:eastAsia="Times New Roman" w:hAnsi="Times New Roman" w:cs="Times New Roman"/>
                <w:i/>
                <w:iCs/>
                <w:color w:val="000000"/>
                <w:sz w:val="16"/>
                <w:szCs w:val="16"/>
                <w:lang w:eastAsia="ru-RU"/>
              </w:rPr>
              <w:t>M</w:t>
            </w:r>
            <w:r w:rsidRPr="00716C8A">
              <w:rPr>
                <w:rFonts w:ascii="Times New Roman" w:eastAsia="Times New Roman" w:hAnsi="Times New Roman" w:cs="Times New Roman"/>
                <w:iCs/>
                <w:color w:val="000000"/>
                <w:sz w:val="16"/>
                <w:szCs w:val="16"/>
                <w:vertAlign w:val="subscript"/>
                <w:lang w:eastAsia="ru-RU"/>
              </w:rPr>
              <w:t>w</w:t>
            </w:r>
            <w:proofErr w:type="spellEnd"/>
            <w:r w:rsidRPr="00716C8A">
              <w:rPr>
                <w:rFonts w:ascii="Times New Roman" w:eastAsia="Times New Roman" w:hAnsi="Times New Roman" w:cs="Times New Roman"/>
                <w:iCs/>
                <w:color w:val="000000"/>
                <w:sz w:val="16"/>
                <w:szCs w:val="16"/>
                <w:lang w:eastAsia="ru-RU"/>
              </w:rPr>
              <w:t xml:space="preserve">, </w:t>
            </w:r>
            <w:proofErr w:type="spellStart"/>
            <w:r w:rsidRPr="00716C8A">
              <w:rPr>
                <w:rFonts w:ascii="Times New Roman" w:eastAsia="Times New Roman" w:hAnsi="Times New Roman" w:cs="Times New Roman"/>
                <w:iCs/>
                <w:color w:val="000000"/>
                <w:sz w:val="16"/>
                <w:szCs w:val="16"/>
                <w:lang w:eastAsia="ru-RU"/>
              </w:rPr>
              <w:t>kg</w:t>
            </w:r>
            <w:proofErr w:type="spellEnd"/>
            <w:r w:rsidRPr="00716C8A">
              <w:rPr>
                <w:rFonts w:ascii="Times New Roman" w:eastAsia="Times New Roman" w:hAnsi="Times New Roman" w:cs="Times New Roman"/>
                <w:iCs/>
                <w:color w:val="000000"/>
                <w:sz w:val="16"/>
                <w:szCs w:val="16"/>
                <w:lang w:eastAsia="ru-RU"/>
              </w:rPr>
              <w:t>/</w:t>
            </w:r>
            <w:proofErr w:type="spellStart"/>
            <w:r w:rsidRPr="00716C8A">
              <w:rPr>
                <w:rFonts w:ascii="Times New Roman" w:eastAsia="Times New Roman" w:hAnsi="Times New Roman" w:cs="Times New Roman"/>
                <w:iCs/>
                <w:color w:val="000000"/>
                <w:sz w:val="16"/>
                <w:szCs w:val="16"/>
                <w:lang w:eastAsia="ru-RU"/>
              </w:rPr>
              <w:t>mol</w:t>
            </w:r>
            <w:proofErr w:type="spellEnd"/>
            <w:r w:rsidRPr="00716C8A">
              <w:rPr>
                <w:rFonts w:ascii="Times New Roman" w:eastAsia="Times New Roman" w:hAnsi="Times New Roman" w:cs="Times New Roman"/>
                <w:b/>
                <w:i/>
                <w:iCs/>
                <w:color w:val="000000"/>
                <w:sz w:val="16"/>
                <w:szCs w:val="16"/>
                <w:vertAlign w:val="superscript"/>
                <w:lang w:val="en-US" w:eastAsia="ru-RU"/>
              </w:rPr>
              <w:t>c</w:t>
            </w:r>
          </w:p>
        </w:tc>
        <w:tc>
          <w:tcPr>
            <w:tcW w:w="567" w:type="dxa"/>
            <w:tcBorders>
              <w:top w:val="single" w:sz="4" w:space="0" w:color="auto"/>
              <w:left w:val="nil"/>
              <w:bottom w:val="single" w:sz="4" w:space="0" w:color="auto"/>
              <w:right w:val="nil"/>
            </w:tcBorders>
            <w:vAlign w:val="center"/>
            <w:hideMark/>
          </w:tcPr>
          <w:p w14:paraId="12AC4AAE"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r w:rsidRPr="00716C8A">
              <w:rPr>
                <w:rFonts w:ascii="Times New Roman" w:eastAsia="Times New Roman" w:hAnsi="Times New Roman" w:cs="Times New Roman"/>
                <w:iCs/>
                <w:color w:val="000000"/>
                <w:sz w:val="16"/>
                <w:szCs w:val="16"/>
                <w:lang w:eastAsia="ru-RU"/>
              </w:rPr>
              <w:t>PDI</w:t>
            </w:r>
            <w:r w:rsidRPr="00716C8A">
              <w:rPr>
                <w:rFonts w:ascii="Times New Roman" w:eastAsia="Times New Roman" w:hAnsi="Times New Roman" w:cs="Times New Roman"/>
                <w:b/>
                <w:i/>
                <w:iCs/>
                <w:color w:val="000000"/>
                <w:sz w:val="16"/>
                <w:szCs w:val="16"/>
                <w:vertAlign w:val="superscript"/>
                <w:lang w:val="en-US" w:eastAsia="ru-RU"/>
              </w:rPr>
              <w:t>c</w:t>
            </w:r>
          </w:p>
        </w:tc>
        <w:tc>
          <w:tcPr>
            <w:tcW w:w="567" w:type="dxa"/>
            <w:tcBorders>
              <w:top w:val="single" w:sz="4" w:space="0" w:color="auto"/>
              <w:left w:val="nil"/>
              <w:bottom w:val="single" w:sz="4" w:space="0" w:color="auto"/>
              <w:right w:val="nil"/>
            </w:tcBorders>
            <w:vAlign w:val="center"/>
            <w:hideMark/>
          </w:tcPr>
          <w:p w14:paraId="76B99EDE"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r w:rsidRPr="00716C8A">
              <w:rPr>
                <w:rFonts w:ascii="Times New Roman" w:eastAsia="Times New Roman" w:hAnsi="Times New Roman" w:cs="Times New Roman"/>
                <w:iCs/>
                <w:color w:val="000000"/>
                <w:sz w:val="16"/>
                <w:szCs w:val="16"/>
                <w:lang w:eastAsia="ru-RU"/>
              </w:rPr>
              <w:t>BD</w:t>
            </w:r>
            <w:r w:rsidRPr="00716C8A">
              <w:rPr>
                <w:rFonts w:ascii="Times New Roman" w:eastAsia="Times New Roman" w:hAnsi="Times New Roman" w:cs="Times New Roman"/>
                <w:b/>
                <w:i/>
                <w:iCs/>
                <w:color w:val="000000"/>
                <w:sz w:val="16"/>
                <w:szCs w:val="16"/>
                <w:vertAlign w:val="superscript"/>
                <w:lang w:val="en-US" w:eastAsia="ru-RU"/>
              </w:rPr>
              <w:t>d</w:t>
            </w:r>
          </w:p>
        </w:tc>
        <w:tc>
          <w:tcPr>
            <w:tcW w:w="850" w:type="dxa"/>
            <w:tcBorders>
              <w:top w:val="single" w:sz="4" w:space="0" w:color="auto"/>
              <w:left w:val="nil"/>
              <w:bottom w:val="single" w:sz="4" w:space="0" w:color="auto"/>
              <w:right w:val="nil"/>
            </w:tcBorders>
            <w:vAlign w:val="center"/>
            <w:hideMark/>
          </w:tcPr>
          <w:p w14:paraId="4A10AA8D"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proofErr w:type="spellStart"/>
            <w:r w:rsidRPr="00716C8A">
              <w:rPr>
                <w:rFonts w:ascii="Times New Roman" w:eastAsia="Times New Roman" w:hAnsi="Times New Roman" w:cs="Times New Roman"/>
                <w:i/>
                <w:iCs/>
                <w:color w:val="000000"/>
                <w:sz w:val="16"/>
                <w:szCs w:val="16"/>
                <w:lang w:eastAsia="ru-RU"/>
              </w:rPr>
              <w:t>T</w:t>
            </w:r>
            <w:r w:rsidRPr="00716C8A">
              <w:rPr>
                <w:rFonts w:ascii="Times New Roman" w:eastAsia="Times New Roman" w:hAnsi="Times New Roman" w:cs="Times New Roman"/>
                <w:iCs/>
                <w:color w:val="000000"/>
                <w:sz w:val="16"/>
                <w:szCs w:val="16"/>
                <w:vertAlign w:val="subscript"/>
                <w:lang w:eastAsia="ru-RU"/>
              </w:rPr>
              <w:t>m</w:t>
            </w:r>
            <w:proofErr w:type="spellEnd"/>
            <w:r w:rsidRPr="00716C8A">
              <w:rPr>
                <w:rFonts w:ascii="Times New Roman" w:eastAsia="Times New Roman" w:hAnsi="Times New Roman" w:cs="Times New Roman"/>
                <w:iCs/>
                <w:color w:val="000000"/>
                <w:sz w:val="16"/>
                <w:szCs w:val="16"/>
                <w:lang w:eastAsia="ru-RU"/>
              </w:rPr>
              <w:t>,</w:t>
            </w:r>
            <w:r w:rsidRPr="00716C8A">
              <w:rPr>
                <w:rFonts w:ascii="Times New Roman" w:eastAsia="Times New Roman" w:hAnsi="Times New Roman" w:cs="Times New Roman"/>
                <w:iCs/>
                <w:color w:val="000000"/>
                <w:sz w:val="16"/>
                <w:szCs w:val="16"/>
                <w:lang w:val="en-US" w:eastAsia="ru-RU"/>
              </w:rPr>
              <w:t xml:space="preserve"> °</w:t>
            </w:r>
            <w:r w:rsidRPr="00716C8A">
              <w:rPr>
                <w:rFonts w:ascii="Times New Roman" w:eastAsia="Times New Roman" w:hAnsi="Times New Roman" w:cs="Times New Roman"/>
                <w:iCs/>
                <w:color w:val="000000"/>
                <w:sz w:val="16"/>
                <w:szCs w:val="16"/>
                <w:lang w:eastAsia="ru-RU"/>
              </w:rPr>
              <w:t>C</w:t>
            </w:r>
            <w:r w:rsidRPr="00716C8A">
              <w:rPr>
                <w:rFonts w:ascii="Times New Roman" w:eastAsia="Times New Roman" w:hAnsi="Times New Roman" w:cs="Times New Roman"/>
                <w:b/>
                <w:i/>
                <w:iCs/>
                <w:color w:val="000000"/>
                <w:sz w:val="16"/>
                <w:szCs w:val="16"/>
                <w:vertAlign w:val="superscript"/>
                <w:lang w:val="en-US" w:eastAsia="ru-RU"/>
              </w:rPr>
              <w:t>e</w:t>
            </w:r>
          </w:p>
        </w:tc>
        <w:tc>
          <w:tcPr>
            <w:tcW w:w="851" w:type="dxa"/>
            <w:tcBorders>
              <w:top w:val="single" w:sz="4" w:space="0" w:color="auto"/>
              <w:left w:val="nil"/>
              <w:bottom w:val="single" w:sz="4" w:space="0" w:color="auto"/>
              <w:right w:val="nil"/>
            </w:tcBorders>
            <w:vAlign w:val="center"/>
            <w:hideMark/>
          </w:tcPr>
          <w:p w14:paraId="7C6BBF75" w14:textId="77777777" w:rsidR="004A0176" w:rsidRPr="00716C8A" w:rsidRDefault="004A0176" w:rsidP="004A0176">
            <w:pPr>
              <w:spacing w:after="0" w:line="240" w:lineRule="auto"/>
              <w:jc w:val="center"/>
              <w:rPr>
                <w:rFonts w:ascii="Times New Roman" w:eastAsia="Times New Roman" w:hAnsi="Times New Roman" w:cs="Times New Roman"/>
                <w:iCs/>
                <w:color w:val="000000"/>
                <w:sz w:val="16"/>
                <w:szCs w:val="16"/>
                <w:lang w:val="en-US" w:eastAsia="ru-RU"/>
              </w:rPr>
            </w:pPr>
            <w:proofErr w:type="spellStart"/>
            <w:r w:rsidRPr="00716C8A">
              <w:rPr>
                <w:rFonts w:ascii="Times New Roman" w:eastAsia="Times New Roman" w:hAnsi="Times New Roman" w:cs="Times New Roman"/>
                <w:i/>
                <w:iCs/>
                <w:color w:val="000000"/>
                <w:sz w:val="16"/>
                <w:szCs w:val="16"/>
                <w:lang w:eastAsia="ru-RU"/>
              </w:rPr>
              <w:t>X</w:t>
            </w:r>
            <w:r w:rsidRPr="00716C8A">
              <w:rPr>
                <w:rFonts w:ascii="Times New Roman" w:eastAsia="Times New Roman" w:hAnsi="Times New Roman" w:cs="Times New Roman"/>
                <w:iCs/>
                <w:color w:val="000000"/>
                <w:sz w:val="16"/>
                <w:szCs w:val="16"/>
                <w:vertAlign w:val="subscript"/>
                <w:lang w:eastAsia="ru-RU"/>
              </w:rPr>
              <w:t>с</w:t>
            </w:r>
            <w:proofErr w:type="spellEnd"/>
            <w:r w:rsidRPr="00716C8A">
              <w:rPr>
                <w:rFonts w:ascii="Times New Roman" w:eastAsia="Times New Roman" w:hAnsi="Times New Roman" w:cs="Times New Roman"/>
                <w:iCs/>
                <w:color w:val="000000"/>
                <w:sz w:val="16"/>
                <w:szCs w:val="16"/>
                <w:lang w:val="en-US" w:eastAsia="ru-RU"/>
              </w:rPr>
              <w:t>, %</w:t>
            </w:r>
            <w:r w:rsidRPr="00716C8A">
              <w:rPr>
                <w:rFonts w:ascii="Times New Roman" w:eastAsia="Times New Roman" w:hAnsi="Times New Roman" w:cs="Times New Roman"/>
                <w:b/>
                <w:i/>
                <w:iCs/>
                <w:color w:val="000000"/>
                <w:sz w:val="16"/>
                <w:szCs w:val="16"/>
                <w:vertAlign w:val="superscript"/>
                <w:lang w:val="en-US" w:eastAsia="ru-RU"/>
              </w:rPr>
              <w:t>f</w:t>
            </w:r>
          </w:p>
        </w:tc>
      </w:tr>
      <w:tr w:rsidR="004A0176" w:rsidRPr="00716C8A" w14:paraId="6EE8E351" w14:textId="77777777" w:rsidTr="004A0176">
        <w:trPr>
          <w:trHeight w:val="227"/>
        </w:trPr>
        <w:tc>
          <w:tcPr>
            <w:tcW w:w="567" w:type="dxa"/>
            <w:tcBorders>
              <w:top w:val="single" w:sz="4" w:space="0" w:color="auto"/>
              <w:left w:val="nil"/>
              <w:bottom w:val="nil"/>
              <w:right w:val="nil"/>
            </w:tcBorders>
            <w:noWrap/>
            <w:vAlign w:val="center"/>
            <w:hideMark/>
          </w:tcPr>
          <w:p w14:paraId="38BE0B1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lang w:val="en-US"/>
              </w:rPr>
              <w:t>1</w:t>
            </w:r>
          </w:p>
        </w:tc>
        <w:tc>
          <w:tcPr>
            <w:tcW w:w="993" w:type="dxa"/>
            <w:tcBorders>
              <w:top w:val="single" w:sz="4" w:space="0" w:color="auto"/>
              <w:left w:val="nil"/>
              <w:bottom w:val="nil"/>
              <w:right w:val="nil"/>
            </w:tcBorders>
            <w:vAlign w:val="center"/>
            <w:hideMark/>
          </w:tcPr>
          <w:p w14:paraId="6DBC3324"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single" w:sz="4" w:space="0" w:color="auto"/>
              <w:left w:val="nil"/>
              <w:bottom w:val="nil"/>
              <w:right w:val="nil"/>
            </w:tcBorders>
            <w:noWrap/>
            <w:vAlign w:val="center"/>
            <w:hideMark/>
          </w:tcPr>
          <w:p w14:paraId="6802D85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p>
        </w:tc>
        <w:tc>
          <w:tcPr>
            <w:tcW w:w="1134" w:type="dxa"/>
            <w:tcBorders>
              <w:top w:val="single" w:sz="4" w:space="0" w:color="auto"/>
              <w:left w:val="nil"/>
              <w:bottom w:val="nil"/>
              <w:right w:val="nil"/>
            </w:tcBorders>
            <w:noWrap/>
            <w:vAlign w:val="center"/>
            <w:hideMark/>
          </w:tcPr>
          <w:p w14:paraId="5032BA4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0.75</w:t>
            </w:r>
          </w:p>
        </w:tc>
        <w:tc>
          <w:tcPr>
            <w:tcW w:w="851" w:type="dxa"/>
            <w:tcBorders>
              <w:top w:val="single" w:sz="4" w:space="0" w:color="auto"/>
              <w:left w:val="nil"/>
              <w:bottom w:val="nil"/>
              <w:right w:val="nil"/>
            </w:tcBorders>
            <w:noWrap/>
            <w:vAlign w:val="center"/>
            <w:hideMark/>
          </w:tcPr>
          <w:p w14:paraId="4522125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125</w:t>
            </w:r>
          </w:p>
        </w:tc>
        <w:tc>
          <w:tcPr>
            <w:tcW w:w="992" w:type="dxa"/>
            <w:tcBorders>
              <w:top w:val="single" w:sz="4" w:space="0" w:color="auto"/>
              <w:left w:val="nil"/>
              <w:bottom w:val="nil"/>
              <w:right w:val="nil"/>
            </w:tcBorders>
            <w:noWrap/>
            <w:vAlign w:val="center"/>
            <w:hideMark/>
          </w:tcPr>
          <w:p w14:paraId="47272CF6"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271</w:t>
            </w:r>
          </w:p>
        </w:tc>
        <w:tc>
          <w:tcPr>
            <w:tcW w:w="1134" w:type="dxa"/>
            <w:tcBorders>
              <w:top w:val="single" w:sz="4" w:space="0" w:color="auto"/>
              <w:left w:val="nil"/>
              <w:bottom w:val="nil"/>
              <w:right w:val="nil"/>
            </w:tcBorders>
            <w:noWrap/>
            <w:vAlign w:val="center"/>
            <w:hideMark/>
          </w:tcPr>
          <w:p w14:paraId="44F4B58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474</w:t>
            </w:r>
          </w:p>
        </w:tc>
        <w:tc>
          <w:tcPr>
            <w:tcW w:w="567" w:type="dxa"/>
            <w:tcBorders>
              <w:top w:val="single" w:sz="4" w:space="0" w:color="auto"/>
              <w:left w:val="nil"/>
              <w:bottom w:val="nil"/>
              <w:right w:val="nil"/>
            </w:tcBorders>
            <w:noWrap/>
            <w:vAlign w:val="center"/>
            <w:hideMark/>
          </w:tcPr>
          <w:p w14:paraId="7AE4E5EA"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1.8</w:t>
            </w:r>
          </w:p>
        </w:tc>
        <w:tc>
          <w:tcPr>
            <w:tcW w:w="567" w:type="dxa"/>
            <w:tcBorders>
              <w:top w:val="single" w:sz="4" w:space="0" w:color="auto"/>
              <w:left w:val="nil"/>
              <w:bottom w:val="nil"/>
              <w:right w:val="nil"/>
            </w:tcBorders>
            <w:noWrap/>
            <w:vAlign w:val="center"/>
            <w:hideMark/>
          </w:tcPr>
          <w:p w14:paraId="3A55351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44</w:t>
            </w:r>
          </w:p>
        </w:tc>
        <w:tc>
          <w:tcPr>
            <w:tcW w:w="850" w:type="dxa"/>
            <w:tcBorders>
              <w:top w:val="single" w:sz="4" w:space="0" w:color="auto"/>
              <w:left w:val="nil"/>
              <w:bottom w:val="nil"/>
              <w:right w:val="nil"/>
            </w:tcBorders>
            <w:noWrap/>
            <w:vAlign w:val="center"/>
            <w:hideMark/>
          </w:tcPr>
          <w:p w14:paraId="71E2D9E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72</w:t>
            </w:r>
          </w:p>
        </w:tc>
        <w:tc>
          <w:tcPr>
            <w:tcW w:w="851" w:type="dxa"/>
            <w:tcBorders>
              <w:top w:val="single" w:sz="4" w:space="0" w:color="auto"/>
              <w:left w:val="nil"/>
              <w:bottom w:val="nil"/>
              <w:right w:val="nil"/>
            </w:tcBorders>
            <w:noWrap/>
            <w:vAlign w:val="center"/>
            <w:hideMark/>
          </w:tcPr>
          <w:p w14:paraId="26CF046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14</w:t>
            </w:r>
          </w:p>
        </w:tc>
      </w:tr>
      <w:tr w:rsidR="004A0176" w:rsidRPr="00716C8A" w14:paraId="6238505D" w14:textId="77777777" w:rsidTr="004A0176">
        <w:trPr>
          <w:trHeight w:val="227"/>
        </w:trPr>
        <w:tc>
          <w:tcPr>
            <w:tcW w:w="567" w:type="dxa"/>
            <w:tcBorders>
              <w:top w:val="nil"/>
              <w:left w:val="nil"/>
              <w:bottom w:val="nil"/>
              <w:right w:val="nil"/>
            </w:tcBorders>
            <w:noWrap/>
            <w:vAlign w:val="center"/>
            <w:hideMark/>
          </w:tcPr>
          <w:p w14:paraId="77659CF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lang w:val="en-US"/>
              </w:rPr>
              <w:t>2</w:t>
            </w:r>
            <w:r w:rsidRPr="00716C8A">
              <w:rPr>
                <w:rFonts w:ascii="Times New Roman" w:hAnsi="Times New Roman" w:cs="Times New Roman"/>
                <w:b/>
                <w:i/>
                <w:color w:val="000000"/>
                <w:sz w:val="16"/>
                <w:szCs w:val="16"/>
                <w:vertAlign w:val="superscript"/>
                <w:lang w:val="en-US"/>
              </w:rPr>
              <w:t>g</w:t>
            </w:r>
          </w:p>
        </w:tc>
        <w:tc>
          <w:tcPr>
            <w:tcW w:w="993" w:type="dxa"/>
            <w:tcBorders>
              <w:top w:val="nil"/>
              <w:left w:val="nil"/>
              <w:bottom w:val="nil"/>
              <w:right w:val="nil"/>
            </w:tcBorders>
            <w:vAlign w:val="center"/>
            <w:hideMark/>
          </w:tcPr>
          <w:p w14:paraId="1043004E"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756F64B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p>
        </w:tc>
        <w:tc>
          <w:tcPr>
            <w:tcW w:w="1134" w:type="dxa"/>
            <w:tcBorders>
              <w:top w:val="nil"/>
              <w:left w:val="nil"/>
              <w:bottom w:val="nil"/>
              <w:right w:val="nil"/>
            </w:tcBorders>
            <w:noWrap/>
            <w:vAlign w:val="center"/>
            <w:hideMark/>
          </w:tcPr>
          <w:p w14:paraId="4D7772A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1.20</w:t>
            </w:r>
          </w:p>
        </w:tc>
        <w:tc>
          <w:tcPr>
            <w:tcW w:w="851" w:type="dxa"/>
            <w:tcBorders>
              <w:top w:val="nil"/>
              <w:left w:val="nil"/>
              <w:bottom w:val="nil"/>
              <w:right w:val="nil"/>
            </w:tcBorders>
            <w:noWrap/>
            <w:vAlign w:val="center"/>
            <w:hideMark/>
          </w:tcPr>
          <w:p w14:paraId="7A77720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20</w:t>
            </w:r>
            <w:r w:rsidRPr="00716C8A">
              <w:rPr>
                <w:rFonts w:ascii="Times New Roman" w:eastAsia="Times New Roman" w:hAnsi="Times New Roman" w:cs="Times New Roman"/>
                <w:color w:val="000000"/>
                <w:sz w:val="16"/>
                <w:szCs w:val="16"/>
                <w:lang w:val="en-US" w:eastAsia="ru-RU"/>
              </w:rPr>
              <w:t>0</w:t>
            </w:r>
          </w:p>
        </w:tc>
        <w:tc>
          <w:tcPr>
            <w:tcW w:w="992" w:type="dxa"/>
            <w:tcBorders>
              <w:top w:val="nil"/>
              <w:left w:val="nil"/>
              <w:bottom w:val="nil"/>
              <w:right w:val="nil"/>
            </w:tcBorders>
            <w:noWrap/>
            <w:vAlign w:val="center"/>
            <w:hideMark/>
          </w:tcPr>
          <w:p w14:paraId="535E30D6"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nil"/>
              <w:right w:val="nil"/>
            </w:tcBorders>
            <w:noWrap/>
            <w:vAlign w:val="center"/>
            <w:hideMark/>
          </w:tcPr>
          <w:p w14:paraId="5F8467D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75919F9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EA44BE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53</w:t>
            </w:r>
          </w:p>
        </w:tc>
        <w:tc>
          <w:tcPr>
            <w:tcW w:w="850" w:type="dxa"/>
            <w:tcBorders>
              <w:top w:val="nil"/>
              <w:left w:val="nil"/>
              <w:bottom w:val="nil"/>
              <w:right w:val="nil"/>
            </w:tcBorders>
            <w:noWrap/>
            <w:vAlign w:val="center"/>
            <w:hideMark/>
          </w:tcPr>
          <w:p w14:paraId="3001CED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54</w:t>
            </w:r>
          </w:p>
        </w:tc>
        <w:tc>
          <w:tcPr>
            <w:tcW w:w="851" w:type="dxa"/>
            <w:tcBorders>
              <w:top w:val="nil"/>
              <w:left w:val="nil"/>
              <w:bottom w:val="nil"/>
              <w:right w:val="nil"/>
            </w:tcBorders>
            <w:noWrap/>
            <w:vAlign w:val="center"/>
            <w:hideMark/>
          </w:tcPr>
          <w:p w14:paraId="5068DECD"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16</w:t>
            </w:r>
          </w:p>
        </w:tc>
      </w:tr>
      <w:tr w:rsidR="004A0176" w:rsidRPr="00716C8A" w14:paraId="767869C3" w14:textId="77777777" w:rsidTr="004A0176">
        <w:trPr>
          <w:trHeight w:val="227"/>
        </w:trPr>
        <w:tc>
          <w:tcPr>
            <w:tcW w:w="567" w:type="dxa"/>
            <w:tcBorders>
              <w:top w:val="nil"/>
              <w:left w:val="nil"/>
              <w:bottom w:val="nil"/>
              <w:right w:val="nil"/>
            </w:tcBorders>
            <w:noWrap/>
            <w:vAlign w:val="center"/>
            <w:hideMark/>
          </w:tcPr>
          <w:p w14:paraId="256FDD3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3</w:t>
            </w:r>
          </w:p>
        </w:tc>
        <w:tc>
          <w:tcPr>
            <w:tcW w:w="993" w:type="dxa"/>
            <w:tcBorders>
              <w:top w:val="nil"/>
              <w:left w:val="nil"/>
              <w:bottom w:val="nil"/>
              <w:right w:val="nil"/>
            </w:tcBorders>
            <w:vAlign w:val="center"/>
            <w:hideMark/>
          </w:tcPr>
          <w:p w14:paraId="4F869A97"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79E5663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75</w:t>
            </w:r>
          </w:p>
        </w:tc>
        <w:tc>
          <w:tcPr>
            <w:tcW w:w="1134" w:type="dxa"/>
            <w:tcBorders>
              <w:top w:val="nil"/>
              <w:left w:val="nil"/>
              <w:bottom w:val="nil"/>
              <w:right w:val="nil"/>
            </w:tcBorders>
            <w:noWrap/>
            <w:vAlign w:val="center"/>
            <w:hideMark/>
          </w:tcPr>
          <w:p w14:paraId="7090857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0.98</w:t>
            </w:r>
          </w:p>
        </w:tc>
        <w:tc>
          <w:tcPr>
            <w:tcW w:w="851" w:type="dxa"/>
            <w:tcBorders>
              <w:top w:val="nil"/>
              <w:left w:val="nil"/>
              <w:bottom w:val="nil"/>
              <w:right w:val="nil"/>
            </w:tcBorders>
            <w:noWrap/>
            <w:vAlign w:val="center"/>
            <w:hideMark/>
          </w:tcPr>
          <w:p w14:paraId="735CBC0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w:t>
            </w:r>
            <w:r w:rsidRPr="00716C8A">
              <w:rPr>
                <w:rFonts w:ascii="Times New Roman" w:eastAsia="Times New Roman" w:hAnsi="Times New Roman" w:cs="Times New Roman"/>
                <w:color w:val="000000"/>
                <w:sz w:val="16"/>
                <w:szCs w:val="16"/>
                <w:lang w:val="en-US" w:eastAsia="ru-RU"/>
              </w:rPr>
              <w:t>63</w:t>
            </w:r>
          </w:p>
        </w:tc>
        <w:tc>
          <w:tcPr>
            <w:tcW w:w="992" w:type="dxa"/>
            <w:tcBorders>
              <w:top w:val="nil"/>
              <w:left w:val="nil"/>
              <w:bottom w:val="nil"/>
              <w:right w:val="nil"/>
            </w:tcBorders>
            <w:noWrap/>
            <w:vAlign w:val="center"/>
            <w:hideMark/>
          </w:tcPr>
          <w:p w14:paraId="47A679B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nil"/>
              <w:right w:val="nil"/>
            </w:tcBorders>
            <w:noWrap/>
            <w:vAlign w:val="center"/>
            <w:hideMark/>
          </w:tcPr>
          <w:p w14:paraId="5898303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17F1D9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49F7270"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sz w:val="16"/>
                <w:szCs w:val="16"/>
              </w:rPr>
              <w:t>1</w:t>
            </w:r>
            <w:r w:rsidRPr="00716C8A">
              <w:rPr>
                <w:rFonts w:ascii="Times New Roman" w:hAnsi="Times New Roman" w:cs="Times New Roman"/>
                <w:sz w:val="16"/>
                <w:szCs w:val="16"/>
                <w:lang w:val="en-US"/>
              </w:rPr>
              <w:t>70</w:t>
            </w:r>
          </w:p>
        </w:tc>
        <w:tc>
          <w:tcPr>
            <w:tcW w:w="850" w:type="dxa"/>
            <w:tcBorders>
              <w:top w:val="nil"/>
              <w:left w:val="nil"/>
              <w:bottom w:val="nil"/>
              <w:right w:val="nil"/>
            </w:tcBorders>
            <w:noWrap/>
            <w:vAlign w:val="center"/>
            <w:hideMark/>
          </w:tcPr>
          <w:p w14:paraId="53F61631"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72</w:t>
            </w:r>
          </w:p>
        </w:tc>
        <w:tc>
          <w:tcPr>
            <w:tcW w:w="851" w:type="dxa"/>
            <w:tcBorders>
              <w:top w:val="nil"/>
              <w:left w:val="nil"/>
              <w:bottom w:val="nil"/>
              <w:right w:val="nil"/>
            </w:tcBorders>
            <w:noWrap/>
            <w:vAlign w:val="center"/>
            <w:hideMark/>
          </w:tcPr>
          <w:p w14:paraId="22BE380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13</w:t>
            </w:r>
          </w:p>
        </w:tc>
      </w:tr>
      <w:tr w:rsidR="004A0176" w:rsidRPr="00716C8A" w14:paraId="12A767F8" w14:textId="77777777" w:rsidTr="004A0176">
        <w:trPr>
          <w:trHeight w:val="227"/>
        </w:trPr>
        <w:tc>
          <w:tcPr>
            <w:tcW w:w="567" w:type="dxa"/>
            <w:tcBorders>
              <w:top w:val="nil"/>
              <w:left w:val="nil"/>
              <w:bottom w:val="nil"/>
              <w:right w:val="nil"/>
            </w:tcBorders>
            <w:noWrap/>
            <w:vAlign w:val="center"/>
            <w:hideMark/>
          </w:tcPr>
          <w:p w14:paraId="047E5C66"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lang w:val="en-US"/>
              </w:rPr>
              <w:t>4</w:t>
            </w:r>
          </w:p>
        </w:tc>
        <w:tc>
          <w:tcPr>
            <w:tcW w:w="993" w:type="dxa"/>
            <w:tcBorders>
              <w:top w:val="nil"/>
              <w:left w:val="nil"/>
              <w:bottom w:val="nil"/>
              <w:right w:val="nil"/>
            </w:tcBorders>
            <w:vAlign w:val="center"/>
            <w:hideMark/>
          </w:tcPr>
          <w:p w14:paraId="7EAB6096"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0FA548CA"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150</w:t>
            </w:r>
          </w:p>
        </w:tc>
        <w:tc>
          <w:tcPr>
            <w:tcW w:w="1134" w:type="dxa"/>
            <w:tcBorders>
              <w:top w:val="nil"/>
              <w:left w:val="nil"/>
              <w:bottom w:val="nil"/>
              <w:right w:val="nil"/>
            </w:tcBorders>
            <w:noWrap/>
            <w:vAlign w:val="center"/>
            <w:hideMark/>
          </w:tcPr>
          <w:p w14:paraId="52E62F3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0.70</w:t>
            </w:r>
          </w:p>
        </w:tc>
        <w:tc>
          <w:tcPr>
            <w:tcW w:w="851" w:type="dxa"/>
            <w:tcBorders>
              <w:top w:val="nil"/>
              <w:left w:val="nil"/>
              <w:bottom w:val="nil"/>
              <w:right w:val="nil"/>
            </w:tcBorders>
            <w:noWrap/>
            <w:vAlign w:val="center"/>
            <w:hideMark/>
          </w:tcPr>
          <w:p w14:paraId="63AF50C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w:t>
            </w:r>
            <w:r w:rsidRPr="00716C8A">
              <w:rPr>
                <w:rFonts w:ascii="Times New Roman" w:eastAsia="Times New Roman" w:hAnsi="Times New Roman" w:cs="Times New Roman"/>
                <w:color w:val="000000"/>
                <w:sz w:val="16"/>
                <w:szCs w:val="16"/>
                <w:lang w:val="en-US" w:eastAsia="ru-RU"/>
              </w:rPr>
              <w:t>17</w:t>
            </w:r>
          </w:p>
        </w:tc>
        <w:tc>
          <w:tcPr>
            <w:tcW w:w="992" w:type="dxa"/>
            <w:tcBorders>
              <w:top w:val="nil"/>
              <w:left w:val="nil"/>
              <w:bottom w:val="nil"/>
              <w:right w:val="nil"/>
            </w:tcBorders>
            <w:noWrap/>
            <w:vAlign w:val="center"/>
            <w:hideMark/>
          </w:tcPr>
          <w:p w14:paraId="57BA309D"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204</w:t>
            </w:r>
          </w:p>
        </w:tc>
        <w:tc>
          <w:tcPr>
            <w:tcW w:w="1134" w:type="dxa"/>
            <w:tcBorders>
              <w:top w:val="nil"/>
              <w:left w:val="nil"/>
              <w:bottom w:val="nil"/>
              <w:right w:val="nil"/>
            </w:tcBorders>
            <w:noWrap/>
            <w:vAlign w:val="center"/>
            <w:hideMark/>
          </w:tcPr>
          <w:p w14:paraId="1CE7E6D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408</w:t>
            </w:r>
          </w:p>
        </w:tc>
        <w:tc>
          <w:tcPr>
            <w:tcW w:w="567" w:type="dxa"/>
            <w:tcBorders>
              <w:top w:val="nil"/>
              <w:left w:val="nil"/>
              <w:bottom w:val="nil"/>
              <w:right w:val="nil"/>
            </w:tcBorders>
            <w:noWrap/>
            <w:vAlign w:val="center"/>
            <w:hideMark/>
          </w:tcPr>
          <w:p w14:paraId="078F2D2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2.0</w:t>
            </w:r>
          </w:p>
        </w:tc>
        <w:tc>
          <w:tcPr>
            <w:tcW w:w="567" w:type="dxa"/>
            <w:tcBorders>
              <w:top w:val="nil"/>
              <w:left w:val="nil"/>
              <w:bottom w:val="nil"/>
              <w:right w:val="nil"/>
            </w:tcBorders>
            <w:noWrap/>
            <w:vAlign w:val="center"/>
            <w:hideMark/>
          </w:tcPr>
          <w:p w14:paraId="1AC41EB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sz w:val="16"/>
                <w:szCs w:val="16"/>
                <w:lang w:val="en-US"/>
              </w:rPr>
              <w:t>79</w:t>
            </w:r>
          </w:p>
        </w:tc>
        <w:tc>
          <w:tcPr>
            <w:tcW w:w="850" w:type="dxa"/>
            <w:tcBorders>
              <w:top w:val="nil"/>
              <w:left w:val="nil"/>
              <w:bottom w:val="nil"/>
              <w:right w:val="nil"/>
            </w:tcBorders>
            <w:noWrap/>
            <w:vAlign w:val="center"/>
            <w:hideMark/>
          </w:tcPr>
          <w:p w14:paraId="70DB1B62"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74</w:t>
            </w:r>
          </w:p>
        </w:tc>
        <w:tc>
          <w:tcPr>
            <w:tcW w:w="851" w:type="dxa"/>
            <w:tcBorders>
              <w:top w:val="nil"/>
              <w:left w:val="nil"/>
              <w:bottom w:val="nil"/>
              <w:right w:val="nil"/>
            </w:tcBorders>
            <w:noWrap/>
            <w:vAlign w:val="center"/>
            <w:hideMark/>
          </w:tcPr>
          <w:p w14:paraId="20B674B1"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15</w:t>
            </w:r>
          </w:p>
        </w:tc>
      </w:tr>
      <w:tr w:rsidR="004A0176" w:rsidRPr="00716C8A" w14:paraId="1B460166" w14:textId="77777777" w:rsidTr="004A0176">
        <w:trPr>
          <w:trHeight w:val="227"/>
        </w:trPr>
        <w:tc>
          <w:tcPr>
            <w:tcW w:w="567" w:type="dxa"/>
            <w:tcBorders>
              <w:top w:val="nil"/>
              <w:left w:val="nil"/>
              <w:bottom w:val="nil"/>
              <w:right w:val="nil"/>
            </w:tcBorders>
            <w:noWrap/>
            <w:vAlign w:val="center"/>
            <w:hideMark/>
          </w:tcPr>
          <w:p w14:paraId="3B4C5B61"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lang w:val="en-US"/>
              </w:rPr>
              <w:t>5</w:t>
            </w:r>
            <w:r w:rsidRPr="00716C8A">
              <w:rPr>
                <w:rFonts w:ascii="Times New Roman" w:hAnsi="Times New Roman" w:cs="Times New Roman"/>
                <w:color w:val="000000"/>
                <w:sz w:val="16"/>
                <w:szCs w:val="16"/>
                <w:vertAlign w:val="superscript"/>
                <w:lang w:val="en-US"/>
              </w:rPr>
              <w:t>g</w:t>
            </w:r>
          </w:p>
        </w:tc>
        <w:tc>
          <w:tcPr>
            <w:tcW w:w="993" w:type="dxa"/>
            <w:tcBorders>
              <w:top w:val="nil"/>
              <w:left w:val="nil"/>
              <w:bottom w:val="nil"/>
              <w:right w:val="nil"/>
            </w:tcBorders>
            <w:vAlign w:val="center"/>
            <w:hideMark/>
          </w:tcPr>
          <w:p w14:paraId="7B5A5A3F"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54452410"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150</w:t>
            </w:r>
          </w:p>
        </w:tc>
        <w:tc>
          <w:tcPr>
            <w:tcW w:w="1134" w:type="dxa"/>
            <w:tcBorders>
              <w:top w:val="nil"/>
              <w:left w:val="nil"/>
              <w:bottom w:val="nil"/>
              <w:right w:val="nil"/>
            </w:tcBorders>
            <w:noWrap/>
            <w:vAlign w:val="center"/>
            <w:hideMark/>
          </w:tcPr>
          <w:p w14:paraId="7B85595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1.40</w:t>
            </w:r>
          </w:p>
        </w:tc>
        <w:tc>
          <w:tcPr>
            <w:tcW w:w="851" w:type="dxa"/>
            <w:tcBorders>
              <w:top w:val="nil"/>
              <w:left w:val="nil"/>
              <w:bottom w:val="nil"/>
              <w:right w:val="nil"/>
            </w:tcBorders>
            <w:noWrap/>
            <w:vAlign w:val="center"/>
            <w:hideMark/>
          </w:tcPr>
          <w:p w14:paraId="45C1758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2</w:t>
            </w:r>
            <w:r w:rsidRPr="00716C8A">
              <w:rPr>
                <w:rFonts w:ascii="Times New Roman" w:eastAsia="Times New Roman" w:hAnsi="Times New Roman" w:cs="Times New Roman"/>
                <w:color w:val="000000"/>
                <w:sz w:val="16"/>
                <w:szCs w:val="16"/>
                <w:lang w:val="en-US" w:eastAsia="ru-RU"/>
              </w:rPr>
              <w:t>33</w:t>
            </w:r>
          </w:p>
        </w:tc>
        <w:tc>
          <w:tcPr>
            <w:tcW w:w="992" w:type="dxa"/>
            <w:tcBorders>
              <w:top w:val="nil"/>
              <w:left w:val="nil"/>
              <w:bottom w:val="nil"/>
              <w:right w:val="nil"/>
            </w:tcBorders>
            <w:noWrap/>
            <w:vAlign w:val="center"/>
            <w:hideMark/>
          </w:tcPr>
          <w:p w14:paraId="29C5F5D6"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nil"/>
              <w:right w:val="nil"/>
            </w:tcBorders>
            <w:noWrap/>
            <w:vAlign w:val="center"/>
            <w:hideMark/>
          </w:tcPr>
          <w:p w14:paraId="2A74E50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1828ED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8AF87E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sz w:val="16"/>
                <w:szCs w:val="16"/>
              </w:rPr>
              <w:t>9</w:t>
            </w:r>
            <w:r w:rsidRPr="00716C8A">
              <w:rPr>
                <w:rFonts w:ascii="Times New Roman" w:hAnsi="Times New Roman" w:cs="Times New Roman"/>
                <w:sz w:val="16"/>
                <w:szCs w:val="16"/>
                <w:lang w:val="en-US"/>
              </w:rPr>
              <w:t>3</w:t>
            </w:r>
          </w:p>
        </w:tc>
        <w:tc>
          <w:tcPr>
            <w:tcW w:w="850" w:type="dxa"/>
            <w:tcBorders>
              <w:top w:val="nil"/>
              <w:left w:val="nil"/>
              <w:bottom w:val="nil"/>
              <w:right w:val="nil"/>
            </w:tcBorders>
            <w:noWrap/>
            <w:vAlign w:val="center"/>
            <w:hideMark/>
          </w:tcPr>
          <w:p w14:paraId="30FD9E0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56</w:t>
            </w:r>
          </w:p>
        </w:tc>
        <w:tc>
          <w:tcPr>
            <w:tcW w:w="851" w:type="dxa"/>
            <w:tcBorders>
              <w:top w:val="nil"/>
              <w:left w:val="nil"/>
              <w:bottom w:val="nil"/>
              <w:right w:val="nil"/>
            </w:tcBorders>
            <w:noWrap/>
            <w:vAlign w:val="center"/>
            <w:hideMark/>
          </w:tcPr>
          <w:p w14:paraId="0CA46F1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16</w:t>
            </w:r>
          </w:p>
        </w:tc>
      </w:tr>
      <w:tr w:rsidR="004A0176" w:rsidRPr="00716C8A" w14:paraId="43651ED0" w14:textId="77777777" w:rsidTr="004A0176">
        <w:trPr>
          <w:trHeight w:val="227"/>
        </w:trPr>
        <w:tc>
          <w:tcPr>
            <w:tcW w:w="567" w:type="dxa"/>
            <w:tcBorders>
              <w:top w:val="nil"/>
              <w:left w:val="nil"/>
              <w:bottom w:val="nil"/>
              <w:right w:val="nil"/>
            </w:tcBorders>
            <w:noWrap/>
            <w:vAlign w:val="center"/>
            <w:hideMark/>
          </w:tcPr>
          <w:p w14:paraId="67B06332"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6</w:t>
            </w:r>
          </w:p>
        </w:tc>
        <w:tc>
          <w:tcPr>
            <w:tcW w:w="993" w:type="dxa"/>
            <w:tcBorders>
              <w:top w:val="nil"/>
              <w:left w:val="nil"/>
              <w:bottom w:val="nil"/>
              <w:right w:val="nil"/>
            </w:tcBorders>
            <w:vAlign w:val="center"/>
            <w:hideMark/>
          </w:tcPr>
          <w:p w14:paraId="74DA5764"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77579C8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300</w:t>
            </w:r>
          </w:p>
        </w:tc>
        <w:tc>
          <w:tcPr>
            <w:tcW w:w="1134" w:type="dxa"/>
            <w:tcBorders>
              <w:top w:val="nil"/>
              <w:left w:val="nil"/>
              <w:bottom w:val="nil"/>
              <w:right w:val="nil"/>
            </w:tcBorders>
            <w:noWrap/>
            <w:vAlign w:val="center"/>
            <w:hideMark/>
          </w:tcPr>
          <w:p w14:paraId="771DA58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0.75</w:t>
            </w:r>
          </w:p>
        </w:tc>
        <w:tc>
          <w:tcPr>
            <w:tcW w:w="851" w:type="dxa"/>
            <w:tcBorders>
              <w:top w:val="nil"/>
              <w:left w:val="nil"/>
              <w:bottom w:val="nil"/>
              <w:right w:val="nil"/>
            </w:tcBorders>
            <w:noWrap/>
            <w:vAlign w:val="center"/>
            <w:hideMark/>
          </w:tcPr>
          <w:p w14:paraId="4765652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w:t>
            </w:r>
            <w:r w:rsidRPr="00716C8A">
              <w:rPr>
                <w:rFonts w:ascii="Times New Roman" w:eastAsia="Times New Roman" w:hAnsi="Times New Roman" w:cs="Times New Roman"/>
                <w:color w:val="000000"/>
                <w:sz w:val="16"/>
                <w:szCs w:val="16"/>
                <w:lang w:val="en-US" w:eastAsia="ru-RU"/>
              </w:rPr>
              <w:t>25</w:t>
            </w:r>
          </w:p>
        </w:tc>
        <w:tc>
          <w:tcPr>
            <w:tcW w:w="992" w:type="dxa"/>
            <w:tcBorders>
              <w:top w:val="nil"/>
              <w:left w:val="nil"/>
              <w:bottom w:val="nil"/>
              <w:right w:val="nil"/>
            </w:tcBorders>
            <w:noWrap/>
            <w:vAlign w:val="center"/>
            <w:hideMark/>
          </w:tcPr>
          <w:p w14:paraId="17E62292"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nil"/>
              <w:right w:val="nil"/>
            </w:tcBorders>
            <w:noWrap/>
            <w:vAlign w:val="center"/>
            <w:hideMark/>
          </w:tcPr>
          <w:p w14:paraId="72C9049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24C3097A"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694F4C5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sz w:val="16"/>
                <w:szCs w:val="16"/>
              </w:rPr>
              <w:t>1</w:t>
            </w:r>
            <w:r w:rsidRPr="00716C8A">
              <w:rPr>
                <w:rFonts w:ascii="Times New Roman" w:hAnsi="Times New Roman" w:cs="Times New Roman"/>
                <w:sz w:val="16"/>
                <w:szCs w:val="16"/>
                <w:lang w:val="en-US"/>
              </w:rPr>
              <w:t>07</w:t>
            </w:r>
          </w:p>
        </w:tc>
        <w:tc>
          <w:tcPr>
            <w:tcW w:w="850" w:type="dxa"/>
            <w:tcBorders>
              <w:top w:val="nil"/>
              <w:left w:val="nil"/>
              <w:bottom w:val="nil"/>
              <w:right w:val="nil"/>
            </w:tcBorders>
            <w:noWrap/>
            <w:vAlign w:val="center"/>
            <w:hideMark/>
          </w:tcPr>
          <w:p w14:paraId="22304FD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74</w:t>
            </w:r>
          </w:p>
        </w:tc>
        <w:tc>
          <w:tcPr>
            <w:tcW w:w="851" w:type="dxa"/>
            <w:tcBorders>
              <w:top w:val="nil"/>
              <w:left w:val="nil"/>
              <w:bottom w:val="nil"/>
              <w:right w:val="nil"/>
            </w:tcBorders>
            <w:noWrap/>
            <w:vAlign w:val="center"/>
            <w:hideMark/>
          </w:tcPr>
          <w:p w14:paraId="3274BC3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17</w:t>
            </w:r>
          </w:p>
        </w:tc>
      </w:tr>
      <w:tr w:rsidR="004A0176" w:rsidRPr="00716C8A" w14:paraId="7637600C" w14:textId="77777777" w:rsidTr="004A0176">
        <w:trPr>
          <w:trHeight w:val="227"/>
        </w:trPr>
        <w:tc>
          <w:tcPr>
            <w:tcW w:w="567" w:type="dxa"/>
            <w:tcBorders>
              <w:top w:val="nil"/>
              <w:left w:val="nil"/>
              <w:bottom w:val="nil"/>
              <w:right w:val="nil"/>
            </w:tcBorders>
            <w:noWrap/>
            <w:vAlign w:val="center"/>
            <w:hideMark/>
          </w:tcPr>
          <w:p w14:paraId="195BD81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7</w:t>
            </w:r>
          </w:p>
        </w:tc>
        <w:tc>
          <w:tcPr>
            <w:tcW w:w="993" w:type="dxa"/>
            <w:tcBorders>
              <w:top w:val="nil"/>
              <w:left w:val="nil"/>
              <w:bottom w:val="nil"/>
              <w:right w:val="nil"/>
            </w:tcBorders>
            <w:vAlign w:val="center"/>
            <w:hideMark/>
          </w:tcPr>
          <w:p w14:paraId="737D0174"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eastAsia="ru-RU"/>
              </w:rPr>
            </w:pPr>
            <w:r w:rsidRPr="00716C8A">
              <w:rPr>
                <w:rFonts w:ascii="Times New Roman" w:eastAsia="Times New Roman" w:hAnsi="Times New Roman" w:cs="Times New Roman"/>
                <w:b/>
                <w:bCs/>
                <w:color w:val="000000"/>
                <w:sz w:val="16"/>
                <w:szCs w:val="16"/>
                <w:lang w:eastAsia="ru-RU"/>
              </w:rPr>
              <w:t>1</w:t>
            </w:r>
          </w:p>
        </w:tc>
        <w:tc>
          <w:tcPr>
            <w:tcW w:w="1100" w:type="dxa"/>
            <w:tcBorders>
              <w:top w:val="nil"/>
              <w:left w:val="nil"/>
              <w:bottom w:val="nil"/>
              <w:right w:val="nil"/>
            </w:tcBorders>
            <w:noWrap/>
            <w:vAlign w:val="center"/>
            <w:hideMark/>
          </w:tcPr>
          <w:p w14:paraId="1DADB3F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600</w:t>
            </w:r>
          </w:p>
        </w:tc>
        <w:tc>
          <w:tcPr>
            <w:tcW w:w="1134" w:type="dxa"/>
            <w:tcBorders>
              <w:top w:val="nil"/>
              <w:left w:val="nil"/>
              <w:bottom w:val="nil"/>
              <w:right w:val="nil"/>
            </w:tcBorders>
            <w:noWrap/>
            <w:vAlign w:val="center"/>
            <w:hideMark/>
          </w:tcPr>
          <w:p w14:paraId="2BDD7860"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0.90</w:t>
            </w:r>
          </w:p>
        </w:tc>
        <w:tc>
          <w:tcPr>
            <w:tcW w:w="851" w:type="dxa"/>
            <w:tcBorders>
              <w:top w:val="nil"/>
              <w:left w:val="nil"/>
              <w:bottom w:val="nil"/>
              <w:right w:val="nil"/>
            </w:tcBorders>
            <w:noWrap/>
            <w:vAlign w:val="center"/>
            <w:hideMark/>
          </w:tcPr>
          <w:p w14:paraId="6A5FC17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w:t>
            </w:r>
            <w:r w:rsidRPr="00716C8A">
              <w:rPr>
                <w:rFonts w:ascii="Times New Roman" w:eastAsia="Times New Roman" w:hAnsi="Times New Roman" w:cs="Times New Roman"/>
                <w:color w:val="000000"/>
                <w:sz w:val="16"/>
                <w:szCs w:val="16"/>
                <w:lang w:val="en-US" w:eastAsia="ru-RU"/>
              </w:rPr>
              <w:t>50</w:t>
            </w:r>
          </w:p>
        </w:tc>
        <w:tc>
          <w:tcPr>
            <w:tcW w:w="992" w:type="dxa"/>
            <w:tcBorders>
              <w:top w:val="nil"/>
              <w:left w:val="nil"/>
              <w:bottom w:val="nil"/>
              <w:right w:val="nil"/>
            </w:tcBorders>
            <w:noWrap/>
            <w:vAlign w:val="center"/>
            <w:hideMark/>
          </w:tcPr>
          <w:p w14:paraId="768D836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nil"/>
              <w:right w:val="nil"/>
            </w:tcBorders>
            <w:noWrap/>
            <w:vAlign w:val="center"/>
            <w:hideMark/>
          </w:tcPr>
          <w:p w14:paraId="2DF65DA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5F73D710"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nil"/>
              <w:right w:val="nil"/>
            </w:tcBorders>
            <w:noWrap/>
            <w:vAlign w:val="center"/>
            <w:hideMark/>
          </w:tcPr>
          <w:p w14:paraId="7A0E634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104</w:t>
            </w:r>
          </w:p>
        </w:tc>
        <w:tc>
          <w:tcPr>
            <w:tcW w:w="850" w:type="dxa"/>
            <w:tcBorders>
              <w:top w:val="nil"/>
              <w:left w:val="nil"/>
              <w:bottom w:val="nil"/>
              <w:right w:val="nil"/>
            </w:tcBorders>
            <w:noWrap/>
            <w:vAlign w:val="center"/>
            <w:hideMark/>
          </w:tcPr>
          <w:p w14:paraId="15031B7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73</w:t>
            </w:r>
          </w:p>
        </w:tc>
        <w:tc>
          <w:tcPr>
            <w:tcW w:w="851" w:type="dxa"/>
            <w:tcBorders>
              <w:top w:val="nil"/>
              <w:left w:val="nil"/>
              <w:bottom w:val="nil"/>
              <w:right w:val="nil"/>
            </w:tcBorders>
            <w:noWrap/>
            <w:vAlign w:val="center"/>
            <w:hideMark/>
          </w:tcPr>
          <w:p w14:paraId="3341967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18</w:t>
            </w:r>
          </w:p>
        </w:tc>
      </w:tr>
      <w:tr w:rsidR="004A0176" w:rsidRPr="00716C8A" w14:paraId="7CD58655" w14:textId="77777777" w:rsidTr="004A0176">
        <w:trPr>
          <w:trHeight w:val="227"/>
        </w:trPr>
        <w:tc>
          <w:tcPr>
            <w:tcW w:w="567" w:type="dxa"/>
            <w:tcBorders>
              <w:top w:val="nil"/>
              <w:left w:val="nil"/>
              <w:bottom w:val="nil"/>
              <w:right w:val="nil"/>
            </w:tcBorders>
            <w:noWrap/>
            <w:vAlign w:val="center"/>
            <w:hideMark/>
          </w:tcPr>
          <w:p w14:paraId="456CAB5D"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8</w:t>
            </w:r>
          </w:p>
        </w:tc>
        <w:tc>
          <w:tcPr>
            <w:tcW w:w="993" w:type="dxa"/>
            <w:tcBorders>
              <w:top w:val="nil"/>
              <w:left w:val="nil"/>
              <w:bottom w:val="nil"/>
              <w:right w:val="nil"/>
            </w:tcBorders>
            <w:vAlign w:val="center"/>
            <w:hideMark/>
          </w:tcPr>
          <w:p w14:paraId="74F6E420"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val="en-US" w:eastAsia="ru-RU"/>
              </w:rPr>
            </w:pPr>
            <w:r w:rsidRPr="00716C8A">
              <w:rPr>
                <w:rFonts w:ascii="Times New Roman" w:eastAsia="Times New Roman" w:hAnsi="Times New Roman" w:cs="Times New Roman"/>
                <w:b/>
                <w:bCs/>
                <w:color w:val="000000"/>
                <w:sz w:val="16"/>
                <w:szCs w:val="16"/>
                <w:lang w:eastAsia="ru-RU"/>
              </w:rPr>
              <w:t>2</w:t>
            </w:r>
            <w:r w:rsidRPr="00716C8A">
              <w:rPr>
                <w:rFonts w:ascii="Times New Roman" w:eastAsia="Times New Roman" w:hAnsi="Times New Roman" w:cs="Times New Roman"/>
                <w:b/>
                <w:bCs/>
                <w:i/>
                <w:color w:val="000000"/>
                <w:sz w:val="16"/>
                <w:szCs w:val="16"/>
                <w:vertAlign w:val="superscript"/>
                <w:lang w:val="en-US" w:eastAsia="ru-RU"/>
              </w:rPr>
              <w:t>h</w:t>
            </w:r>
          </w:p>
        </w:tc>
        <w:tc>
          <w:tcPr>
            <w:tcW w:w="1100" w:type="dxa"/>
            <w:tcBorders>
              <w:top w:val="nil"/>
              <w:left w:val="nil"/>
              <w:bottom w:val="nil"/>
              <w:right w:val="nil"/>
            </w:tcBorders>
            <w:noWrap/>
            <w:vAlign w:val="center"/>
            <w:hideMark/>
          </w:tcPr>
          <w:p w14:paraId="3E9A9B8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p>
        </w:tc>
        <w:tc>
          <w:tcPr>
            <w:tcW w:w="1134" w:type="dxa"/>
            <w:tcBorders>
              <w:top w:val="nil"/>
              <w:left w:val="nil"/>
              <w:bottom w:val="nil"/>
              <w:right w:val="nil"/>
            </w:tcBorders>
            <w:noWrap/>
            <w:vAlign w:val="center"/>
            <w:hideMark/>
          </w:tcPr>
          <w:p w14:paraId="4C4E813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2.80</w:t>
            </w:r>
          </w:p>
        </w:tc>
        <w:tc>
          <w:tcPr>
            <w:tcW w:w="851" w:type="dxa"/>
            <w:tcBorders>
              <w:top w:val="nil"/>
              <w:left w:val="nil"/>
              <w:bottom w:val="nil"/>
              <w:right w:val="nil"/>
            </w:tcBorders>
            <w:noWrap/>
            <w:vAlign w:val="center"/>
            <w:hideMark/>
          </w:tcPr>
          <w:p w14:paraId="7ABFBA4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373</w:t>
            </w:r>
          </w:p>
        </w:tc>
        <w:tc>
          <w:tcPr>
            <w:tcW w:w="992" w:type="dxa"/>
            <w:tcBorders>
              <w:top w:val="nil"/>
              <w:left w:val="nil"/>
              <w:bottom w:val="nil"/>
              <w:right w:val="nil"/>
            </w:tcBorders>
            <w:noWrap/>
            <w:vAlign w:val="center"/>
            <w:hideMark/>
          </w:tcPr>
          <w:p w14:paraId="285AF2F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172</w:t>
            </w:r>
          </w:p>
        </w:tc>
        <w:tc>
          <w:tcPr>
            <w:tcW w:w="1134" w:type="dxa"/>
            <w:tcBorders>
              <w:top w:val="nil"/>
              <w:left w:val="nil"/>
              <w:bottom w:val="nil"/>
              <w:right w:val="nil"/>
            </w:tcBorders>
            <w:noWrap/>
            <w:vAlign w:val="center"/>
            <w:hideMark/>
          </w:tcPr>
          <w:p w14:paraId="4427C33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517</w:t>
            </w:r>
          </w:p>
        </w:tc>
        <w:tc>
          <w:tcPr>
            <w:tcW w:w="567" w:type="dxa"/>
            <w:tcBorders>
              <w:top w:val="nil"/>
              <w:left w:val="nil"/>
              <w:bottom w:val="nil"/>
              <w:right w:val="nil"/>
            </w:tcBorders>
            <w:noWrap/>
            <w:vAlign w:val="center"/>
            <w:hideMark/>
          </w:tcPr>
          <w:p w14:paraId="44794536"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3.0</w:t>
            </w:r>
          </w:p>
        </w:tc>
        <w:tc>
          <w:tcPr>
            <w:tcW w:w="567" w:type="dxa"/>
            <w:tcBorders>
              <w:top w:val="nil"/>
              <w:left w:val="nil"/>
              <w:bottom w:val="nil"/>
              <w:right w:val="nil"/>
            </w:tcBorders>
            <w:noWrap/>
            <w:vAlign w:val="center"/>
            <w:hideMark/>
          </w:tcPr>
          <w:p w14:paraId="7B610AD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80</w:t>
            </w:r>
          </w:p>
        </w:tc>
        <w:tc>
          <w:tcPr>
            <w:tcW w:w="850" w:type="dxa"/>
            <w:tcBorders>
              <w:top w:val="nil"/>
              <w:left w:val="nil"/>
              <w:bottom w:val="nil"/>
              <w:right w:val="nil"/>
            </w:tcBorders>
            <w:noWrap/>
            <w:vAlign w:val="center"/>
            <w:hideMark/>
          </w:tcPr>
          <w:p w14:paraId="54EA05B1"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20</w:t>
            </w:r>
          </w:p>
        </w:tc>
        <w:tc>
          <w:tcPr>
            <w:tcW w:w="851" w:type="dxa"/>
            <w:tcBorders>
              <w:top w:val="nil"/>
              <w:left w:val="nil"/>
              <w:bottom w:val="nil"/>
              <w:right w:val="nil"/>
            </w:tcBorders>
            <w:noWrap/>
            <w:vAlign w:val="center"/>
            <w:hideMark/>
          </w:tcPr>
          <w:p w14:paraId="30E92FA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9</w:t>
            </w:r>
          </w:p>
        </w:tc>
      </w:tr>
      <w:tr w:rsidR="004A0176" w:rsidRPr="00716C8A" w14:paraId="69EF0E57" w14:textId="77777777" w:rsidTr="004A0176">
        <w:trPr>
          <w:trHeight w:val="227"/>
        </w:trPr>
        <w:tc>
          <w:tcPr>
            <w:tcW w:w="567" w:type="dxa"/>
            <w:tcBorders>
              <w:top w:val="nil"/>
              <w:left w:val="nil"/>
              <w:bottom w:val="nil"/>
              <w:right w:val="nil"/>
            </w:tcBorders>
            <w:noWrap/>
            <w:vAlign w:val="center"/>
            <w:hideMark/>
          </w:tcPr>
          <w:p w14:paraId="268F705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9</w:t>
            </w:r>
          </w:p>
        </w:tc>
        <w:tc>
          <w:tcPr>
            <w:tcW w:w="993" w:type="dxa"/>
            <w:tcBorders>
              <w:top w:val="nil"/>
              <w:left w:val="nil"/>
              <w:bottom w:val="nil"/>
              <w:right w:val="nil"/>
            </w:tcBorders>
            <w:vAlign w:val="center"/>
            <w:hideMark/>
          </w:tcPr>
          <w:p w14:paraId="67D50D52"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val="en-US" w:eastAsia="ru-RU"/>
              </w:rPr>
            </w:pPr>
            <w:r w:rsidRPr="00716C8A">
              <w:rPr>
                <w:rFonts w:ascii="Times New Roman" w:eastAsia="Times New Roman" w:hAnsi="Times New Roman" w:cs="Times New Roman"/>
                <w:b/>
                <w:bCs/>
                <w:color w:val="000000"/>
                <w:sz w:val="16"/>
                <w:szCs w:val="16"/>
                <w:lang w:eastAsia="ru-RU"/>
              </w:rPr>
              <w:t>2</w:t>
            </w:r>
            <w:r w:rsidRPr="00716C8A">
              <w:rPr>
                <w:rFonts w:ascii="Times New Roman" w:eastAsia="Times New Roman" w:hAnsi="Times New Roman" w:cs="Times New Roman"/>
                <w:b/>
                <w:bCs/>
                <w:i/>
                <w:color w:val="000000"/>
                <w:sz w:val="16"/>
                <w:szCs w:val="16"/>
                <w:vertAlign w:val="superscript"/>
                <w:lang w:val="en-US" w:eastAsia="ru-RU"/>
              </w:rPr>
              <w:t>h</w:t>
            </w:r>
          </w:p>
        </w:tc>
        <w:tc>
          <w:tcPr>
            <w:tcW w:w="1100" w:type="dxa"/>
            <w:tcBorders>
              <w:top w:val="nil"/>
              <w:left w:val="nil"/>
              <w:bottom w:val="nil"/>
              <w:right w:val="nil"/>
            </w:tcBorders>
            <w:noWrap/>
            <w:vAlign w:val="center"/>
            <w:hideMark/>
          </w:tcPr>
          <w:p w14:paraId="736CF59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150</w:t>
            </w:r>
          </w:p>
        </w:tc>
        <w:tc>
          <w:tcPr>
            <w:tcW w:w="1134" w:type="dxa"/>
            <w:tcBorders>
              <w:top w:val="nil"/>
              <w:left w:val="nil"/>
              <w:bottom w:val="nil"/>
              <w:right w:val="nil"/>
            </w:tcBorders>
            <w:noWrap/>
            <w:vAlign w:val="center"/>
            <w:hideMark/>
          </w:tcPr>
          <w:p w14:paraId="3616131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3.40</w:t>
            </w:r>
          </w:p>
        </w:tc>
        <w:tc>
          <w:tcPr>
            <w:tcW w:w="851" w:type="dxa"/>
            <w:tcBorders>
              <w:top w:val="nil"/>
              <w:left w:val="nil"/>
              <w:bottom w:val="nil"/>
              <w:right w:val="nil"/>
            </w:tcBorders>
            <w:noWrap/>
            <w:vAlign w:val="center"/>
            <w:hideMark/>
          </w:tcPr>
          <w:p w14:paraId="07E761F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453</w:t>
            </w:r>
          </w:p>
        </w:tc>
        <w:tc>
          <w:tcPr>
            <w:tcW w:w="992" w:type="dxa"/>
            <w:tcBorders>
              <w:top w:val="nil"/>
              <w:left w:val="nil"/>
              <w:bottom w:val="nil"/>
              <w:right w:val="nil"/>
            </w:tcBorders>
            <w:noWrap/>
            <w:vAlign w:val="center"/>
            <w:hideMark/>
          </w:tcPr>
          <w:p w14:paraId="52A5862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100</w:t>
            </w:r>
          </w:p>
        </w:tc>
        <w:tc>
          <w:tcPr>
            <w:tcW w:w="1134" w:type="dxa"/>
            <w:tcBorders>
              <w:top w:val="nil"/>
              <w:left w:val="nil"/>
              <w:bottom w:val="nil"/>
              <w:right w:val="nil"/>
            </w:tcBorders>
            <w:noWrap/>
            <w:vAlign w:val="center"/>
            <w:hideMark/>
          </w:tcPr>
          <w:p w14:paraId="3317C4E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280</w:t>
            </w:r>
          </w:p>
        </w:tc>
        <w:tc>
          <w:tcPr>
            <w:tcW w:w="567" w:type="dxa"/>
            <w:tcBorders>
              <w:top w:val="nil"/>
              <w:left w:val="nil"/>
              <w:bottom w:val="nil"/>
              <w:right w:val="nil"/>
            </w:tcBorders>
            <w:noWrap/>
            <w:vAlign w:val="center"/>
            <w:hideMark/>
          </w:tcPr>
          <w:p w14:paraId="31E9CA1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2.8</w:t>
            </w:r>
          </w:p>
        </w:tc>
        <w:tc>
          <w:tcPr>
            <w:tcW w:w="567" w:type="dxa"/>
            <w:tcBorders>
              <w:top w:val="nil"/>
              <w:left w:val="nil"/>
              <w:bottom w:val="nil"/>
              <w:right w:val="nil"/>
            </w:tcBorders>
            <w:noWrap/>
            <w:vAlign w:val="center"/>
            <w:hideMark/>
          </w:tcPr>
          <w:p w14:paraId="70FB2EC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92</w:t>
            </w:r>
          </w:p>
        </w:tc>
        <w:tc>
          <w:tcPr>
            <w:tcW w:w="850" w:type="dxa"/>
            <w:tcBorders>
              <w:top w:val="nil"/>
              <w:left w:val="nil"/>
              <w:bottom w:val="nil"/>
              <w:right w:val="nil"/>
            </w:tcBorders>
            <w:noWrap/>
            <w:vAlign w:val="center"/>
            <w:hideMark/>
          </w:tcPr>
          <w:p w14:paraId="6F3E27E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10</w:t>
            </w:r>
          </w:p>
        </w:tc>
        <w:tc>
          <w:tcPr>
            <w:tcW w:w="851" w:type="dxa"/>
            <w:tcBorders>
              <w:top w:val="nil"/>
              <w:left w:val="nil"/>
              <w:bottom w:val="nil"/>
              <w:right w:val="nil"/>
            </w:tcBorders>
            <w:noWrap/>
            <w:vAlign w:val="center"/>
            <w:hideMark/>
          </w:tcPr>
          <w:p w14:paraId="3E8E08A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7</w:t>
            </w:r>
          </w:p>
        </w:tc>
      </w:tr>
      <w:tr w:rsidR="004A0176" w:rsidRPr="00716C8A" w14:paraId="54495A33" w14:textId="77777777" w:rsidTr="004A0176">
        <w:trPr>
          <w:trHeight w:val="227"/>
        </w:trPr>
        <w:tc>
          <w:tcPr>
            <w:tcW w:w="567" w:type="dxa"/>
            <w:tcBorders>
              <w:top w:val="nil"/>
              <w:left w:val="nil"/>
              <w:right w:val="nil"/>
            </w:tcBorders>
            <w:noWrap/>
            <w:vAlign w:val="center"/>
            <w:hideMark/>
          </w:tcPr>
          <w:p w14:paraId="1305FC5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rPr>
              <w:t>1</w:t>
            </w:r>
            <w:r w:rsidRPr="00716C8A">
              <w:rPr>
                <w:rFonts w:ascii="Times New Roman" w:hAnsi="Times New Roman" w:cs="Times New Roman"/>
                <w:color w:val="000000"/>
                <w:sz w:val="16"/>
                <w:szCs w:val="16"/>
                <w:lang w:val="en-US"/>
              </w:rPr>
              <w:t>0</w:t>
            </w:r>
          </w:p>
        </w:tc>
        <w:tc>
          <w:tcPr>
            <w:tcW w:w="993" w:type="dxa"/>
            <w:tcBorders>
              <w:top w:val="nil"/>
              <w:left w:val="nil"/>
              <w:right w:val="nil"/>
            </w:tcBorders>
            <w:vAlign w:val="center"/>
            <w:hideMark/>
          </w:tcPr>
          <w:p w14:paraId="67AF770A"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val="en-US" w:eastAsia="ru-RU"/>
              </w:rPr>
            </w:pPr>
            <w:r w:rsidRPr="00716C8A">
              <w:rPr>
                <w:rFonts w:ascii="Times New Roman" w:eastAsia="Times New Roman" w:hAnsi="Times New Roman" w:cs="Times New Roman"/>
                <w:b/>
                <w:bCs/>
                <w:color w:val="000000"/>
                <w:sz w:val="16"/>
                <w:szCs w:val="16"/>
                <w:lang w:val="en-US" w:eastAsia="ru-RU"/>
              </w:rPr>
              <w:t>3</w:t>
            </w:r>
            <w:r w:rsidRPr="00716C8A">
              <w:rPr>
                <w:rFonts w:ascii="Times New Roman" w:eastAsia="Times New Roman" w:hAnsi="Times New Roman" w:cs="Times New Roman"/>
                <w:b/>
                <w:bCs/>
                <w:i/>
                <w:color w:val="000000"/>
                <w:sz w:val="16"/>
                <w:szCs w:val="16"/>
                <w:vertAlign w:val="superscript"/>
                <w:lang w:val="en-US" w:eastAsia="ru-RU"/>
              </w:rPr>
              <w:t>h</w:t>
            </w:r>
          </w:p>
        </w:tc>
        <w:tc>
          <w:tcPr>
            <w:tcW w:w="1100" w:type="dxa"/>
            <w:tcBorders>
              <w:top w:val="nil"/>
              <w:left w:val="nil"/>
              <w:right w:val="nil"/>
            </w:tcBorders>
            <w:noWrap/>
            <w:vAlign w:val="center"/>
            <w:hideMark/>
          </w:tcPr>
          <w:p w14:paraId="5176B31E"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p>
        </w:tc>
        <w:tc>
          <w:tcPr>
            <w:tcW w:w="1134" w:type="dxa"/>
            <w:tcBorders>
              <w:top w:val="nil"/>
              <w:left w:val="nil"/>
              <w:right w:val="nil"/>
            </w:tcBorders>
            <w:noWrap/>
            <w:vAlign w:val="center"/>
            <w:hideMark/>
          </w:tcPr>
          <w:p w14:paraId="51C262B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3.25</w:t>
            </w:r>
          </w:p>
        </w:tc>
        <w:tc>
          <w:tcPr>
            <w:tcW w:w="851" w:type="dxa"/>
            <w:tcBorders>
              <w:top w:val="nil"/>
              <w:left w:val="nil"/>
              <w:right w:val="nil"/>
            </w:tcBorders>
            <w:noWrap/>
            <w:vAlign w:val="center"/>
            <w:hideMark/>
          </w:tcPr>
          <w:p w14:paraId="2952A229"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433</w:t>
            </w:r>
          </w:p>
        </w:tc>
        <w:tc>
          <w:tcPr>
            <w:tcW w:w="992" w:type="dxa"/>
            <w:tcBorders>
              <w:top w:val="nil"/>
              <w:left w:val="nil"/>
              <w:right w:val="nil"/>
            </w:tcBorders>
            <w:noWrap/>
            <w:vAlign w:val="center"/>
            <w:hideMark/>
          </w:tcPr>
          <w:p w14:paraId="6223CCE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right w:val="nil"/>
            </w:tcBorders>
            <w:noWrap/>
            <w:vAlign w:val="center"/>
            <w:hideMark/>
          </w:tcPr>
          <w:p w14:paraId="12784A6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right w:val="nil"/>
            </w:tcBorders>
            <w:noWrap/>
            <w:vAlign w:val="center"/>
            <w:hideMark/>
          </w:tcPr>
          <w:p w14:paraId="2BCB29C3"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right w:val="nil"/>
            </w:tcBorders>
            <w:noWrap/>
            <w:vAlign w:val="center"/>
            <w:hideMark/>
          </w:tcPr>
          <w:p w14:paraId="2C0DD73D"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hAnsi="Times New Roman" w:cs="Times New Roman"/>
                <w:sz w:val="16"/>
                <w:szCs w:val="16"/>
              </w:rPr>
              <w:t>93</w:t>
            </w:r>
          </w:p>
        </w:tc>
        <w:tc>
          <w:tcPr>
            <w:tcW w:w="850" w:type="dxa"/>
            <w:tcBorders>
              <w:top w:val="nil"/>
              <w:left w:val="nil"/>
              <w:right w:val="nil"/>
            </w:tcBorders>
            <w:noWrap/>
            <w:vAlign w:val="center"/>
            <w:hideMark/>
          </w:tcPr>
          <w:p w14:paraId="2A06F7E2"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val="en-US" w:eastAsia="ru-RU"/>
              </w:rPr>
              <w:t>–</w:t>
            </w:r>
            <w:r w:rsidRPr="00716C8A">
              <w:rPr>
                <w:rFonts w:ascii="Times New Roman" w:eastAsia="Times New Roman" w:hAnsi="Times New Roman" w:cs="Times New Roman"/>
                <w:color w:val="000000"/>
                <w:sz w:val="16"/>
                <w:szCs w:val="16"/>
                <w:lang w:eastAsia="ru-RU"/>
              </w:rPr>
              <w:t>2</w:t>
            </w:r>
          </w:p>
        </w:tc>
        <w:tc>
          <w:tcPr>
            <w:tcW w:w="851" w:type="dxa"/>
            <w:tcBorders>
              <w:top w:val="nil"/>
              <w:left w:val="nil"/>
              <w:right w:val="nil"/>
            </w:tcBorders>
            <w:noWrap/>
            <w:vAlign w:val="center"/>
            <w:hideMark/>
          </w:tcPr>
          <w:p w14:paraId="68605FD5"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11</w:t>
            </w:r>
          </w:p>
        </w:tc>
      </w:tr>
      <w:tr w:rsidR="004A0176" w:rsidRPr="00716C8A" w14:paraId="1D859865" w14:textId="77777777" w:rsidTr="004A0176">
        <w:trPr>
          <w:trHeight w:val="227"/>
        </w:trPr>
        <w:tc>
          <w:tcPr>
            <w:tcW w:w="567" w:type="dxa"/>
            <w:tcBorders>
              <w:top w:val="nil"/>
              <w:left w:val="nil"/>
              <w:bottom w:val="single" w:sz="4" w:space="0" w:color="auto"/>
              <w:right w:val="nil"/>
            </w:tcBorders>
            <w:noWrap/>
            <w:vAlign w:val="center"/>
            <w:hideMark/>
          </w:tcPr>
          <w:p w14:paraId="1D163EF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color w:val="000000"/>
                <w:sz w:val="16"/>
                <w:szCs w:val="16"/>
              </w:rPr>
              <w:t>1</w:t>
            </w:r>
            <w:r w:rsidRPr="00716C8A">
              <w:rPr>
                <w:rFonts w:ascii="Times New Roman" w:hAnsi="Times New Roman" w:cs="Times New Roman"/>
                <w:color w:val="000000"/>
                <w:sz w:val="16"/>
                <w:szCs w:val="16"/>
                <w:lang w:val="en-US"/>
              </w:rPr>
              <w:t>1</w:t>
            </w:r>
          </w:p>
        </w:tc>
        <w:tc>
          <w:tcPr>
            <w:tcW w:w="993" w:type="dxa"/>
            <w:tcBorders>
              <w:top w:val="nil"/>
              <w:left w:val="nil"/>
              <w:bottom w:val="single" w:sz="4" w:space="0" w:color="auto"/>
              <w:right w:val="nil"/>
            </w:tcBorders>
            <w:vAlign w:val="center"/>
            <w:hideMark/>
          </w:tcPr>
          <w:p w14:paraId="797ADE99" w14:textId="77777777" w:rsidR="004A0176" w:rsidRPr="00716C8A" w:rsidRDefault="004A0176" w:rsidP="004A0176">
            <w:pPr>
              <w:spacing w:after="0" w:line="240" w:lineRule="auto"/>
              <w:jc w:val="center"/>
              <w:rPr>
                <w:rFonts w:ascii="Times New Roman" w:eastAsia="Times New Roman" w:hAnsi="Times New Roman" w:cs="Times New Roman"/>
                <w:b/>
                <w:bCs/>
                <w:color w:val="000000"/>
                <w:sz w:val="16"/>
                <w:szCs w:val="16"/>
                <w:lang w:val="en-US" w:eastAsia="ru-RU"/>
              </w:rPr>
            </w:pPr>
            <w:r w:rsidRPr="00716C8A">
              <w:rPr>
                <w:rFonts w:ascii="Times New Roman" w:eastAsia="Times New Roman" w:hAnsi="Times New Roman" w:cs="Times New Roman"/>
                <w:b/>
                <w:bCs/>
                <w:color w:val="000000"/>
                <w:sz w:val="16"/>
                <w:szCs w:val="16"/>
                <w:lang w:val="en-US" w:eastAsia="ru-RU"/>
              </w:rPr>
              <w:t>3</w:t>
            </w:r>
            <w:r w:rsidRPr="00716C8A">
              <w:rPr>
                <w:rFonts w:ascii="Times New Roman" w:eastAsia="Times New Roman" w:hAnsi="Times New Roman" w:cs="Times New Roman"/>
                <w:b/>
                <w:bCs/>
                <w:i/>
                <w:color w:val="000000"/>
                <w:sz w:val="16"/>
                <w:szCs w:val="16"/>
                <w:vertAlign w:val="superscript"/>
                <w:lang w:val="en-US" w:eastAsia="ru-RU"/>
              </w:rPr>
              <w:t>h</w:t>
            </w:r>
          </w:p>
        </w:tc>
        <w:tc>
          <w:tcPr>
            <w:tcW w:w="1100" w:type="dxa"/>
            <w:tcBorders>
              <w:top w:val="nil"/>
              <w:left w:val="nil"/>
              <w:bottom w:val="single" w:sz="4" w:space="0" w:color="auto"/>
              <w:right w:val="nil"/>
            </w:tcBorders>
            <w:noWrap/>
            <w:vAlign w:val="center"/>
            <w:hideMark/>
          </w:tcPr>
          <w:p w14:paraId="79BA955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150</w:t>
            </w:r>
          </w:p>
        </w:tc>
        <w:tc>
          <w:tcPr>
            <w:tcW w:w="1134" w:type="dxa"/>
            <w:tcBorders>
              <w:top w:val="nil"/>
              <w:left w:val="nil"/>
              <w:bottom w:val="single" w:sz="4" w:space="0" w:color="auto"/>
              <w:right w:val="nil"/>
            </w:tcBorders>
            <w:noWrap/>
            <w:vAlign w:val="center"/>
            <w:hideMark/>
          </w:tcPr>
          <w:p w14:paraId="0600B4FB"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4.00</w:t>
            </w:r>
          </w:p>
        </w:tc>
        <w:tc>
          <w:tcPr>
            <w:tcW w:w="851" w:type="dxa"/>
            <w:tcBorders>
              <w:top w:val="nil"/>
              <w:left w:val="nil"/>
              <w:bottom w:val="single" w:sz="4" w:space="0" w:color="auto"/>
              <w:right w:val="nil"/>
            </w:tcBorders>
            <w:noWrap/>
            <w:vAlign w:val="center"/>
            <w:hideMark/>
          </w:tcPr>
          <w:p w14:paraId="642BAA78"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5</w:t>
            </w:r>
            <w:r w:rsidRPr="00716C8A">
              <w:rPr>
                <w:rFonts w:ascii="Times New Roman" w:eastAsia="Times New Roman" w:hAnsi="Times New Roman" w:cs="Times New Roman"/>
                <w:color w:val="000000"/>
                <w:sz w:val="16"/>
                <w:szCs w:val="16"/>
                <w:lang w:val="en-US" w:eastAsia="ru-RU"/>
              </w:rPr>
              <w:t>33</w:t>
            </w:r>
          </w:p>
        </w:tc>
        <w:tc>
          <w:tcPr>
            <w:tcW w:w="992" w:type="dxa"/>
            <w:tcBorders>
              <w:top w:val="nil"/>
              <w:left w:val="nil"/>
              <w:bottom w:val="single" w:sz="4" w:space="0" w:color="auto"/>
              <w:right w:val="nil"/>
            </w:tcBorders>
            <w:noWrap/>
            <w:vAlign w:val="center"/>
            <w:hideMark/>
          </w:tcPr>
          <w:p w14:paraId="7A379AA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1134" w:type="dxa"/>
            <w:tcBorders>
              <w:top w:val="nil"/>
              <w:left w:val="nil"/>
              <w:bottom w:val="single" w:sz="4" w:space="0" w:color="auto"/>
              <w:right w:val="nil"/>
            </w:tcBorders>
            <w:noWrap/>
            <w:vAlign w:val="center"/>
            <w:hideMark/>
          </w:tcPr>
          <w:p w14:paraId="4234E96F"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single" w:sz="4" w:space="0" w:color="auto"/>
              <w:right w:val="nil"/>
            </w:tcBorders>
            <w:noWrap/>
            <w:vAlign w:val="center"/>
            <w:hideMark/>
          </w:tcPr>
          <w:p w14:paraId="02EC2F67"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val="en-US" w:eastAsia="ru-RU"/>
              </w:rPr>
              <w:t>–</w:t>
            </w:r>
          </w:p>
        </w:tc>
        <w:tc>
          <w:tcPr>
            <w:tcW w:w="567" w:type="dxa"/>
            <w:tcBorders>
              <w:top w:val="nil"/>
              <w:left w:val="nil"/>
              <w:bottom w:val="single" w:sz="4" w:space="0" w:color="auto"/>
              <w:right w:val="nil"/>
            </w:tcBorders>
            <w:noWrap/>
            <w:vAlign w:val="center"/>
            <w:hideMark/>
          </w:tcPr>
          <w:p w14:paraId="39E3415C"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hAnsi="Times New Roman" w:cs="Times New Roman"/>
                <w:sz w:val="16"/>
                <w:szCs w:val="16"/>
              </w:rPr>
              <w:t>11</w:t>
            </w:r>
            <w:r w:rsidRPr="00716C8A">
              <w:rPr>
                <w:rFonts w:ascii="Times New Roman" w:hAnsi="Times New Roman" w:cs="Times New Roman"/>
                <w:sz w:val="16"/>
                <w:szCs w:val="16"/>
                <w:lang w:val="en-US"/>
              </w:rPr>
              <w:t>2</w:t>
            </w:r>
          </w:p>
        </w:tc>
        <w:tc>
          <w:tcPr>
            <w:tcW w:w="850" w:type="dxa"/>
            <w:tcBorders>
              <w:top w:val="nil"/>
              <w:left w:val="nil"/>
              <w:bottom w:val="single" w:sz="4" w:space="0" w:color="auto"/>
              <w:right w:val="nil"/>
            </w:tcBorders>
            <w:noWrap/>
            <w:vAlign w:val="center"/>
            <w:hideMark/>
          </w:tcPr>
          <w:p w14:paraId="5E4F301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eastAsia="ru-RU"/>
              </w:rPr>
            </w:pPr>
            <w:r w:rsidRPr="00716C8A">
              <w:rPr>
                <w:rFonts w:ascii="Times New Roman" w:eastAsia="Times New Roman" w:hAnsi="Times New Roman" w:cs="Times New Roman"/>
                <w:color w:val="000000"/>
                <w:sz w:val="16"/>
                <w:szCs w:val="16"/>
                <w:lang w:eastAsia="ru-RU"/>
              </w:rPr>
              <w:t>39</w:t>
            </w:r>
          </w:p>
        </w:tc>
        <w:tc>
          <w:tcPr>
            <w:tcW w:w="851" w:type="dxa"/>
            <w:tcBorders>
              <w:top w:val="nil"/>
              <w:left w:val="nil"/>
              <w:bottom w:val="single" w:sz="4" w:space="0" w:color="auto"/>
              <w:right w:val="nil"/>
            </w:tcBorders>
            <w:noWrap/>
            <w:vAlign w:val="center"/>
            <w:hideMark/>
          </w:tcPr>
          <w:p w14:paraId="1EF44EF4" w14:textId="77777777" w:rsidR="004A0176" w:rsidRPr="00716C8A" w:rsidRDefault="004A0176" w:rsidP="004A0176">
            <w:pPr>
              <w:spacing w:after="0" w:line="240" w:lineRule="auto"/>
              <w:jc w:val="center"/>
              <w:rPr>
                <w:rFonts w:ascii="Times New Roman" w:eastAsia="Times New Roman" w:hAnsi="Times New Roman" w:cs="Times New Roman"/>
                <w:color w:val="000000"/>
                <w:sz w:val="16"/>
                <w:szCs w:val="16"/>
                <w:lang w:val="en-US" w:eastAsia="ru-RU"/>
              </w:rPr>
            </w:pPr>
            <w:r w:rsidRPr="00716C8A">
              <w:rPr>
                <w:rFonts w:ascii="Times New Roman" w:eastAsia="Times New Roman" w:hAnsi="Times New Roman" w:cs="Times New Roman"/>
                <w:color w:val="000000"/>
                <w:sz w:val="16"/>
                <w:szCs w:val="16"/>
                <w:lang w:eastAsia="ru-RU"/>
              </w:rPr>
              <w:t>1</w:t>
            </w:r>
          </w:p>
        </w:tc>
      </w:tr>
    </w:tbl>
    <w:p w14:paraId="2934258C" w14:textId="2367A32E" w:rsidR="004A0176" w:rsidRPr="00716C8A" w:rsidRDefault="004A0176" w:rsidP="004A0176">
      <w:pPr>
        <w:spacing w:before="60"/>
        <w:ind w:right="-1"/>
        <w:jc w:val="both"/>
        <w:rPr>
          <w:rFonts w:ascii="Times New Roman" w:hAnsi="Times New Roman" w:cs="Times New Roman"/>
          <w:sz w:val="16"/>
          <w:szCs w:val="16"/>
          <w:lang w:val="en-US"/>
        </w:rPr>
      </w:pPr>
      <w:r w:rsidRPr="00716C8A">
        <w:rPr>
          <w:rFonts w:ascii="Times New Roman" w:eastAsia="Times New Roman" w:hAnsi="Times New Roman" w:cs="Times New Roman"/>
          <w:b/>
          <w:i/>
          <w:color w:val="000000"/>
          <w:sz w:val="16"/>
          <w:szCs w:val="16"/>
          <w:vertAlign w:val="superscript"/>
          <w:lang w:val="en-US" w:eastAsia="ru-RU"/>
        </w:rPr>
        <w:t>a</w:t>
      </w:r>
      <w:r w:rsidRPr="00716C8A">
        <w:rPr>
          <w:rFonts w:ascii="Times New Roman" w:eastAsia="Times New Roman" w:hAnsi="Times New Roman" w:cs="Times New Roman"/>
          <w:color w:val="000000"/>
          <w:sz w:val="16"/>
          <w:szCs w:val="16"/>
          <w:lang w:val="en-US" w:eastAsia="ru-RU"/>
        </w:rPr>
        <w:t xml:space="preserve"> general conditions: 4 </w:t>
      </w:r>
      <w:r w:rsidRPr="00716C8A">
        <w:rPr>
          <w:rFonts w:ascii="Times New Roman" w:eastAsia="Times New Roman" w:hAnsi="Times New Roman" w:cs="Times New Roman"/>
          <w:color w:val="000000"/>
          <w:sz w:val="16"/>
          <w:szCs w:val="16"/>
          <w:lang w:eastAsia="ru-RU"/>
        </w:rPr>
        <w:t>μ</w:t>
      </w:r>
      <w:r w:rsidRPr="00716C8A">
        <w:rPr>
          <w:rFonts w:ascii="Times New Roman" w:eastAsia="Times New Roman" w:hAnsi="Times New Roman" w:cs="Times New Roman"/>
          <w:color w:val="000000"/>
          <w:sz w:val="16"/>
          <w:szCs w:val="16"/>
          <w:lang w:val="en-US" w:eastAsia="ru-RU"/>
        </w:rPr>
        <w:t xml:space="preserve">mol of the precatalyst, 3 atm of ethylene, 30 min, </w:t>
      </w:r>
      <w:proofErr w:type="gramStart"/>
      <w:r w:rsidRPr="00716C8A">
        <w:rPr>
          <w:rFonts w:ascii="Times New Roman" w:eastAsia="Times New Roman" w:hAnsi="Times New Roman" w:cs="Times New Roman"/>
          <w:color w:val="000000"/>
          <w:sz w:val="16"/>
          <w:szCs w:val="16"/>
          <w:lang w:val="en-US" w:eastAsia="ru-RU"/>
        </w:rPr>
        <w:t>30  °</w:t>
      </w:r>
      <w:proofErr w:type="gramEnd"/>
      <w:r w:rsidR="007D33A2" w:rsidRPr="00716C8A">
        <w:rPr>
          <w:rFonts w:ascii="Times New Roman" w:eastAsia="Times New Roman" w:hAnsi="Times New Roman" w:cs="Times New Roman"/>
          <w:color w:val="000000"/>
          <w:sz w:val="16"/>
          <w:szCs w:val="16"/>
          <w:lang w:val="en-US" w:eastAsia="ru-RU"/>
        </w:rPr>
        <w:t>C</w:t>
      </w:r>
      <w:r w:rsidRPr="00716C8A">
        <w:rPr>
          <w:rFonts w:ascii="Times New Roman" w:eastAsia="Times New Roman" w:hAnsi="Times New Roman" w:cs="Times New Roman"/>
          <w:color w:val="000000"/>
          <w:sz w:val="16"/>
          <w:szCs w:val="16"/>
          <w:lang w:val="en-US" w:eastAsia="ru-RU"/>
        </w:rPr>
        <w:t>, 50 mL of chlorobenzene, 150 equiv. of DEAC;</w:t>
      </w:r>
      <w:r w:rsidR="00F321A2" w:rsidRPr="00716C8A">
        <w:rPr>
          <w:rFonts w:ascii="Times New Roman" w:eastAsia="Times New Roman" w:hAnsi="Times New Roman" w:cs="Times New Roman"/>
          <w:color w:val="000000"/>
          <w:sz w:val="16"/>
          <w:szCs w:val="16"/>
          <w:lang w:val="en-US" w:eastAsia="ru-RU"/>
        </w:rPr>
        <w:t xml:space="preserve"> </w:t>
      </w:r>
      <w:r w:rsidRPr="00716C8A">
        <w:rPr>
          <w:rFonts w:ascii="Times New Roman" w:eastAsia="Times New Roman" w:hAnsi="Times New Roman" w:cs="Times New Roman"/>
          <w:b/>
          <w:i/>
          <w:color w:val="000000"/>
          <w:sz w:val="16"/>
          <w:szCs w:val="16"/>
          <w:vertAlign w:val="superscript"/>
          <w:lang w:val="en-US" w:eastAsia="ru-RU"/>
        </w:rPr>
        <w:t>b</w:t>
      </w:r>
      <w:r w:rsidRPr="00716C8A">
        <w:rPr>
          <w:rFonts w:ascii="Times New Roman" w:eastAsia="Times New Roman" w:hAnsi="Times New Roman" w:cs="Times New Roman"/>
          <w:color w:val="000000"/>
          <w:sz w:val="16"/>
          <w:szCs w:val="16"/>
          <w:lang w:val="en-US" w:eastAsia="ru-RU"/>
        </w:rPr>
        <w:t xml:space="preserve"> kg </w:t>
      </w:r>
      <w:proofErr w:type="spellStart"/>
      <w:r w:rsidRPr="00716C8A">
        <w:rPr>
          <w:rFonts w:ascii="Times New Roman" w:hAnsi="Times New Roman" w:cs="Times New Roman"/>
          <w:sz w:val="16"/>
          <w:szCs w:val="16"/>
          <w:lang w:val="en-US"/>
        </w:rPr>
        <w:t>PE·</w:t>
      </w:r>
      <w:proofErr w:type="gramStart"/>
      <w:r w:rsidRPr="00716C8A">
        <w:rPr>
          <w:rFonts w:ascii="Times New Roman" w:hAnsi="Times New Roman" w:cs="Times New Roman"/>
          <w:sz w:val="16"/>
          <w:szCs w:val="16"/>
          <w:lang w:val="en-US"/>
        </w:rPr>
        <w:t>mol</w:t>
      </w:r>
      <w:proofErr w:type="spellEnd"/>
      <w:r w:rsidRPr="00716C8A">
        <w:rPr>
          <w:rFonts w:ascii="Times New Roman" w:hAnsi="Times New Roman" w:cs="Times New Roman"/>
          <w:sz w:val="16"/>
          <w:szCs w:val="16"/>
          <w:lang w:val="en-US"/>
        </w:rPr>
        <w:t>(</w:t>
      </w:r>
      <w:proofErr w:type="gramEnd"/>
      <w:r w:rsidRPr="00716C8A">
        <w:rPr>
          <w:rFonts w:ascii="Times New Roman" w:hAnsi="Times New Roman" w:cs="Times New Roman"/>
          <w:sz w:val="16"/>
          <w:szCs w:val="16"/>
          <w:lang w:val="en-US"/>
        </w:rPr>
        <w:t>Ni)</w:t>
      </w:r>
      <w:r w:rsidRPr="00716C8A">
        <w:rPr>
          <w:rFonts w:ascii="Times New Roman" w:hAnsi="Times New Roman" w:cs="Times New Roman"/>
          <w:sz w:val="16"/>
          <w:szCs w:val="16"/>
          <w:vertAlign w:val="superscript"/>
          <w:lang w:val="en-US"/>
        </w:rPr>
        <w:t>–1</w:t>
      </w:r>
      <w:r w:rsidRPr="00716C8A">
        <w:rPr>
          <w:rFonts w:ascii="Times New Roman" w:hAnsi="Times New Roman" w:cs="Times New Roman"/>
          <w:sz w:val="16"/>
          <w:szCs w:val="16"/>
          <w:lang w:val="en-US"/>
        </w:rPr>
        <w:t>·</w:t>
      </w:r>
      <w:r w:rsidR="007D33A2" w:rsidRPr="00716C8A">
        <w:rPr>
          <w:rFonts w:ascii="Times New Roman" w:hAnsi="Times New Roman" w:cs="Times New Roman"/>
          <w:sz w:val="16"/>
          <w:szCs w:val="16"/>
          <w:lang w:val="en-US"/>
        </w:rPr>
        <w:br/>
      </w:r>
      <w:r w:rsidRPr="00716C8A">
        <w:rPr>
          <w:rFonts w:ascii="Times New Roman" w:hAnsi="Times New Roman" w:cs="Times New Roman"/>
          <w:sz w:val="16"/>
          <w:szCs w:val="16"/>
          <w:lang w:val="en-US"/>
        </w:rPr>
        <w:t>h</w:t>
      </w:r>
      <w:r w:rsidRPr="00716C8A">
        <w:rPr>
          <w:rFonts w:ascii="Times New Roman" w:hAnsi="Times New Roman" w:cs="Times New Roman"/>
          <w:sz w:val="16"/>
          <w:szCs w:val="16"/>
          <w:vertAlign w:val="superscript"/>
          <w:lang w:val="en-US"/>
        </w:rPr>
        <w:t>–1</w:t>
      </w:r>
      <w:r w:rsidRPr="00716C8A">
        <w:rPr>
          <w:rFonts w:ascii="Times New Roman" w:hAnsi="Times New Roman" w:cs="Times New Roman"/>
          <w:sz w:val="16"/>
          <w:szCs w:val="16"/>
          <w:lang w:val="en-US"/>
        </w:rPr>
        <w:t>·atm</w:t>
      </w:r>
      <w:r w:rsidRPr="00716C8A">
        <w:rPr>
          <w:rFonts w:ascii="Times New Roman" w:hAnsi="Times New Roman" w:cs="Times New Roman"/>
          <w:sz w:val="16"/>
          <w:szCs w:val="16"/>
          <w:vertAlign w:val="superscript"/>
          <w:lang w:val="en-US"/>
        </w:rPr>
        <w:t>–1</w:t>
      </w:r>
      <w:r w:rsidRPr="00716C8A">
        <w:rPr>
          <w:rFonts w:ascii="Times New Roman" w:eastAsia="Times New Roman" w:hAnsi="Times New Roman" w:cs="Times New Roman"/>
          <w:color w:val="000000"/>
          <w:sz w:val="16"/>
          <w:szCs w:val="16"/>
          <w:lang w:val="en-US" w:eastAsia="ru-RU"/>
        </w:rPr>
        <w:t xml:space="preserve">; </w:t>
      </w:r>
      <w:r w:rsidRPr="00716C8A">
        <w:rPr>
          <w:rFonts w:ascii="Times New Roman" w:eastAsia="Times New Roman" w:hAnsi="Times New Roman" w:cs="Times New Roman"/>
          <w:b/>
          <w:i/>
          <w:color w:val="000000"/>
          <w:sz w:val="16"/>
          <w:szCs w:val="16"/>
          <w:vertAlign w:val="superscript"/>
          <w:lang w:val="en-US" w:eastAsia="ru-RU"/>
        </w:rPr>
        <w:t>c</w:t>
      </w:r>
      <w:r w:rsidRPr="00716C8A">
        <w:rPr>
          <w:rFonts w:ascii="Times New Roman" w:hAnsi="Times New Roman" w:cs="Times New Roman"/>
          <w:sz w:val="16"/>
          <w:szCs w:val="16"/>
          <w:lang w:val="en-US"/>
        </w:rPr>
        <w:t xml:space="preserve"> </w:t>
      </w:r>
      <w:r w:rsidRPr="00716C8A">
        <w:rPr>
          <w:rFonts w:ascii="Times New Roman" w:eastAsia="Times New Roman" w:hAnsi="Times New Roman" w:cs="Times New Roman"/>
          <w:color w:val="000000"/>
          <w:sz w:val="16"/>
          <w:szCs w:val="16"/>
          <w:lang w:val="en-US" w:eastAsia="ru-RU"/>
        </w:rPr>
        <w:t xml:space="preserve">determined by GPC; </w:t>
      </w:r>
      <w:r w:rsidRPr="00716C8A">
        <w:rPr>
          <w:rFonts w:ascii="Times New Roman" w:eastAsia="Times New Roman" w:hAnsi="Times New Roman" w:cs="Times New Roman"/>
          <w:b/>
          <w:i/>
          <w:color w:val="000000"/>
          <w:sz w:val="16"/>
          <w:szCs w:val="16"/>
          <w:vertAlign w:val="superscript"/>
          <w:lang w:val="en-US" w:eastAsia="ru-RU"/>
        </w:rPr>
        <w:t>d</w:t>
      </w:r>
      <w:r w:rsidRPr="00716C8A">
        <w:rPr>
          <w:rFonts w:ascii="Times New Roman" w:eastAsia="Times New Roman" w:hAnsi="Times New Roman" w:cs="Times New Roman"/>
          <w:color w:val="000000"/>
          <w:sz w:val="16"/>
          <w:szCs w:val="16"/>
          <w:lang w:val="en-US" w:eastAsia="ru-RU"/>
        </w:rPr>
        <w:t xml:space="preserve"> branching density, given per 1000 carbon atoms; </w:t>
      </w:r>
      <w:proofErr w:type="spellStart"/>
      <w:proofErr w:type="gramStart"/>
      <w:r w:rsidRPr="00716C8A">
        <w:rPr>
          <w:rFonts w:ascii="Times New Roman" w:eastAsia="Times New Roman" w:hAnsi="Times New Roman" w:cs="Times New Roman"/>
          <w:b/>
          <w:i/>
          <w:color w:val="000000"/>
          <w:sz w:val="16"/>
          <w:szCs w:val="16"/>
          <w:vertAlign w:val="superscript"/>
          <w:lang w:val="en-US" w:eastAsia="ru-RU"/>
        </w:rPr>
        <w:t>e</w:t>
      </w:r>
      <w:r w:rsidRPr="00716C8A">
        <w:rPr>
          <w:rFonts w:ascii="Times New Roman" w:eastAsia="Times New Roman" w:hAnsi="Times New Roman" w:cs="Times New Roman"/>
          <w:color w:val="000000"/>
          <w:sz w:val="16"/>
          <w:szCs w:val="16"/>
          <w:vertAlign w:val="superscript"/>
          <w:lang w:val="en-US" w:eastAsia="ru-RU"/>
        </w:rPr>
        <w:t>,</w:t>
      </w:r>
      <w:r w:rsidRPr="00716C8A">
        <w:rPr>
          <w:rFonts w:ascii="Times New Roman" w:eastAsia="Times New Roman" w:hAnsi="Times New Roman" w:cs="Times New Roman"/>
          <w:b/>
          <w:i/>
          <w:color w:val="000000"/>
          <w:sz w:val="16"/>
          <w:szCs w:val="16"/>
          <w:vertAlign w:val="superscript"/>
          <w:lang w:val="en-US" w:eastAsia="ru-RU"/>
        </w:rPr>
        <w:t>f</w:t>
      </w:r>
      <w:proofErr w:type="spellEnd"/>
      <w:proofErr w:type="gramEnd"/>
      <w:r w:rsidRPr="00716C8A">
        <w:rPr>
          <w:rFonts w:ascii="Times New Roman" w:eastAsia="Times New Roman" w:hAnsi="Times New Roman" w:cs="Times New Roman"/>
          <w:color w:val="000000"/>
          <w:sz w:val="16"/>
          <w:szCs w:val="16"/>
          <w:lang w:val="en-US" w:eastAsia="ru-RU"/>
        </w:rPr>
        <w:t xml:space="preserve"> determined by DSC;</w:t>
      </w:r>
      <w:r w:rsidRPr="00716C8A">
        <w:rPr>
          <w:rFonts w:ascii="Times New Roman" w:eastAsia="Times New Roman" w:hAnsi="Times New Roman" w:cs="Times New Roman"/>
          <w:color w:val="000000"/>
          <w:sz w:val="16"/>
          <w:szCs w:val="16"/>
          <w:vertAlign w:val="superscript"/>
          <w:lang w:val="en-US" w:eastAsia="ru-RU"/>
        </w:rPr>
        <w:t xml:space="preserve"> </w:t>
      </w:r>
      <w:r w:rsidRPr="00716C8A">
        <w:rPr>
          <w:rFonts w:ascii="Times New Roman" w:eastAsia="Times New Roman" w:hAnsi="Times New Roman" w:cs="Times New Roman"/>
          <w:b/>
          <w:i/>
          <w:color w:val="000000"/>
          <w:sz w:val="16"/>
          <w:szCs w:val="16"/>
          <w:vertAlign w:val="superscript"/>
          <w:lang w:val="en-US" w:eastAsia="ru-RU"/>
        </w:rPr>
        <w:t>g</w:t>
      </w:r>
      <w:r w:rsidRPr="00716C8A">
        <w:rPr>
          <w:rFonts w:ascii="Times New Roman" w:eastAsia="Times New Roman" w:hAnsi="Times New Roman" w:cs="Times New Roman"/>
          <w:color w:val="000000"/>
          <w:sz w:val="16"/>
          <w:szCs w:val="16"/>
          <w:lang w:val="en-US" w:eastAsia="ru-RU"/>
        </w:rPr>
        <w:t xml:space="preserve"> </w:t>
      </w:r>
      <w:proofErr w:type="gramStart"/>
      <w:r w:rsidRPr="00716C8A">
        <w:rPr>
          <w:rFonts w:ascii="Times New Roman" w:eastAsia="Times New Roman" w:hAnsi="Times New Roman" w:cs="Times New Roman"/>
          <w:color w:val="000000"/>
          <w:sz w:val="16"/>
          <w:szCs w:val="16"/>
          <w:lang w:val="en-US" w:eastAsia="ru-RU"/>
        </w:rPr>
        <w:t>60</w:t>
      </w:r>
      <w:bookmarkStart w:id="3" w:name="_Hlk181479388"/>
      <w:r w:rsidRPr="00716C8A">
        <w:rPr>
          <w:rFonts w:ascii="Times New Roman" w:eastAsia="Times New Roman" w:hAnsi="Times New Roman" w:cs="Times New Roman"/>
          <w:color w:val="000000"/>
          <w:sz w:val="16"/>
          <w:szCs w:val="16"/>
          <w:lang w:val="en-US" w:eastAsia="ru-RU"/>
        </w:rPr>
        <w:t xml:space="preserve">  ℃</w:t>
      </w:r>
      <w:proofErr w:type="gramEnd"/>
      <w:r w:rsidRPr="00716C8A">
        <w:rPr>
          <w:rFonts w:ascii="Times New Roman" w:eastAsia="Times New Roman" w:hAnsi="Times New Roman" w:cs="Times New Roman"/>
          <w:color w:val="000000"/>
          <w:sz w:val="16"/>
          <w:szCs w:val="16"/>
          <w:vertAlign w:val="superscript"/>
          <w:lang w:val="en-US" w:eastAsia="ru-RU"/>
        </w:rPr>
        <w:t xml:space="preserve"> </w:t>
      </w:r>
      <w:bookmarkEnd w:id="3"/>
      <w:r w:rsidRPr="00716C8A">
        <w:rPr>
          <w:rFonts w:ascii="Times New Roman" w:eastAsia="Times New Roman" w:hAnsi="Times New Roman" w:cs="Times New Roman"/>
          <w:color w:val="000000"/>
          <w:sz w:val="16"/>
          <w:szCs w:val="16"/>
          <w:lang w:val="en-US" w:eastAsia="ru-RU"/>
        </w:rPr>
        <w:t xml:space="preserve">; </w:t>
      </w:r>
      <w:r w:rsidRPr="00716C8A">
        <w:rPr>
          <w:rFonts w:ascii="Times New Roman" w:eastAsia="Times New Roman" w:hAnsi="Times New Roman" w:cs="Times New Roman"/>
          <w:b/>
          <w:i/>
          <w:color w:val="000000"/>
          <w:sz w:val="16"/>
          <w:szCs w:val="16"/>
          <w:vertAlign w:val="superscript"/>
          <w:lang w:val="en-US" w:eastAsia="ru-RU"/>
        </w:rPr>
        <w:t>h</w:t>
      </w:r>
      <w:r w:rsidRPr="00716C8A">
        <w:rPr>
          <w:rFonts w:ascii="Times New Roman" w:eastAsia="Times New Roman" w:hAnsi="Times New Roman" w:cs="Times New Roman"/>
          <w:color w:val="000000"/>
          <w:sz w:val="16"/>
          <w:szCs w:val="16"/>
          <w:lang w:val="en-US" w:eastAsia="ru-RU"/>
        </w:rPr>
        <w:t xml:space="preserve"> 5 </w:t>
      </w:r>
      <w:r w:rsidRPr="00716C8A">
        <w:rPr>
          <w:rFonts w:ascii="Times New Roman" w:eastAsia="Times New Roman" w:hAnsi="Times New Roman" w:cs="Times New Roman"/>
          <w:color w:val="000000"/>
          <w:sz w:val="16"/>
          <w:szCs w:val="16"/>
          <w:lang w:eastAsia="ru-RU"/>
        </w:rPr>
        <w:t>μ</w:t>
      </w:r>
      <w:r w:rsidRPr="00716C8A">
        <w:rPr>
          <w:rFonts w:ascii="Times New Roman" w:eastAsia="Times New Roman" w:hAnsi="Times New Roman" w:cs="Times New Roman"/>
          <w:color w:val="000000"/>
          <w:sz w:val="16"/>
          <w:szCs w:val="16"/>
          <w:lang w:val="en-US" w:eastAsia="ru-RU"/>
        </w:rPr>
        <w:t>mol of the precatalyst.</w:t>
      </w:r>
    </w:p>
    <w:p w14:paraId="509130F1" w14:textId="77777777" w:rsidR="0030773A" w:rsidRPr="00716C8A" w:rsidRDefault="0030773A" w:rsidP="0030773A">
      <w:pPr>
        <w:spacing w:after="0"/>
        <w:jc w:val="both"/>
        <w:rPr>
          <w:rFonts w:ascii="Times New Roman" w:hAnsi="Times New Roman" w:cs="Times New Roman"/>
          <w:sz w:val="18"/>
          <w:szCs w:val="18"/>
          <w:lang w:val="en-US"/>
        </w:rPr>
      </w:pPr>
    </w:p>
    <w:p w14:paraId="6D0F7985" w14:textId="77777777" w:rsidR="0030773A" w:rsidRPr="00716C8A" w:rsidRDefault="0030773A" w:rsidP="0030773A">
      <w:pPr>
        <w:spacing w:after="0"/>
        <w:jc w:val="both"/>
        <w:rPr>
          <w:rFonts w:ascii="Times New Roman" w:hAnsi="Times New Roman" w:cs="Times New Roman"/>
          <w:sz w:val="18"/>
          <w:szCs w:val="18"/>
          <w:lang w:val="en-US"/>
        </w:rPr>
        <w:sectPr w:rsidR="0030773A" w:rsidRPr="00716C8A" w:rsidSect="0030773A">
          <w:endnotePr>
            <w:numFmt w:val="chicago"/>
          </w:endnotePr>
          <w:type w:val="continuous"/>
          <w:pgSz w:w="11906" w:h="16838" w:code="9"/>
          <w:pgMar w:top="1134" w:right="1134" w:bottom="1134" w:left="1134" w:header="709" w:footer="709" w:gutter="0"/>
          <w:cols w:space="282"/>
          <w:docGrid w:linePitch="360"/>
        </w:sectPr>
      </w:pPr>
    </w:p>
    <w:p w14:paraId="05B5D9B5" w14:textId="77777777" w:rsidR="00E77EC3" w:rsidRPr="00716C8A" w:rsidRDefault="00347A99" w:rsidP="0030773A">
      <w:pPr>
        <w:spacing w:after="0"/>
        <w:jc w:val="both"/>
        <w:rPr>
          <w:rFonts w:ascii="Times New Roman" w:hAnsi="Times New Roman" w:cs="Times New Roman"/>
          <w:sz w:val="18"/>
          <w:szCs w:val="18"/>
          <w:lang w:val="en-US"/>
        </w:rPr>
      </w:pPr>
      <w:r w:rsidRPr="00716C8A">
        <w:rPr>
          <w:rFonts w:ascii="Times New Roman" w:hAnsi="Times New Roman" w:cs="Times New Roman"/>
          <w:sz w:val="18"/>
          <w:szCs w:val="18"/>
          <w:lang w:val="en-US"/>
        </w:rPr>
        <w:t>of a</w:t>
      </w:r>
      <w:r w:rsidR="00E77EC3" w:rsidRPr="00716C8A">
        <w:rPr>
          <w:rFonts w:ascii="Times New Roman" w:hAnsi="Times New Roman" w:cs="Times New Roman"/>
          <w:sz w:val="18"/>
          <w:szCs w:val="18"/>
          <w:lang w:val="en-US"/>
        </w:rPr>
        <w:t xml:space="preserve"> more highly branched polymer with a lower melting temperature. These observations </w:t>
      </w:r>
      <w:r w:rsidRPr="00716C8A">
        <w:rPr>
          <w:rFonts w:ascii="Times New Roman" w:hAnsi="Times New Roman" w:cs="Times New Roman"/>
          <w:sz w:val="18"/>
          <w:szCs w:val="18"/>
          <w:lang w:val="en-US"/>
        </w:rPr>
        <w:t xml:space="preserve">are in good agreement </w:t>
      </w:r>
      <w:r w:rsidR="00E77EC3" w:rsidRPr="00716C8A">
        <w:rPr>
          <w:rFonts w:ascii="Times New Roman" w:hAnsi="Times New Roman" w:cs="Times New Roman"/>
          <w:sz w:val="18"/>
          <w:szCs w:val="18"/>
          <w:lang w:val="en-US"/>
        </w:rPr>
        <w:t xml:space="preserve">with </w:t>
      </w:r>
      <w:r w:rsidRPr="00716C8A">
        <w:rPr>
          <w:rFonts w:ascii="Times New Roman" w:hAnsi="Times New Roman" w:cs="Times New Roman"/>
          <w:sz w:val="18"/>
          <w:szCs w:val="18"/>
          <w:lang w:val="en-US"/>
        </w:rPr>
        <w:t xml:space="preserve">the </w:t>
      </w:r>
      <w:r w:rsidR="00E77EC3" w:rsidRPr="00716C8A">
        <w:rPr>
          <w:rFonts w:ascii="Times New Roman" w:hAnsi="Times New Roman" w:cs="Times New Roman"/>
          <w:sz w:val="18"/>
          <w:szCs w:val="18"/>
          <w:lang w:val="en-US"/>
        </w:rPr>
        <w:t xml:space="preserve">previous data obtained for these complexes activated by </w:t>
      </w:r>
      <w:proofErr w:type="spellStart"/>
      <w:r w:rsidR="00E77EC3" w:rsidRPr="00716C8A">
        <w:rPr>
          <w:rFonts w:ascii="Times New Roman" w:hAnsi="Times New Roman" w:cs="Times New Roman"/>
          <w:sz w:val="18"/>
          <w:szCs w:val="18"/>
          <w:lang w:val="en-US"/>
        </w:rPr>
        <w:t>methylaluminoxane</w:t>
      </w:r>
      <w:proofErr w:type="spellEnd"/>
      <w:r w:rsidR="00E77EC3" w:rsidRPr="00716C8A">
        <w:rPr>
          <w:rFonts w:ascii="Times New Roman" w:hAnsi="Times New Roman" w:cs="Times New Roman"/>
          <w:sz w:val="18"/>
          <w:szCs w:val="18"/>
          <w:lang w:val="en-US"/>
        </w:rPr>
        <w:t xml:space="preserve"> (MAO) in toluene </w:t>
      </w:r>
      <w:r w:rsidRPr="00716C8A">
        <w:rPr>
          <w:rFonts w:ascii="Times New Roman" w:hAnsi="Times New Roman" w:cs="Times New Roman"/>
          <w:sz w:val="18"/>
          <w:szCs w:val="18"/>
          <w:lang w:val="en-US"/>
        </w:rPr>
        <w:t>[4].</w:t>
      </w:r>
    </w:p>
    <w:p w14:paraId="2C6DA7EE" w14:textId="77777777" w:rsidR="00102870" w:rsidRPr="00716C8A" w:rsidRDefault="00102870" w:rsidP="00102870">
      <w:pPr>
        <w:pStyle w:val="MainText"/>
        <w:ind w:firstLine="284"/>
      </w:pPr>
      <w:r w:rsidRPr="00716C8A">
        <w:t xml:space="preserve">To study the effect of </w:t>
      </w:r>
      <w:r w:rsidR="00347A99" w:rsidRPr="00716C8A">
        <w:t>the diethylzinc amount</w:t>
      </w:r>
      <w:r w:rsidRPr="00716C8A">
        <w:t xml:space="preserve"> on the properties of the catalytic system, the most sterically hindered comple</w:t>
      </w:r>
      <w:r w:rsidR="00347A99" w:rsidRPr="00716C8A">
        <w:t>x—</w:t>
      </w:r>
      <w:r w:rsidRPr="00716C8A">
        <w:t>comp</w:t>
      </w:r>
      <w:r w:rsidR="00347A99" w:rsidRPr="00716C8A">
        <w:t xml:space="preserve">ound </w:t>
      </w:r>
      <w:r w:rsidRPr="00716C8A">
        <w:rPr>
          <w:b/>
          <w:bCs/>
        </w:rPr>
        <w:t>1</w:t>
      </w:r>
      <w:r w:rsidR="00347A99" w:rsidRPr="00716C8A">
        <w:rPr>
          <w:b/>
          <w:bCs/>
        </w:rPr>
        <w:t>—</w:t>
      </w:r>
      <w:r w:rsidRPr="00716C8A">
        <w:t xml:space="preserve">was selected. </w:t>
      </w:r>
      <w:r w:rsidR="001C1ED1" w:rsidRPr="00716C8A">
        <w:t>The results of r</w:t>
      </w:r>
      <w:r w:rsidRPr="00716C8A">
        <w:t>uns 3, 4, 6, and 7, using 75, 150, 300, and 600 equiv</w:t>
      </w:r>
      <w:r w:rsidR="00347A99" w:rsidRPr="00716C8A">
        <w:t>.</w:t>
      </w:r>
      <w:r w:rsidRPr="00716C8A">
        <w:t xml:space="preserve"> of DEZ </w:t>
      </w:r>
      <w:r w:rsidR="001C1ED1" w:rsidRPr="00716C8A">
        <w:t>show</w:t>
      </w:r>
      <w:r w:rsidRPr="00716C8A">
        <w:t xml:space="preserve"> a nonlinear relationship between the </w:t>
      </w:r>
      <w:r w:rsidR="00347A99" w:rsidRPr="00716C8A">
        <w:t xml:space="preserve">properties of the </w:t>
      </w:r>
      <w:r w:rsidRPr="00716C8A">
        <w:t>catalytic system and the amount of diethylzinc. The maximum activity was observed at 75 equiv</w:t>
      </w:r>
      <w:r w:rsidR="00347A99" w:rsidRPr="00716C8A">
        <w:t>.</w:t>
      </w:r>
      <w:r w:rsidRPr="00716C8A">
        <w:t xml:space="preserve"> of DEZ; at 150 equiv</w:t>
      </w:r>
      <w:r w:rsidR="00347A99" w:rsidRPr="00716C8A">
        <w:t>.</w:t>
      </w:r>
      <w:r w:rsidRPr="00716C8A">
        <w:t>, it dropped sharply and then gradually increased with further additions. The number of branches also showed a dip at 150 equiv</w:t>
      </w:r>
      <w:r w:rsidR="00347A99" w:rsidRPr="00716C8A">
        <w:t>.</w:t>
      </w:r>
      <w:r w:rsidRPr="00716C8A">
        <w:t>, but despite this, an increase of 85</w:t>
      </w:r>
      <w:r w:rsidR="00347A99" w:rsidRPr="00716C8A">
        <w:t>%</w:t>
      </w:r>
      <w:r w:rsidRPr="00716C8A">
        <w:t xml:space="preserve"> in </w:t>
      </w:r>
      <w:r w:rsidR="001C1ED1" w:rsidRPr="00716C8A">
        <w:t xml:space="preserve">the </w:t>
      </w:r>
      <w:r w:rsidRPr="00716C8A">
        <w:t xml:space="preserve">branching </w:t>
      </w:r>
      <w:r w:rsidR="001C1ED1" w:rsidRPr="00716C8A">
        <w:t xml:space="preserve">density </w:t>
      </w:r>
      <w:r w:rsidRPr="00716C8A">
        <w:t>was achieved relative to the system without diethylzinc.</w:t>
      </w:r>
      <w:r w:rsidR="00347A99" w:rsidRPr="00716C8A">
        <w:t xml:space="preserve"> The t</w:t>
      </w:r>
      <w:r w:rsidRPr="00716C8A">
        <w:t xml:space="preserve">ests with </w:t>
      </w:r>
      <w:proofErr w:type="spellStart"/>
      <w:r w:rsidRPr="00716C8A">
        <w:t>precatalysts</w:t>
      </w:r>
      <w:proofErr w:type="spellEnd"/>
      <w:r w:rsidRPr="00716C8A">
        <w:t xml:space="preserve"> </w:t>
      </w:r>
      <w:r w:rsidRPr="00716C8A">
        <w:rPr>
          <w:b/>
          <w:bCs/>
        </w:rPr>
        <w:t>2</w:t>
      </w:r>
      <w:r w:rsidRPr="00716C8A">
        <w:t xml:space="preserve"> and </w:t>
      </w:r>
      <w:r w:rsidRPr="00716C8A">
        <w:rPr>
          <w:b/>
          <w:bCs/>
        </w:rPr>
        <w:t>3</w:t>
      </w:r>
      <w:r w:rsidRPr="00716C8A">
        <w:t xml:space="preserve"> showed that even with the least favorable diethylzinc amount</w:t>
      </w:r>
      <w:r w:rsidR="00347A99" w:rsidRPr="00716C8A">
        <w:t xml:space="preserve"> it </w:t>
      </w:r>
      <w:r w:rsidR="001C1ED1" w:rsidRPr="00716C8A">
        <w:t>i</w:t>
      </w:r>
      <w:r w:rsidR="00347A99" w:rsidRPr="00716C8A">
        <w:t xml:space="preserve">s possible to </w:t>
      </w:r>
      <w:r w:rsidR="001C1ED1" w:rsidRPr="00716C8A">
        <w:t>reach</w:t>
      </w:r>
      <w:r w:rsidR="00347A99" w:rsidRPr="00716C8A">
        <w:t xml:space="preserve"> a 15–</w:t>
      </w:r>
      <w:r w:rsidRPr="00716C8A">
        <w:t>20</w:t>
      </w:r>
      <w:r w:rsidR="00347A99" w:rsidRPr="00716C8A">
        <w:t>%</w:t>
      </w:r>
      <w:r w:rsidRPr="00716C8A">
        <w:t xml:space="preserve"> increase in </w:t>
      </w:r>
      <w:r w:rsidR="00347A99" w:rsidRPr="00716C8A">
        <w:t xml:space="preserve">the </w:t>
      </w:r>
      <w:r w:rsidRPr="00716C8A">
        <w:t>branching</w:t>
      </w:r>
      <w:r w:rsidR="00347A99" w:rsidRPr="00716C8A">
        <w:t xml:space="preserve"> degree of </w:t>
      </w:r>
      <w:r w:rsidRPr="00716C8A">
        <w:t>the resulting polyethylene and a 20</w:t>
      </w:r>
      <w:r w:rsidR="00347A99" w:rsidRPr="00716C8A">
        <w:t>%</w:t>
      </w:r>
      <w:r w:rsidRPr="00716C8A">
        <w:t xml:space="preserve"> increase in </w:t>
      </w:r>
      <w:r w:rsidR="00347A99" w:rsidRPr="00716C8A">
        <w:t>the catalytic activity.</w:t>
      </w:r>
    </w:p>
    <w:p w14:paraId="05D031A0" w14:textId="77777777" w:rsidR="00102870" w:rsidRPr="00716C8A" w:rsidRDefault="00102870" w:rsidP="00102870">
      <w:pPr>
        <w:pStyle w:val="MainText"/>
        <w:ind w:firstLine="284"/>
      </w:pPr>
      <w:r w:rsidRPr="00716C8A">
        <w:t>It is important</w:t>
      </w:r>
      <w:r w:rsidR="00347A99" w:rsidRPr="00716C8A">
        <w:t xml:space="preserve"> to note that an</w:t>
      </w:r>
      <w:r w:rsidRPr="00716C8A">
        <w:t xml:space="preserve"> increase in </w:t>
      </w:r>
      <w:r w:rsidR="00347A99" w:rsidRPr="00716C8A">
        <w:t xml:space="preserve">the </w:t>
      </w:r>
      <w:r w:rsidRPr="00716C8A">
        <w:t xml:space="preserve">branching </w:t>
      </w:r>
      <w:r w:rsidR="00347A99" w:rsidRPr="00716C8A">
        <w:t xml:space="preserve">degree </w:t>
      </w:r>
      <w:r w:rsidRPr="00716C8A">
        <w:t>due to</w:t>
      </w:r>
      <w:r w:rsidR="00347A99" w:rsidRPr="00716C8A">
        <w:t xml:space="preserve"> the addition of diethylzinc to the </w:t>
      </w:r>
      <w:r w:rsidRPr="00716C8A">
        <w:t xml:space="preserve">catalytic system based on complex </w:t>
      </w:r>
      <w:r w:rsidRPr="00716C8A">
        <w:rPr>
          <w:b/>
          <w:bCs/>
        </w:rPr>
        <w:t>1</w:t>
      </w:r>
      <w:r w:rsidRPr="00716C8A">
        <w:t xml:space="preserve"> has virtually no effect on the crystallinity (13</w:t>
      </w:r>
      <w:r w:rsidR="00347A99" w:rsidRPr="00716C8A">
        <w:t>–</w:t>
      </w:r>
      <w:r w:rsidRPr="00716C8A">
        <w:t>17</w:t>
      </w:r>
      <w:r w:rsidR="00347A99" w:rsidRPr="00716C8A">
        <w:t>%</w:t>
      </w:r>
      <w:r w:rsidRPr="00716C8A">
        <w:t>) and melting temperature (72</w:t>
      </w:r>
      <w:r w:rsidR="00347A99" w:rsidRPr="00716C8A">
        <w:t>–</w:t>
      </w:r>
      <w:r w:rsidRPr="00716C8A">
        <w:t>74</w:t>
      </w:r>
      <w:r w:rsidR="00347A99" w:rsidRPr="00716C8A">
        <w:t xml:space="preserve"> °C)</w:t>
      </w:r>
      <w:r w:rsidRPr="00716C8A">
        <w:t xml:space="preserve"> of the resulting PEs. This result cannot be achieved by using temperature adjustments to increase </w:t>
      </w:r>
      <w:r w:rsidR="001C1ED1" w:rsidRPr="00716C8A">
        <w:t xml:space="preserve">the </w:t>
      </w:r>
      <w:r w:rsidRPr="00716C8A">
        <w:t xml:space="preserve">branching </w:t>
      </w:r>
      <w:r w:rsidR="001C1ED1" w:rsidRPr="00716C8A">
        <w:t xml:space="preserve">density </w:t>
      </w:r>
      <w:r w:rsidRPr="00716C8A">
        <w:t xml:space="preserve">or by employing less </w:t>
      </w:r>
      <w:r w:rsidR="00347A99" w:rsidRPr="00716C8A">
        <w:t>sterically hindered catalysts.</w:t>
      </w:r>
    </w:p>
    <w:p w14:paraId="1F0C8AA3" w14:textId="69B0A192" w:rsidR="001C1ED1" w:rsidRPr="00716C8A" w:rsidRDefault="001C1ED1" w:rsidP="00102870">
      <w:pPr>
        <w:pStyle w:val="MainText"/>
        <w:ind w:firstLine="284"/>
      </w:pPr>
      <w:r w:rsidRPr="00716C8A">
        <w:t xml:space="preserve">We believe that a strong effect of diethylzinc on the degree of branching is likely due to the possibility of reversible ligand exchange between the active nickel center and diethylzinc, resulting in the formation of an </w:t>
      </w:r>
      <w:bookmarkStart w:id="4" w:name="_Hlk181483642"/>
      <w:r w:rsidRPr="00716C8A">
        <w:t>α-</w:t>
      </w:r>
      <w:proofErr w:type="spellStart"/>
      <w:r w:rsidRPr="00716C8A">
        <w:t>diimine</w:t>
      </w:r>
      <w:bookmarkEnd w:id="4"/>
      <w:proofErr w:type="spellEnd"/>
      <w:r w:rsidRPr="00716C8A">
        <w:t xml:space="preserve"> zinc complex (Scheme 1), described in the literature [8]. This process exposes the nickel site, enabling it to perform chain walking much more actively. This effect is most pronounced with highly sterically hindered ligands, where a significant steric tension exists </w:t>
      </w:r>
      <w:r w:rsidR="00F321A2" w:rsidRPr="00716C8A">
        <w:t>bet-</w:t>
      </w:r>
      <w:r w:rsidR="00F321A2" w:rsidRPr="00716C8A">
        <w:br/>
      </w:r>
    </w:p>
    <w:bookmarkStart w:id="5" w:name="_Hlk181564778"/>
    <w:p w14:paraId="3F2F5BF1" w14:textId="77777777" w:rsidR="00431C89" w:rsidRPr="00716C8A" w:rsidRDefault="00102870" w:rsidP="00F321A2">
      <w:pPr>
        <w:spacing w:after="120"/>
        <w:jc w:val="center"/>
        <w:rPr>
          <w:lang w:val="en-US"/>
        </w:rPr>
      </w:pPr>
      <w:r w:rsidRPr="00716C8A">
        <w:object w:dxaOrig="6808" w:dyaOrig="1980" w14:anchorId="1F6847E5">
          <v:shape id="_x0000_i1028" type="#_x0000_t75" style="width:190.2pt;height:56.6pt" o:ole="">
            <v:imagedata r:id="rId17" o:title=""/>
          </v:shape>
          <o:OLEObject Type="Embed" ProgID="ChemDraw.Document.6.0" ShapeID="_x0000_i1028" DrawAspect="Content" ObjectID="_1815685422" r:id="rId18"/>
        </w:object>
      </w:r>
      <w:bookmarkStart w:id="6" w:name="_Hlk181566940"/>
      <w:bookmarkEnd w:id="5"/>
    </w:p>
    <w:p w14:paraId="16E70665" w14:textId="77777777" w:rsidR="008E062B" w:rsidRPr="00716C8A" w:rsidRDefault="00102870" w:rsidP="001C1ED1">
      <w:pPr>
        <w:spacing w:before="120" w:after="0"/>
        <w:jc w:val="both"/>
        <w:rPr>
          <w:rStyle w:val="Captions0"/>
          <w:b w:val="0"/>
          <w:sz w:val="16"/>
          <w:szCs w:val="16"/>
        </w:rPr>
      </w:pPr>
      <w:r w:rsidRPr="00716C8A">
        <w:rPr>
          <w:rStyle w:val="Captions0"/>
          <w:sz w:val="16"/>
          <w:szCs w:val="16"/>
        </w:rPr>
        <w:t xml:space="preserve">Scheme </w:t>
      </w:r>
      <w:r w:rsidR="001C1ED1" w:rsidRPr="00716C8A">
        <w:rPr>
          <w:rStyle w:val="Captions0"/>
          <w:sz w:val="16"/>
          <w:szCs w:val="16"/>
        </w:rPr>
        <w:t>1</w:t>
      </w:r>
      <w:r w:rsidRPr="00716C8A">
        <w:rPr>
          <w:rStyle w:val="Captions0"/>
          <w:sz w:val="16"/>
          <w:szCs w:val="16"/>
        </w:rPr>
        <w:t xml:space="preserve">. </w:t>
      </w:r>
      <w:r w:rsidRPr="00716C8A">
        <w:rPr>
          <w:rStyle w:val="Captions0"/>
          <w:b w:val="0"/>
          <w:bCs/>
          <w:sz w:val="16"/>
          <w:szCs w:val="16"/>
        </w:rPr>
        <w:t xml:space="preserve">Two possible pathways of the interaction </w:t>
      </w:r>
      <w:r w:rsidR="00347A99" w:rsidRPr="00716C8A">
        <w:rPr>
          <w:rStyle w:val="Captions0"/>
          <w:b w:val="0"/>
          <w:bCs/>
          <w:sz w:val="16"/>
          <w:szCs w:val="16"/>
        </w:rPr>
        <w:t xml:space="preserve">of </w:t>
      </w:r>
      <w:r w:rsidRPr="00716C8A">
        <w:rPr>
          <w:rStyle w:val="Captions0"/>
          <w:b w:val="0"/>
          <w:bCs/>
          <w:sz w:val="16"/>
          <w:szCs w:val="16"/>
        </w:rPr>
        <w:t>ZnEt</w:t>
      </w:r>
      <w:r w:rsidRPr="00716C8A">
        <w:rPr>
          <w:rStyle w:val="Captions0"/>
          <w:b w:val="0"/>
          <w:bCs/>
          <w:sz w:val="16"/>
          <w:szCs w:val="16"/>
          <w:vertAlign w:val="subscript"/>
        </w:rPr>
        <w:t>2</w:t>
      </w:r>
      <w:r w:rsidRPr="00716C8A">
        <w:rPr>
          <w:rStyle w:val="Captions0"/>
          <w:b w:val="0"/>
          <w:sz w:val="16"/>
          <w:szCs w:val="16"/>
        </w:rPr>
        <w:t xml:space="preserve"> with </w:t>
      </w:r>
      <w:r w:rsidR="00347A99" w:rsidRPr="00716C8A">
        <w:rPr>
          <w:rStyle w:val="Captions0"/>
          <w:b w:val="0"/>
          <w:sz w:val="16"/>
          <w:szCs w:val="16"/>
        </w:rPr>
        <w:t xml:space="preserve">the </w:t>
      </w:r>
      <w:r w:rsidRPr="00716C8A">
        <w:rPr>
          <w:rStyle w:val="Captions0"/>
          <w:b w:val="0"/>
          <w:sz w:val="16"/>
          <w:szCs w:val="16"/>
        </w:rPr>
        <w:t xml:space="preserve">nickel </w:t>
      </w:r>
      <w:bookmarkEnd w:id="6"/>
      <w:r w:rsidRPr="00716C8A">
        <w:rPr>
          <w:rStyle w:val="Captions0"/>
          <w:b w:val="0"/>
          <w:sz w:val="16"/>
          <w:szCs w:val="16"/>
        </w:rPr>
        <w:t>catalytic site.</w:t>
      </w:r>
    </w:p>
    <w:p w14:paraId="37ECFC00" w14:textId="3616CA9C" w:rsidR="00F243CF" w:rsidRPr="00716C8A" w:rsidRDefault="00F243CF" w:rsidP="00F243CF">
      <w:pPr>
        <w:spacing w:after="0"/>
        <w:jc w:val="both"/>
        <w:rPr>
          <w:rFonts w:ascii="Times New Roman" w:hAnsi="Times New Roman" w:cs="Times New Roman"/>
          <w:sz w:val="18"/>
          <w:szCs w:val="18"/>
          <w:lang w:val="en-US"/>
        </w:rPr>
      </w:pPr>
      <w:r w:rsidRPr="00716C8A">
        <w:rPr>
          <w:rFonts w:ascii="Times New Roman" w:hAnsi="Times New Roman" w:cs="Times New Roman"/>
          <w:sz w:val="18"/>
          <w:szCs w:val="18"/>
          <w:lang w:val="en-US"/>
        </w:rPr>
        <w:t>ween the ligand and the polymer chain on the metal, shifting the equilibrium towards the zinc complex. Furthermore, such a pronounced increase in the branching density was not observed by other researchers [4] presumably since they used less polar toluene as a solvent for the ethylene polymerization, in which the naked nickel-polymer cation is not enough stable.</w:t>
      </w:r>
    </w:p>
    <w:p w14:paraId="198C6564" w14:textId="77777777" w:rsidR="00F376FB" w:rsidRPr="00716C8A" w:rsidRDefault="00875175" w:rsidP="004A0176">
      <w:pPr>
        <w:spacing w:before="240" w:after="240"/>
        <w:rPr>
          <w:rFonts w:ascii="Arial" w:hAnsi="Arial" w:cs="Arial"/>
          <w:b/>
          <w:lang w:val="en-US"/>
        </w:rPr>
      </w:pPr>
      <w:r w:rsidRPr="00716C8A">
        <w:rPr>
          <w:rFonts w:ascii="Arial" w:hAnsi="Arial" w:cs="Arial"/>
          <w:b/>
          <w:lang w:val="en-US"/>
        </w:rPr>
        <w:t>Conclusions</w:t>
      </w:r>
    </w:p>
    <w:p w14:paraId="3A1A7B8E" w14:textId="77777777" w:rsidR="00F94740" w:rsidRPr="00716C8A" w:rsidRDefault="00D03B20" w:rsidP="00A231BA">
      <w:pPr>
        <w:spacing w:after="0"/>
        <w:ind w:firstLine="284"/>
        <w:jc w:val="both"/>
        <w:rPr>
          <w:rFonts w:ascii="Times New Roman" w:hAnsi="Times New Roman" w:cs="Times New Roman"/>
          <w:bCs/>
          <w:sz w:val="18"/>
          <w:szCs w:val="18"/>
          <w:lang w:val="en-US"/>
        </w:rPr>
      </w:pPr>
      <w:r w:rsidRPr="00716C8A">
        <w:rPr>
          <w:rFonts w:ascii="Times New Roman" w:hAnsi="Times New Roman" w:cs="Times New Roman"/>
          <w:sz w:val="18"/>
          <w:szCs w:val="18"/>
          <w:lang w:val="en-US"/>
        </w:rPr>
        <w:t xml:space="preserve">The addition of diethylzinc to the ethylene polymerization reaction using </w:t>
      </w:r>
      <w:r w:rsidR="008A6716" w:rsidRPr="00716C8A">
        <w:rPr>
          <w:rFonts w:ascii="Times New Roman" w:hAnsi="Times New Roman" w:cs="Times New Roman"/>
          <w:sz w:val="18"/>
          <w:szCs w:val="18"/>
          <w:lang w:val="en-US"/>
        </w:rPr>
        <w:t xml:space="preserve">the </w:t>
      </w:r>
      <w:r w:rsidRPr="00716C8A">
        <w:rPr>
          <w:rFonts w:ascii="Times New Roman" w:hAnsi="Times New Roman" w:cs="Times New Roman"/>
          <w:sz w:val="18"/>
          <w:szCs w:val="18"/>
          <w:lang w:val="en-US"/>
        </w:rPr>
        <w:t xml:space="preserve">catalytic systems based on </w:t>
      </w:r>
      <w:r w:rsidR="008A6716" w:rsidRPr="00716C8A">
        <w:rPr>
          <w:rFonts w:ascii="Times New Roman" w:hAnsi="Times New Roman" w:cs="Times New Roman"/>
          <w:sz w:val="18"/>
          <w:szCs w:val="18"/>
          <w:lang w:val="en-US"/>
        </w:rPr>
        <w:t>α-</w:t>
      </w:r>
      <w:proofErr w:type="spellStart"/>
      <w:r w:rsidRPr="00716C8A">
        <w:rPr>
          <w:rFonts w:ascii="Times New Roman" w:hAnsi="Times New Roman" w:cs="Times New Roman"/>
          <w:sz w:val="18"/>
          <w:szCs w:val="18"/>
          <w:lang w:val="en-US"/>
        </w:rPr>
        <w:t>diimine</w:t>
      </w:r>
      <w:proofErr w:type="spellEnd"/>
      <w:r w:rsidRPr="00716C8A">
        <w:rPr>
          <w:rFonts w:ascii="Times New Roman" w:hAnsi="Times New Roman" w:cs="Times New Roman"/>
          <w:sz w:val="18"/>
          <w:szCs w:val="18"/>
          <w:lang w:val="en-US"/>
        </w:rPr>
        <w:t xml:space="preserve"> nickel complexes activated by DEAC in a polar chlorobenzene medium can significantly increase the branching density of the resulting PEs by up to 3.4 times for complex </w:t>
      </w:r>
      <w:r w:rsidRPr="00716C8A">
        <w:rPr>
          <w:rFonts w:ascii="Times New Roman" w:hAnsi="Times New Roman" w:cs="Times New Roman"/>
          <w:b/>
          <w:bCs/>
          <w:sz w:val="18"/>
          <w:szCs w:val="18"/>
          <w:lang w:val="en-US"/>
        </w:rPr>
        <w:t>1</w:t>
      </w:r>
      <w:r w:rsidRPr="00716C8A">
        <w:rPr>
          <w:rFonts w:ascii="Times New Roman" w:hAnsi="Times New Roman" w:cs="Times New Roman"/>
          <w:sz w:val="18"/>
          <w:szCs w:val="18"/>
          <w:lang w:val="en-US"/>
        </w:rPr>
        <w:t>, with an activity increase of up to 30</w:t>
      </w:r>
      <w:r w:rsidR="008A6716" w:rsidRPr="00716C8A">
        <w:rPr>
          <w:rFonts w:ascii="Times New Roman" w:hAnsi="Times New Roman" w:cs="Times New Roman"/>
          <w:sz w:val="18"/>
          <w:szCs w:val="18"/>
          <w:lang w:val="en-US"/>
        </w:rPr>
        <w:t>%</w:t>
      </w:r>
      <w:r w:rsidRPr="00716C8A">
        <w:rPr>
          <w:rFonts w:ascii="Times New Roman" w:hAnsi="Times New Roman" w:cs="Times New Roman"/>
          <w:sz w:val="18"/>
          <w:szCs w:val="18"/>
          <w:lang w:val="en-US"/>
        </w:rPr>
        <w:t xml:space="preserve"> for the same complex.</w:t>
      </w:r>
    </w:p>
    <w:p w14:paraId="2502C257" w14:textId="77777777" w:rsidR="00F94740" w:rsidRPr="00716C8A" w:rsidRDefault="00F94740" w:rsidP="00F94740">
      <w:pPr>
        <w:pStyle w:val="Header1"/>
        <w:spacing w:before="240" w:after="240"/>
      </w:pPr>
      <w:r w:rsidRPr="00716C8A">
        <w:t>Acknowledgements</w:t>
      </w:r>
    </w:p>
    <w:p w14:paraId="75E64F94" w14:textId="77777777" w:rsidR="00F94740" w:rsidRPr="00716C8A" w:rsidRDefault="008A6716" w:rsidP="00F94740">
      <w:pPr>
        <w:pStyle w:val="MainText"/>
        <w:ind w:firstLine="284"/>
      </w:pPr>
      <w:r w:rsidRPr="00716C8A">
        <w:t>This work was supported by</w:t>
      </w:r>
      <w:r w:rsidR="00D22E96" w:rsidRPr="00716C8A">
        <w:t xml:space="preserve"> the Russian Science Foundation (</w:t>
      </w:r>
      <w:r w:rsidRPr="00716C8A">
        <w:t xml:space="preserve">project no. </w:t>
      </w:r>
      <w:r w:rsidR="00D22E96" w:rsidRPr="00716C8A">
        <w:t xml:space="preserve"> 23-23-00308). </w:t>
      </w:r>
      <w:r w:rsidRPr="00716C8A">
        <w:t xml:space="preserve">The </w:t>
      </w:r>
      <w:r w:rsidR="00D22E96" w:rsidRPr="00716C8A">
        <w:t xml:space="preserve">NMR data were collected using the equipment of the Center for </w:t>
      </w:r>
      <w:r w:rsidRPr="00716C8A">
        <w:t>Collective Use of IN</w:t>
      </w:r>
      <w:r w:rsidR="00D22E96" w:rsidRPr="00716C8A">
        <w:t>EOS RAS.</w:t>
      </w:r>
    </w:p>
    <w:p w14:paraId="1F87E803" w14:textId="77777777" w:rsidR="00F86864" w:rsidRPr="00716C8A" w:rsidRDefault="00F86864" w:rsidP="00161894">
      <w:pPr>
        <w:pStyle w:val="Header1"/>
        <w:spacing w:before="240" w:after="240"/>
      </w:pPr>
      <w:r w:rsidRPr="00716C8A">
        <w:t xml:space="preserve">Corresponding </w:t>
      </w:r>
      <w:r w:rsidR="005C7369" w:rsidRPr="00716C8A">
        <w:t>a</w:t>
      </w:r>
      <w:r w:rsidRPr="00716C8A">
        <w:t>uthor</w:t>
      </w:r>
    </w:p>
    <w:p w14:paraId="3BDC8FAF" w14:textId="6D0E18B5" w:rsidR="00F86864" w:rsidRPr="00716C8A" w:rsidRDefault="00F86864" w:rsidP="00071D12">
      <w:pPr>
        <w:pStyle w:val="MainText"/>
        <w:ind w:firstLine="284"/>
        <w:rPr>
          <w:rFonts w:ascii="AdvOTce3d9a73" w:hAnsi="AdvOTce3d9a73" w:cs="AdvOTce3d9a73"/>
        </w:rPr>
      </w:pPr>
      <w:r w:rsidRPr="00716C8A">
        <w:rPr>
          <w:rFonts w:ascii="AdvOT8608a8d1" w:hAnsi="AdvOT8608a8d1" w:cs="AdvOT8608a8d1"/>
        </w:rPr>
        <w:t xml:space="preserve">* </w:t>
      </w:r>
      <w:r w:rsidR="00D22E96" w:rsidRPr="00716C8A">
        <w:t>E-mail: 89852425312@yandex.ru</w:t>
      </w:r>
      <w:r w:rsidR="00D56164" w:rsidRPr="00716C8A">
        <w:t xml:space="preserve"> </w:t>
      </w:r>
      <w:r w:rsidR="00D22E96" w:rsidRPr="00716C8A">
        <w:t xml:space="preserve">(D. </w:t>
      </w:r>
      <w:proofErr w:type="spellStart"/>
      <w:r w:rsidR="00D22E96" w:rsidRPr="00716C8A">
        <w:t>Saracheno</w:t>
      </w:r>
      <w:proofErr w:type="spellEnd"/>
      <w:r w:rsidR="00D22E96" w:rsidRPr="00716C8A">
        <w:t>).</w:t>
      </w:r>
    </w:p>
    <w:p w14:paraId="17810930" w14:textId="77777777" w:rsidR="00161894" w:rsidRPr="00716C8A" w:rsidRDefault="00161894" w:rsidP="00161894">
      <w:pPr>
        <w:pStyle w:val="Header1"/>
        <w:spacing w:before="240" w:after="240"/>
      </w:pPr>
      <w:r w:rsidRPr="00716C8A">
        <w:t>Electronic supplementary information</w:t>
      </w:r>
    </w:p>
    <w:p w14:paraId="4C4A3D65" w14:textId="65537CF8" w:rsidR="00161894" w:rsidRPr="00716C8A" w:rsidRDefault="00D22E96" w:rsidP="00161894">
      <w:pPr>
        <w:pStyle w:val="Header1"/>
        <w:spacing w:before="0" w:after="0"/>
        <w:ind w:firstLine="284"/>
        <w:jc w:val="both"/>
        <w:rPr>
          <w:rFonts w:ascii="Times New Roman" w:hAnsi="Times New Roman" w:cs="Times New Roman"/>
          <w:b w:val="0"/>
          <w:sz w:val="18"/>
          <w:szCs w:val="18"/>
        </w:rPr>
      </w:pPr>
      <w:r w:rsidRPr="00716C8A">
        <w:rPr>
          <w:rFonts w:ascii="Times New Roman" w:hAnsi="Times New Roman" w:cs="Times New Roman"/>
          <w:b w:val="0"/>
          <w:sz w:val="18"/>
          <w:szCs w:val="18"/>
        </w:rPr>
        <w:t xml:space="preserve">Electronic supplementary information (ESI) available online: </w:t>
      </w:r>
      <w:r w:rsidR="008A6716" w:rsidRPr="00716C8A">
        <w:rPr>
          <w:rFonts w:ascii="Times New Roman" w:hAnsi="Times New Roman" w:cs="Times New Roman"/>
          <w:b w:val="0"/>
          <w:sz w:val="18"/>
          <w:szCs w:val="18"/>
        </w:rPr>
        <w:t xml:space="preserve">the experimental section, </w:t>
      </w:r>
      <w:r w:rsidRPr="00716C8A">
        <w:rPr>
          <w:rFonts w:ascii="Times New Roman" w:hAnsi="Times New Roman" w:cs="Times New Roman"/>
          <w:b w:val="0"/>
          <w:sz w:val="18"/>
          <w:szCs w:val="18"/>
        </w:rPr>
        <w:t>steric map</w:t>
      </w:r>
      <w:r w:rsidR="008A6716" w:rsidRPr="00716C8A">
        <w:rPr>
          <w:rFonts w:ascii="Times New Roman" w:hAnsi="Times New Roman" w:cs="Times New Roman"/>
          <w:b w:val="0"/>
          <w:sz w:val="18"/>
          <w:szCs w:val="18"/>
        </w:rPr>
        <w:t>s, NMR spectra, GPC and</w:t>
      </w:r>
      <w:r w:rsidRPr="00716C8A">
        <w:rPr>
          <w:rFonts w:ascii="Times New Roman" w:hAnsi="Times New Roman" w:cs="Times New Roman"/>
          <w:b w:val="0"/>
          <w:sz w:val="18"/>
          <w:szCs w:val="18"/>
        </w:rPr>
        <w:t xml:space="preserve"> DSC </w:t>
      </w:r>
      <w:r w:rsidR="008A6716" w:rsidRPr="00716C8A">
        <w:rPr>
          <w:rFonts w:ascii="Times New Roman" w:hAnsi="Times New Roman" w:cs="Times New Roman"/>
          <w:b w:val="0"/>
          <w:sz w:val="18"/>
          <w:szCs w:val="18"/>
        </w:rPr>
        <w:t>data</w:t>
      </w:r>
      <w:r w:rsidRPr="00716C8A">
        <w:rPr>
          <w:rFonts w:ascii="Times New Roman" w:hAnsi="Times New Roman" w:cs="Times New Roman"/>
          <w:b w:val="0"/>
          <w:sz w:val="18"/>
          <w:szCs w:val="18"/>
        </w:rPr>
        <w:t>. For ESI, see DOI: 10.32931/io</w:t>
      </w:r>
      <w:r w:rsidR="00E535E2" w:rsidRPr="00716C8A">
        <w:rPr>
          <w:rFonts w:ascii="Times New Roman" w:hAnsi="Times New Roman" w:cs="Times New Roman"/>
          <w:b w:val="0"/>
          <w:sz w:val="18"/>
          <w:szCs w:val="18"/>
        </w:rPr>
        <w:t>2537a</w:t>
      </w:r>
      <w:r w:rsidRPr="00716C8A">
        <w:rPr>
          <w:rFonts w:ascii="Times New Roman" w:hAnsi="Times New Roman" w:cs="Times New Roman"/>
          <w:b w:val="0"/>
          <w:sz w:val="18"/>
          <w:szCs w:val="18"/>
        </w:rPr>
        <w:t>.</w:t>
      </w:r>
    </w:p>
    <w:p w14:paraId="5722260E" w14:textId="77777777" w:rsidR="00F94740" w:rsidRPr="00716C8A" w:rsidRDefault="00F94740" w:rsidP="00161894">
      <w:pPr>
        <w:pStyle w:val="Header1"/>
        <w:spacing w:before="240" w:after="240"/>
      </w:pPr>
      <w:r w:rsidRPr="00716C8A">
        <w:t>References</w:t>
      </w:r>
    </w:p>
    <w:p w14:paraId="541AC32C" w14:textId="77777777" w:rsidR="00A62D2C" w:rsidRPr="00716C8A" w:rsidRDefault="008A6716" w:rsidP="008A6716">
      <w:pPr>
        <w:pStyle w:val="References"/>
        <w:spacing w:line="264" w:lineRule="auto"/>
        <w:ind w:left="454" w:hanging="454"/>
        <w:rPr>
          <w:sz w:val="16"/>
          <w:szCs w:val="16"/>
        </w:rPr>
      </w:pPr>
      <w:r w:rsidRPr="00716C8A">
        <w:rPr>
          <w:sz w:val="16"/>
          <w:szCs w:val="16"/>
        </w:rPr>
        <w:t>1.</w:t>
      </w:r>
      <w:r w:rsidRPr="00716C8A">
        <w:rPr>
          <w:sz w:val="16"/>
          <w:szCs w:val="16"/>
        </w:rPr>
        <w:tab/>
      </w:r>
      <w:r w:rsidR="00A62D2C" w:rsidRPr="00716C8A">
        <w:rPr>
          <w:sz w:val="16"/>
          <w:szCs w:val="16"/>
        </w:rPr>
        <w:t>Z. Wang, Q. Liu, G. A. Solan</w:t>
      </w:r>
      <w:r w:rsidRPr="00716C8A">
        <w:rPr>
          <w:sz w:val="16"/>
          <w:szCs w:val="16"/>
        </w:rPr>
        <w:t>,</w:t>
      </w:r>
      <w:r w:rsidR="00A62D2C" w:rsidRPr="00716C8A">
        <w:rPr>
          <w:sz w:val="16"/>
          <w:szCs w:val="16"/>
        </w:rPr>
        <w:t xml:space="preserve"> </w:t>
      </w:r>
      <w:r w:rsidR="00F10CED" w:rsidRPr="00716C8A">
        <w:rPr>
          <w:sz w:val="16"/>
          <w:szCs w:val="16"/>
        </w:rPr>
        <w:t xml:space="preserve">W.-H. Sun, </w:t>
      </w:r>
      <w:r w:rsidR="00A62D2C" w:rsidRPr="00716C8A">
        <w:rPr>
          <w:i/>
          <w:iCs/>
          <w:sz w:val="16"/>
          <w:szCs w:val="16"/>
        </w:rPr>
        <w:t>Coord</w:t>
      </w:r>
      <w:r w:rsidRPr="00716C8A">
        <w:rPr>
          <w:i/>
          <w:iCs/>
          <w:sz w:val="16"/>
          <w:szCs w:val="16"/>
        </w:rPr>
        <w:t>.</w:t>
      </w:r>
      <w:r w:rsidR="00A62D2C" w:rsidRPr="00716C8A">
        <w:rPr>
          <w:i/>
          <w:iCs/>
          <w:sz w:val="16"/>
          <w:szCs w:val="16"/>
        </w:rPr>
        <w:t xml:space="preserve"> Chem</w:t>
      </w:r>
      <w:r w:rsidRPr="00716C8A">
        <w:rPr>
          <w:i/>
          <w:iCs/>
          <w:sz w:val="16"/>
          <w:szCs w:val="16"/>
        </w:rPr>
        <w:t>.</w:t>
      </w:r>
      <w:r w:rsidR="00A62D2C" w:rsidRPr="00716C8A">
        <w:rPr>
          <w:i/>
          <w:iCs/>
          <w:sz w:val="16"/>
          <w:szCs w:val="16"/>
        </w:rPr>
        <w:t xml:space="preserve"> Rev</w:t>
      </w:r>
      <w:r w:rsidRPr="00716C8A">
        <w:rPr>
          <w:i/>
          <w:iCs/>
          <w:sz w:val="16"/>
          <w:szCs w:val="16"/>
        </w:rPr>
        <w:t>.</w:t>
      </w:r>
      <w:r w:rsidRPr="00716C8A">
        <w:rPr>
          <w:iCs/>
          <w:sz w:val="16"/>
          <w:szCs w:val="16"/>
        </w:rPr>
        <w:t>,</w:t>
      </w:r>
      <w:r w:rsidR="00A62D2C" w:rsidRPr="00716C8A">
        <w:rPr>
          <w:sz w:val="16"/>
          <w:szCs w:val="16"/>
        </w:rPr>
        <w:t xml:space="preserve"> </w:t>
      </w:r>
      <w:r w:rsidR="00A62D2C" w:rsidRPr="00716C8A">
        <w:rPr>
          <w:b/>
          <w:bCs/>
          <w:sz w:val="16"/>
          <w:szCs w:val="16"/>
        </w:rPr>
        <w:t>2017</w:t>
      </w:r>
      <w:r w:rsidR="00A62D2C" w:rsidRPr="00716C8A">
        <w:rPr>
          <w:sz w:val="16"/>
          <w:szCs w:val="16"/>
        </w:rPr>
        <w:t xml:space="preserve">, </w:t>
      </w:r>
      <w:r w:rsidR="00A62D2C" w:rsidRPr="00716C8A">
        <w:rPr>
          <w:i/>
          <w:sz w:val="16"/>
          <w:szCs w:val="16"/>
        </w:rPr>
        <w:t>350</w:t>
      </w:r>
      <w:r w:rsidR="00A62D2C" w:rsidRPr="00716C8A">
        <w:rPr>
          <w:sz w:val="16"/>
          <w:szCs w:val="16"/>
        </w:rPr>
        <w:t>, 68</w:t>
      </w:r>
      <w:r w:rsidR="00F10CED" w:rsidRPr="00716C8A">
        <w:rPr>
          <w:sz w:val="16"/>
          <w:szCs w:val="16"/>
        </w:rPr>
        <w:t>–</w:t>
      </w:r>
      <w:r w:rsidR="00A62D2C" w:rsidRPr="00716C8A">
        <w:rPr>
          <w:sz w:val="16"/>
          <w:szCs w:val="16"/>
        </w:rPr>
        <w:t>83. DOI:</w:t>
      </w:r>
      <w:r w:rsidRPr="00716C8A">
        <w:rPr>
          <w:sz w:val="16"/>
          <w:szCs w:val="16"/>
        </w:rPr>
        <w:t xml:space="preserve"> </w:t>
      </w:r>
      <w:r w:rsidR="00A62D2C" w:rsidRPr="00716C8A">
        <w:rPr>
          <w:sz w:val="16"/>
          <w:szCs w:val="16"/>
        </w:rPr>
        <w:t>10.1016/j.ccr.2017.06.003</w:t>
      </w:r>
    </w:p>
    <w:p w14:paraId="21BE51E4" w14:textId="77777777" w:rsidR="00A62D2C" w:rsidRPr="00716C8A" w:rsidRDefault="008A6716" w:rsidP="008A6716">
      <w:pPr>
        <w:pStyle w:val="References"/>
        <w:spacing w:line="264" w:lineRule="auto"/>
        <w:ind w:left="454" w:hanging="454"/>
        <w:rPr>
          <w:sz w:val="16"/>
          <w:szCs w:val="16"/>
        </w:rPr>
      </w:pPr>
      <w:r w:rsidRPr="00716C8A">
        <w:rPr>
          <w:sz w:val="16"/>
          <w:szCs w:val="16"/>
        </w:rPr>
        <w:t>2.</w:t>
      </w:r>
      <w:r w:rsidRPr="00716C8A">
        <w:rPr>
          <w:sz w:val="16"/>
          <w:szCs w:val="16"/>
        </w:rPr>
        <w:tab/>
        <w:t xml:space="preserve">R. </w:t>
      </w:r>
      <w:r w:rsidR="00A62D2C" w:rsidRPr="00716C8A">
        <w:rPr>
          <w:sz w:val="16"/>
          <w:szCs w:val="16"/>
        </w:rPr>
        <w:t xml:space="preserve">Wu, </w:t>
      </w:r>
      <w:r w:rsidRPr="00716C8A">
        <w:rPr>
          <w:sz w:val="16"/>
          <w:szCs w:val="16"/>
        </w:rPr>
        <w:t xml:space="preserve">W. </w:t>
      </w:r>
      <w:r w:rsidR="00A62D2C" w:rsidRPr="00716C8A">
        <w:rPr>
          <w:sz w:val="16"/>
          <w:szCs w:val="16"/>
        </w:rPr>
        <w:t xml:space="preserve">Klingler Wu, </w:t>
      </w:r>
      <w:r w:rsidRPr="00716C8A">
        <w:rPr>
          <w:sz w:val="16"/>
          <w:szCs w:val="16"/>
        </w:rPr>
        <w:t xml:space="preserve">L. </w:t>
      </w:r>
      <w:r w:rsidR="00A62D2C" w:rsidRPr="00716C8A">
        <w:rPr>
          <w:sz w:val="16"/>
          <w:szCs w:val="16"/>
        </w:rPr>
        <w:t xml:space="preserve">Stieglitz, </w:t>
      </w:r>
      <w:r w:rsidRPr="00716C8A">
        <w:rPr>
          <w:sz w:val="16"/>
          <w:szCs w:val="16"/>
        </w:rPr>
        <w:t>S.</w:t>
      </w:r>
      <w:r w:rsidR="00A62D2C" w:rsidRPr="00716C8A">
        <w:rPr>
          <w:sz w:val="16"/>
          <w:szCs w:val="16"/>
        </w:rPr>
        <w:t xml:space="preserve"> Gaan, </w:t>
      </w:r>
      <w:r w:rsidRPr="00716C8A">
        <w:rPr>
          <w:sz w:val="16"/>
          <w:szCs w:val="16"/>
        </w:rPr>
        <w:t>B.</w:t>
      </w:r>
      <w:r w:rsidR="00A62D2C" w:rsidRPr="00716C8A">
        <w:rPr>
          <w:sz w:val="16"/>
          <w:szCs w:val="16"/>
        </w:rPr>
        <w:t xml:space="preserve"> Rieger, </w:t>
      </w:r>
      <w:r w:rsidRPr="00716C8A">
        <w:rPr>
          <w:sz w:val="16"/>
          <w:szCs w:val="16"/>
        </w:rPr>
        <w:t>M. Heuberger,</w:t>
      </w:r>
      <w:r w:rsidR="00A62D2C" w:rsidRPr="00716C8A">
        <w:rPr>
          <w:sz w:val="16"/>
          <w:szCs w:val="16"/>
        </w:rPr>
        <w:t xml:space="preserve"> </w:t>
      </w:r>
      <w:r w:rsidR="00A62D2C" w:rsidRPr="00716C8A">
        <w:rPr>
          <w:i/>
          <w:iCs/>
          <w:sz w:val="16"/>
          <w:szCs w:val="16"/>
        </w:rPr>
        <w:t>Coord</w:t>
      </w:r>
      <w:r w:rsidRPr="00716C8A">
        <w:rPr>
          <w:i/>
          <w:iCs/>
          <w:sz w:val="16"/>
          <w:szCs w:val="16"/>
        </w:rPr>
        <w:t xml:space="preserve">. </w:t>
      </w:r>
      <w:r w:rsidR="00A62D2C" w:rsidRPr="00716C8A">
        <w:rPr>
          <w:i/>
          <w:iCs/>
          <w:sz w:val="16"/>
          <w:szCs w:val="16"/>
        </w:rPr>
        <w:t>Chem</w:t>
      </w:r>
      <w:r w:rsidRPr="00716C8A">
        <w:rPr>
          <w:i/>
          <w:iCs/>
          <w:sz w:val="16"/>
          <w:szCs w:val="16"/>
        </w:rPr>
        <w:t>.</w:t>
      </w:r>
      <w:r w:rsidR="00A62D2C" w:rsidRPr="00716C8A">
        <w:rPr>
          <w:i/>
          <w:iCs/>
          <w:sz w:val="16"/>
          <w:szCs w:val="16"/>
        </w:rPr>
        <w:t xml:space="preserve"> Rev</w:t>
      </w:r>
      <w:r w:rsidRPr="00716C8A">
        <w:rPr>
          <w:i/>
          <w:iCs/>
          <w:sz w:val="16"/>
          <w:szCs w:val="16"/>
        </w:rPr>
        <w:t>.</w:t>
      </w:r>
      <w:r w:rsidRPr="00716C8A">
        <w:rPr>
          <w:iCs/>
          <w:sz w:val="16"/>
          <w:szCs w:val="16"/>
        </w:rPr>
        <w:t>,</w:t>
      </w:r>
      <w:r w:rsidR="00A62D2C" w:rsidRPr="00716C8A">
        <w:rPr>
          <w:sz w:val="16"/>
          <w:szCs w:val="16"/>
        </w:rPr>
        <w:t xml:space="preserve"> </w:t>
      </w:r>
      <w:r w:rsidR="00A62D2C" w:rsidRPr="00716C8A">
        <w:rPr>
          <w:b/>
          <w:bCs/>
          <w:sz w:val="16"/>
          <w:szCs w:val="16"/>
        </w:rPr>
        <w:t>2023</w:t>
      </w:r>
      <w:r w:rsidR="00A62D2C" w:rsidRPr="00716C8A">
        <w:rPr>
          <w:sz w:val="16"/>
          <w:szCs w:val="16"/>
        </w:rPr>
        <w:t xml:space="preserve">, </w:t>
      </w:r>
      <w:r w:rsidR="00A62D2C" w:rsidRPr="00716C8A">
        <w:rPr>
          <w:i/>
          <w:sz w:val="16"/>
          <w:szCs w:val="16"/>
        </w:rPr>
        <w:t>474</w:t>
      </w:r>
      <w:r w:rsidR="00A62D2C" w:rsidRPr="00716C8A">
        <w:rPr>
          <w:sz w:val="16"/>
          <w:szCs w:val="16"/>
        </w:rPr>
        <w:t>, 214844. DOI:</w:t>
      </w:r>
      <w:r w:rsidRPr="00716C8A">
        <w:rPr>
          <w:sz w:val="16"/>
          <w:szCs w:val="16"/>
        </w:rPr>
        <w:t xml:space="preserve"> </w:t>
      </w:r>
      <w:r w:rsidR="00A62D2C" w:rsidRPr="00716C8A">
        <w:rPr>
          <w:sz w:val="16"/>
          <w:szCs w:val="16"/>
        </w:rPr>
        <w:t>10.1016/j.ccr.2022.214844</w:t>
      </w:r>
    </w:p>
    <w:p w14:paraId="1D5868AE" w14:textId="77777777" w:rsidR="00A62D2C" w:rsidRPr="00716C8A" w:rsidRDefault="008A6716" w:rsidP="008A6716">
      <w:pPr>
        <w:pStyle w:val="References"/>
        <w:spacing w:line="264" w:lineRule="auto"/>
        <w:ind w:left="454" w:hanging="454"/>
        <w:rPr>
          <w:sz w:val="16"/>
          <w:szCs w:val="16"/>
        </w:rPr>
      </w:pPr>
      <w:r w:rsidRPr="00716C8A">
        <w:rPr>
          <w:sz w:val="16"/>
          <w:szCs w:val="16"/>
        </w:rPr>
        <w:t>3.</w:t>
      </w:r>
      <w:r w:rsidRPr="00716C8A">
        <w:rPr>
          <w:sz w:val="16"/>
          <w:szCs w:val="16"/>
        </w:rPr>
        <w:tab/>
      </w:r>
      <w:r w:rsidR="00A62D2C" w:rsidRPr="00716C8A">
        <w:rPr>
          <w:sz w:val="16"/>
          <w:szCs w:val="16"/>
        </w:rPr>
        <w:t xml:space="preserve">M. van Meurs, G. </w:t>
      </w:r>
      <w:r w:rsidR="00F10CED" w:rsidRPr="00716C8A">
        <w:rPr>
          <w:sz w:val="16"/>
          <w:szCs w:val="16"/>
        </w:rPr>
        <w:t xml:space="preserve">J. P. </w:t>
      </w:r>
      <w:proofErr w:type="spellStart"/>
      <w:r w:rsidR="00A62D2C" w:rsidRPr="00716C8A">
        <w:rPr>
          <w:sz w:val="16"/>
          <w:szCs w:val="16"/>
        </w:rPr>
        <w:t>Britovsek</w:t>
      </w:r>
      <w:proofErr w:type="spellEnd"/>
      <w:r w:rsidR="00A62D2C" w:rsidRPr="00716C8A">
        <w:rPr>
          <w:sz w:val="16"/>
          <w:szCs w:val="16"/>
        </w:rPr>
        <w:t xml:space="preserve">, V. </w:t>
      </w:r>
      <w:r w:rsidR="00F10CED" w:rsidRPr="00716C8A">
        <w:rPr>
          <w:sz w:val="16"/>
          <w:szCs w:val="16"/>
        </w:rPr>
        <w:t xml:space="preserve">C. </w:t>
      </w:r>
      <w:r w:rsidR="00A62D2C" w:rsidRPr="00716C8A">
        <w:rPr>
          <w:sz w:val="16"/>
          <w:szCs w:val="16"/>
        </w:rPr>
        <w:t xml:space="preserve">Gibson, S. </w:t>
      </w:r>
      <w:r w:rsidR="00F10CED" w:rsidRPr="00716C8A">
        <w:rPr>
          <w:sz w:val="16"/>
          <w:szCs w:val="16"/>
        </w:rPr>
        <w:t xml:space="preserve">A. </w:t>
      </w:r>
      <w:r w:rsidR="00A62D2C" w:rsidRPr="00716C8A">
        <w:rPr>
          <w:sz w:val="16"/>
          <w:szCs w:val="16"/>
        </w:rPr>
        <w:t>Cohen</w:t>
      </w:r>
      <w:r w:rsidRPr="00716C8A">
        <w:rPr>
          <w:sz w:val="16"/>
          <w:szCs w:val="16"/>
        </w:rPr>
        <w:t>,</w:t>
      </w:r>
      <w:r w:rsidR="00A62D2C" w:rsidRPr="00716C8A">
        <w:rPr>
          <w:i/>
          <w:iCs/>
          <w:sz w:val="16"/>
          <w:szCs w:val="16"/>
        </w:rPr>
        <w:t xml:space="preserve"> J. Am. Chem. Soc.</w:t>
      </w:r>
      <w:r w:rsidR="00A62D2C" w:rsidRPr="00716C8A">
        <w:rPr>
          <w:sz w:val="16"/>
          <w:szCs w:val="16"/>
        </w:rPr>
        <w:t xml:space="preserve">, </w:t>
      </w:r>
      <w:r w:rsidR="00A62D2C" w:rsidRPr="00716C8A">
        <w:rPr>
          <w:b/>
          <w:bCs/>
          <w:sz w:val="16"/>
          <w:szCs w:val="16"/>
        </w:rPr>
        <w:t>2005</w:t>
      </w:r>
      <w:r w:rsidR="00A62D2C" w:rsidRPr="00716C8A">
        <w:rPr>
          <w:sz w:val="16"/>
          <w:szCs w:val="16"/>
        </w:rPr>
        <w:t xml:space="preserve">, </w:t>
      </w:r>
      <w:r w:rsidR="00A62D2C" w:rsidRPr="00716C8A">
        <w:rPr>
          <w:i/>
          <w:sz w:val="16"/>
          <w:szCs w:val="16"/>
        </w:rPr>
        <w:t>127</w:t>
      </w:r>
      <w:r w:rsidR="00A62D2C" w:rsidRPr="00716C8A">
        <w:rPr>
          <w:sz w:val="16"/>
          <w:szCs w:val="16"/>
        </w:rPr>
        <w:t>, 9913</w:t>
      </w:r>
      <w:r w:rsidRPr="00716C8A">
        <w:rPr>
          <w:sz w:val="16"/>
          <w:szCs w:val="16"/>
        </w:rPr>
        <w:t>–</w:t>
      </w:r>
      <w:r w:rsidR="00A62D2C" w:rsidRPr="00716C8A">
        <w:rPr>
          <w:sz w:val="16"/>
          <w:szCs w:val="16"/>
        </w:rPr>
        <w:t>9923. DOI:</w:t>
      </w:r>
      <w:r w:rsidRPr="00716C8A">
        <w:rPr>
          <w:sz w:val="16"/>
          <w:szCs w:val="16"/>
        </w:rPr>
        <w:t xml:space="preserve"> </w:t>
      </w:r>
      <w:r w:rsidR="00A62D2C" w:rsidRPr="00716C8A">
        <w:rPr>
          <w:sz w:val="16"/>
          <w:szCs w:val="16"/>
        </w:rPr>
        <w:t>10.1021/ja050100a</w:t>
      </w:r>
    </w:p>
    <w:p w14:paraId="63B48E4F" w14:textId="77777777" w:rsidR="00A62D2C" w:rsidRPr="00716C8A" w:rsidRDefault="008A6716" w:rsidP="008A6716">
      <w:pPr>
        <w:pStyle w:val="References"/>
        <w:spacing w:line="264" w:lineRule="auto"/>
        <w:ind w:left="454" w:hanging="454"/>
        <w:rPr>
          <w:sz w:val="16"/>
          <w:szCs w:val="16"/>
        </w:rPr>
      </w:pPr>
      <w:r w:rsidRPr="00716C8A">
        <w:rPr>
          <w:sz w:val="16"/>
          <w:szCs w:val="16"/>
        </w:rPr>
        <w:lastRenderedPageBreak/>
        <w:t>4.</w:t>
      </w:r>
      <w:r w:rsidRPr="00716C8A">
        <w:rPr>
          <w:sz w:val="16"/>
          <w:szCs w:val="16"/>
        </w:rPr>
        <w:tab/>
      </w:r>
      <w:r w:rsidR="00A62D2C" w:rsidRPr="00716C8A">
        <w:rPr>
          <w:sz w:val="16"/>
          <w:szCs w:val="16"/>
        </w:rPr>
        <w:t>Y. Zhao, L. Wang, L. Zhang, H. Yu, Z. Chen, Y. Tai</w:t>
      </w:r>
      <w:r w:rsidRPr="00716C8A">
        <w:rPr>
          <w:sz w:val="16"/>
          <w:szCs w:val="16"/>
        </w:rPr>
        <w:t>,</w:t>
      </w:r>
      <w:r w:rsidR="00A62D2C" w:rsidRPr="00716C8A">
        <w:rPr>
          <w:i/>
          <w:iCs/>
          <w:sz w:val="16"/>
          <w:szCs w:val="16"/>
        </w:rPr>
        <w:t xml:space="preserve"> J</w:t>
      </w:r>
      <w:r w:rsidRPr="00716C8A">
        <w:rPr>
          <w:i/>
          <w:iCs/>
          <w:sz w:val="16"/>
          <w:szCs w:val="16"/>
        </w:rPr>
        <w:t>.</w:t>
      </w:r>
      <w:r w:rsidR="00A62D2C" w:rsidRPr="00716C8A">
        <w:rPr>
          <w:i/>
          <w:iCs/>
          <w:sz w:val="16"/>
          <w:szCs w:val="16"/>
        </w:rPr>
        <w:t xml:space="preserve"> </w:t>
      </w:r>
      <w:proofErr w:type="spellStart"/>
      <w:r w:rsidR="00A62D2C" w:rsidRPr="00716C8A">
        <w:rPr>
          <w:i/>
          <w:iCs/>
          <w:sz w:val="16"/>
          <w:szCs w:val="16"/>
        </w:rPr>
        <w:t>Macromol</w:t>
      </w:r>
      <w:proofErr w:type="spellEnd"/>
      <w:r w:rsidRPr="00716C8A">
        <w:rPr>
          <w:i/>
          <w:iCs/>
          <w:sz w:val="16"/>
          <w:szCs w:val="16"/>
        </w:rPr>
        <w:t>.</w:t>
      </w:r>
      <w:r w:rsidR="00A62D2C" w:rsidRPr="00716C8A">
        <w:rPr>
          <w:i/>
          <w:iCs/>
          <w:sz w:val="16"/>
          <w:szCs w:val="16"/>
        </w:rPr>
        <w:t xml:space="preserve"> Sci</w:t>
      </w:r>
      <w:r w:rsidRPr="00716C8A">
        <w:rPr>
          <w:i/>
          <w:iCs/>
          <w:sz w:val="16"/>
          <w:szCs w:val="16"/>
        </w:rPr>
        <w:t>.</w:t>
      </w:r>
      <w:r w:rsidR="00A62D2C" w:rsidRPr="00716C8A">
        <w:rPr>
          <w:iCs/>
          <w:sz w:val="16"/>
          <w:szCs w:val="16"/>
        </w:rPr>
        <w:t>,</w:t>
      </w:r>
      <w:r w:rsidR="00A62D2C" w:rsidRPr="00716C8A">
        <w:rPr>
          <w:i/>
          <w:iCs/>
          <w:sz w:val="16"/>
          <w:szCs w:val="16"/>
        </w:rPr>
        <w:t xml:space="preserve"> Part A</w:t>
      </w:r>
      <w:r w:rsidR="00A62D2C" w:rsidRPr="00716C8A">
        <w:rPr>
          <w:sz w:val="16"/>
          <w:szCs w:val="16"/>
        </w:rPr>
        <w:t xml:space="preserve">, </w:t>
      </w:r>
      <w:r w:rsidR="00A62D2C" w:rsidRPr="00716C8A">
        <w:rPr>
          <w:b/>
          <w:bCs/>
          <w:sz w:val="16"/>
          <w:szCs w:val="16"/>
        </w:rPr>
        <w:t>2013</w:t>
      </w:r>
      <w:r w:rsidR="00A62D2C" w:rsidRPr="00716C8A">
        <w:rPr>
          <w:sz w:val="16"/>
          <w:szCs w:val="16"/>
        </w:rPr>
        <w:t xml:space="preserve">, </w:t>
      </w:r>
      <w:r w:rsidR="00A62D2C" w:rsidRPr="00716C8A">
        <w:rPr>
          <w:i/>
          <w:sz w:val="16"/>
          <w:szCs w:val="16"/>
        </w:rPr>
        <w:t>50</w:t>
      </w:r>
      <w:r w:rsidRPr="00716C8A">
        <w:rPr>
          <w:sz w:val="16"/>
          <w:szCs w:val="16"/>
        </w:rPr>
        <w:t xml:space="preserve">, </w:t>
      </w:r>
      <w:r w:rsidR="00A62D2C" w:rsidRPr="00716C8A">
        <w:rPr>
          <w:sz w:val="16"/>
          <w:szCs w:val="16"/>
        </w:rPr>
        <w:t>685</w:t>
      </w:r>
      <w:r w:rsidRPr="00716C8A">
        <w:rPr>
          <w:sz w:val="16"/>
          <w:szCs w:val="16"/>
        </w:rPr>
        <w:t>–</w:t>
      </w:r>
      <w:r w:rsidR="00A62D2C" w:rsidRPr="00716C8A">
        <w:rPr>
          <w:sz w:val="16"/>
          <w:szCs w:val="16"/>
        </w:rPr>
        <w:t>691. DOI:</w:t>
      </w:r>
      <w:r w:rsidRPr="00716C8A">
        <w:rPr>
          <w:sz w:val="16"/>
          <w:szCs w:val="16"/>
        </w:rPr>
        <w:t xml:space="preserve"> </w:t>
      </w:r>
      <w:r w:rsidR="00A62D2C" w:rsidRPr="00716C8A">
        <w:rPr>
          <w:sz w:val="16"/>
          <w:szCs w:val="16"/>
        </w:rPr>
        <w:t>10.1080/10601325.2013.792196</w:t>
      </w:r>
    </w:p>
    <w:p w14:paraId="20C46842" w14:textId="77777777" w:rsidR="00A62D2C" w:rsidRPr="00716C8A" w:rsidRDefault="008A6716" w:rsidP="008A6716">
      <w:pPr>
        <w:pStyle w:val="References"/>
        <w:spacing w:line="264" w:lineRule="auto"/>
        <w:ind w:left="454" w:hanging="454"/>
        <w:rPr>
          <w:sz w:val="16"/>
          <w:szCs w:val="16"/>
        </w:rPr>
      </w:pPr>
      <w:r w:rsidRPr="00716C8A">
        <w:rPr>
          <w:sz w:val="16"/>
          <w:szCs w:val="16"/>
        </w:rPr>
        <w:t>5.</w:t>
      </w:r>
      <w:r w:rsidRPr="00716C8A">
        <w:rPr>
          <w:sz w:val="16"/>
          <w:szCs w:val="16"/>
        </w:rPr>
        <w:tab/>
      </w:r>
      <w:r w:rsidR="00A62D2C" w:rsidRPr="00716C8A">
        <w:rPr>
          <w:sz w:val="16"/>
          <w:szCs w:val="16"/>
        </w:rPr>
        <w:t>Y. Zhao, L. Wang, H. Yu, L. Zhang, C. Li, W. Ding, G. Jing</w:t>
      </w:r>
      <w:r w:rsidRPr="00716C8A">
        <w:rPr>
          <w:sz w:val="16"/>
          <w:szCs w:val="16"/>
        </w:rPr>
        <w:t>,</w:t>
      </w:r>
      <w:r w:rsidR="00A62D2C" w:rsidRPr="00716C8A">
        <w:rPr>
          <w:sz w:val="16"/>
          <w:szCs w:val="16"/>
        </w:rPr>
        <w:t xml:space="preserve"> </w:t>
      </w:r>
      <w:r w:rsidR="00A62D2C" w:rsidRPr="00716C8A">
        <w:rPr>
          <w:i/>
          <w:iCs/>
          <w:sz w:val="16"/>
          <w:szCs w:val="16"/>
        </w:rPr>
        <w:t>J</w:t>
      </w:r>
      <w:r w:rsidRPr="00716C8A">
        <w:rPr>
          <w:i/>
          <w:iCs/>
          <w:sz w:val="16"/>
          <w:szCs w:val="16"/>
        </w:rPr>
        <w:t>.</w:t>
      </w:r>
      <w:r w:rsidR="00A62D2C" w:rsidRPr="00716C8A">
        <w:rPr>
          <w:i/>
          <w:iCs/>
          <w:sz w:val="16"/>
          <w:szCs w:val="16"/>
        </w:rPr>
        <w:t xml:space="preserve"> </w:t>
      </w:r>
      <w:proofErr w:type="spellStart"/>
      <w:r w:rsidR="00A62D2C" w:rsidRPr="00716C8A">
        <w:rPr>
          <w:i/>
          <w:iCs/>
          <w:sz w:val="16"/>
          <w:szCs w:val="16"/>
        </w:rPr>
        <w:t>Polym</w:t>
      </w:r>
      <w:proofErr w:type="spellEnd"/>
      <w:r w:rsidRPr="00716C8A">
        <w:rPr>
          <w:i/>
          <w:iCs/>
          <w:sz w:val="16"/>
          <w:szCs w:val="16"/>
        </w:rPr>
        <w:t>.</w:t>
      </w:r>
      <w:r w:rsidR="00A62D2C" w:rsidRPr="00716C8A">
        <w:rPr>
          <w:i/>
          <w:iCs/>
          <w:sz w:val="16"/>
          <w:szCs w:val="16"/>
        </w:rPr>
        <w:t xml:space="preserve"> Res</w:t>
      </w:r>
      <w:r w:rsidRPr="00716C8A">
        <w:rPr>
          <w:i/>
          <w:iCs/>
          <w:sz w:val="16"/>
          <w:szCs w:val="16"/>
        </w:rPr>
        <w:t>.</w:t>
      </w:r>
      <w:r w:rsidR="00A62D2C" w:rsidRPr="00716C8A">
        <w:rPr>
          <w:iCs/>
          <w:sz w:val="16"/>
          <w:szCs w:val="16"/>
        </w:rPr>
        <w:t>,</w:t>
      </w:r>
      <w:r w:rsidR="00A62D2C" w:rsidRPr="00716C8A">
        <w:rPr>
          <w:i/>
          <w:iCs/>
          <w:sz w:val="16"/>
          <w:szCs w:val="16"/>
        </w:rPr>
        <w:t xml:space="preserve"> </w:t>
      </w:r>
      <w:r w:rsidR="00A62D2C" w:rsidRPr="00716C8A">
        <w:rPr>
          <w:b/>
          <w:bCs/>
          <w:sz w:val="16"/>
          <w:szCs w:val="16"/>
        </w:rPr>
        <w:t>2013</w:t>
      </w:r>
      <w:r w:rsidR="00A62D2C" w:rsidRPr="00716C8A">
        <w:rPr>
          <w:sz w:val="16"/>
          <w:szCs w:val="16"/>
        </w:rPr>
        <w:t xml:space="preserve">, </w:t>
      </w:r>
      <w:r w:rsidR="00A62D2C" w:rsidRPr="00716C8A">
        <w:rPr>
          <w:i/>
          <w:sz w:val="16"/>
          <w:szCs w:val="16"/>
        </w:rPr>
        <w:t>20</w:t>
      </w:r>
      <w:r w:rsidRPr="00716C8A">
        <w:rPr>
          <w:sz w:val="16"/>
          <w:szCs w:val="16"/>
        </w:rPr>
        <w:t xml:space="preserve">, </w:t>
      </w:r>
      <w:r w:rsidR="00A62D2C" w:rsidRPr="00716C8A">
        <w:rPr>
          <w:sz w:val="16"/>
          <w:szCs w:val="16"/>
        </w:rPr>
        <w:t>184. DOI:</w:t>
      </w:r>
      <w:r w:rsidRPr="00716C8A">
        <w:rPr>
          <w:sz w:val="16"/>
          <w:szCs w:val="16"/>
        </w:rPr>
        <w:t xml:space="preserve"> </w:t>
      </w:r>
      <w:r w:rsidR="00A62D2C" w:rsidRPr="00716C8A">
        <w:rPr>
          <w:sz w:val="16"/>
          <w:szCs w:val="16"/>
        </w:rPr>
        <w:t>10.1007/s10965-013-0184-7</w:t>
      </w:r>
    </w:p>
    <w:p w14:paraId="29E0739C" w14:textId="77777777" w:rsidR="008A6716" w:rsidRPr="00716C8A" w:rsidRDefault="008A6716" w:rsidP="008A6716">
      <w:pPr>
        <w:pStyle w:val="References"/>
        <w:spacing w:line="264" w:lineRule="auto"/>
        <w:ind w:left="454" w:hanging="454"/>
        <w:rPr>
          <w:sz w:val="16"/>
          <w:szCs w:val="16"/>
        </w:rPr>
      </w:pPr>
      <w:r w:rsidRPr="00716C8A">
        <w:rPr>
          <w:rFonts w:eastAsia="Calibri"/>
          <w:kern w:val="2"/>
          <w:sz w:val="16"/>
          <w:szCs w:val="16"/>
        </w:rPr>
        <w:t>6.</w:t>
      </w:r>
      <w:r w:rsidRPr="00716C8A">
        <w:rPr>
          <w:rFonts w:eastAsia="Calibri"/>
          <w:kern w:val="2"/>
          <w:sz w:val="16"/>
          <w:szCs w:val="16"/>
        </w:rPr>
        <w:tab/>
        <w:t xml:space="preserve">I. S. </w:t>
      </w:r>
      <w:r w:rsidR="00A62D2C" w:rsidRPr="00716C8A">
        <w:rPr>
          <w:rFonts w:eastAsia="Calibri"/>
          <w:kern w:val="2"/>
          <w:sz w:val="16"/>
          <w:szCs w:val="16"/>
        </w:rPr>
        <w:t xml:space="preserve">Fomenko, </w:t>
      </w:r>
      <w:r w:rsidRPr="00716C8A">
        <w:rPr>
          <w:rFonts w:eastAsia="Calibri"/>
          <w:kern w:val="2"/>
          <w:sz w:val="16"/>
          <w:szCs w:val="16"/>
        </w:rPr>
        <w:t xml:space="preserve">N. F. </w:t>
      </w:r>
      <w:r w:rsidR="00A62D2C" w:rsidRPr="00716C8A">
        <w:rPr>
          <w:rFonts w:eastAsia="Calibri"/>
          <w:kern w:val="2"/>
          <w:sz w:val="16"/>
          <w:szCs w:val="16"/>
        </w:rPr>
        <w:t xml:space="preserve">Romashev, </w:t>
      </w:r>
      <w:r w:rsidRPr="00716C8A">
        <w:rPr>
          <w:rFonts w:eastAsia="Calibri"/>
          <w:kern w:val="2"/>
          <w:sz w:val="16"/>
          <w:szCs w:val="16"/>
        </w:rPr>
        <w:t xml:space="preserve">A. L. Gushchin, </w:t>
      </w:r>
      <w:r w:rsidR="00A62D2C" w:rsidRPr="00716C8A">
        <w:rPr>
          <w:rFonts w:eastAsia="Calibri"/>
          <w:i/>
          <w:kern w:val="2"/>
          <w:sz w:val="16"/>
          <w:szCs w:val="16"/>
        </w:rPr>
        <w:t>Coord</w:t>
      </w:r>
      <w:r w:rsidRPr="00716C8A">
        <w:rPr>
          <w:rFonts w:eastAsia="Calibri"/>
          <w:i/>
          <w:kern w:val="2"/>
          <w:sz w:val="16"/>
          <w:szCs w:val="16"/>
        </w:rPr>
        <w:t>.</w:t>
      </w:r>
      <w:r w:rsidR="00A62D2C" w:rsidRPr="00716C8A">
        <w:rPr>
          <w:rFonts w:eastAsia="Calibri"/>
          <w:i/>
          <w:kern w:val="2"/>
          <w:sz w:val="16"/>
          <w:szCs w:val="16"/>
        </w:rPr>
        <w:t xml:space="preserve"> Chem</w:t>
      </w:r>
      <w:r w:rsidRPr="00716C8A">
        <w:rPr>
          <w:rFonts w:eastAsia="Calibri"/>
          <w:i/>
          <w:kern w:val="2"/>
          <w:sz w:val="16"/>
          <w:szCs w:val="16"/>
        </w:rPr>
        <w:t>.</w:t>
      </w:r>
      <w:r w:rsidR="00A62D2C" w:rsidRPr="00716C8A">
        <w:rPr>
          <w:rFonts w:eastAsia="Calibri"/>
          <w:i/>
          <w:kern w:val="2"/>
          <w:sz w:val="16"/>
          <w:szCs w:val="16"/>
        </w:rPr>
        <w:t xml:space="preserve"> Rev</w:t>
      </w:r>
      <w:r w:rsidRPr="00716C8A">
        <w:rPr>
          <w:rFonts w:eastAsia="Calibri"/>
          <w:i/>
          <w:kern w:val="2"/>
          <w:sz w:val="16"/>
          <w:szCs w:val="16"/>
        </w:rPr>
        <w:t>.</w:t>
      </w:r>
      <w:r w:rsidRPr="00716C8A">
        <w:rPr>
          <w:rFonts w:eastAsia="Calibri"/>
          <w:kern w:val="2"/>
          <w:sz w:val="16"/>
          <w:szCs w:val="16"/>
        </w:rPr>
        <w:t>,</w:t>
      </w:r>
      <w:r w:rsidR="00A62D2C" w:rsidRPr="00716C8A">
        <w:rPr>
          <w:rFonts w:eastAsia="Calibri"/>
          <w:kern w:val="2"/>
          <w:sz w:val="16"/>
          <w:szCs w:val="16"/>
        </w:rPr>
        <w:t xml:space="preserve"> </w:t>
      </w:r>
      <w:r w:rsidR="00A62D2C" w:rsidRPr="00716C8A">
        <w:rPr>
          <w:rFonts w:eastAsia="Calibri"/>
          <w:b/>
          <w:kern w:val="2"/>
          <w:sz w:val="16"/>
          <w:szCs w:val="16"/>
        </w:rPr>
        <w:t>2024</w:t>
      </w:r>
      <w:r w:rsidR="00A62D2C" w:rsidRPr="00716C8A">
        <w:rPr>
          <w:rFonts w:eastAsia="Calibri"/>
          <w:kern w:val="2"/>
          <w:sz w:val="16"/>
          <w:szCs w:val="16"/>
        </w:rPr>
        <w:t xml:space="preserve">, </w:t>
      </w:r>
      <w:r w:rsidR="00A62D2C" w:rsidRPr="00716C8A">
        <w:rPr>
          <w:rFonts w:eastAsia="Calibri"/>
          <w:i/>
          <w:kern w:val="2"/>
          <w:sz w:val="16"/>
          <w:szCs w:val="16"/>
        </w:rPr>
        <w:t>514</w:t>
      </w:r>
      <w:r w:rsidR="00A62D2C" w:rsidRPr="00716C8A">
        <w:rPr>
          <w:rFonts w:eastAsia="Calibri"/>
          <w:kern w:val="2"/>
          <w:sz w:val="16"/>
          <w:szCs w:val="16"/>
        </w:rPr>
        <w:t>, 215845. DOI:</w:t>
      </w:r>
      <w:r w:rsidRPr="00716C8A">
        <w:rPr>
          <w:rFonts w:eastAsia="Calibri"/>
          <w:kern w:val="2"/>
          <w:sz w:val="16"/>
          <w:szCs w:val="16"/>
        </w:rPr>
        <w:t xml:space="preserve"> </w:t>
      </w:r>
      <w:r w:rsidR="00A62D2C" w:rsidRPr="00716C8A">
        <w:rPr>
          <w:rFonts w:eastAsia="Calibri"/>
          <w:kern w:val="2"/>
          <w:sz w:val="16"/>
          <w:szCs w:val="16"/>
        </w:rPr>
        <w:t>10.1016/j.ccr.2024.215845</w:t>
      </w:r>
    </w:p>
    <w:p w14:paraId="22BFF407" w14:textId="77777777" w:rsidR="00A62D2C" w:rsidRPr="00716C8A" w:rsidRDefault="00F243CF" w:rsidP="008A6716">
      <w:pPr>
        <w:pStyle w:val="References"/>
        <w:spacing w:line="264" w:lineRule="auto"/>
        <w:ind w:left="454" w:hanging="454"/>
        <w:rPr>
          <w:sz w:val="16"/>
          <w:szCs w:val="16"/>
        </w:rPr>
      </w:pPr>
      <w:r w:rsidRPr="00716C8A">
        <w:rPr>
          <w:sz w:val="16"/>
          <w:szCs w:val="16"/>
        </w:rPr>
        <w:br w:type="column"/>
      </w:r>
      <w:r w:rsidR="008A6716" w:rsidRPr="00716C8A">
        <w:rPr>
          <w:sz w:val="16"/>
          <w:szCs w:val="16"/>
        </w:rPr>
        <w:t>7.</w:t>
      </w:r>
      <w:r w:rsidR="008A6716" w:rsidRPr="00716C8A">
        <w:rPr>
          <w:sz w:val="16"/>
          <w:szCs w:val="16"/>
        </w:rPr>
        <w:tab/>
      </w:r>
      <w:r w:rsidR="00A62D2C" w:rsidRPr="00716C8A">
        <w:rPr>
          <w:sz w:val="16"/>
          <w:szCs w:val="16"/>
        </w:rPr>
        <w:t>F. Wang, C. Chen</w:t>
      </w:r>
      <w:r w:rsidR="008A6716" w:rsidRPr="00716C8A">
        <w:rPr>
          <w:sz w:val="16"/>
          <w:szCs w:val="16"/>
        </w:rPr>
        <w:t>,</w:t>
      </w:r>
      <w:r w:rsidR="00A62D2C" w:rsidRPr="00716C8A">
        <w:rPr>
          <w:sz w:val="16"/>
          <w:szCs w:val="16"/>
        </w:rPr>
        <w:t xml:space="preserve"> </w:t>
      </w:r>
      <w:proofErr w:type="spellStart"/>
      <w:r w:rsidR="00A62D2C" w:rsidRPr="00716C8A">
        <w:rPr>
          <w:i/>
          <w:iCs/>
          <w:sz w:val="16"/>
          <w:szCs w:val="16"/>
        </w:rPr>
        <w:t>Polym</w:t>
      </w:r>
      <w:proofErr w:type="spellEnd"/>
      <w:r w:rsidR="008A6716" w:rsidRPr="00716C8A">
        <w:rPr>
          <w:i/>
          <w:iCs/>
          <w:sz w:val="16"/>
          <w:szCs w:val="16"/>
        </w:rPr>
        <w:t>.</w:t>
      </w:r>
      <w:r w:rsidR="00A62D2C" w:rsidRPr="00716C8A">
        <w:rPr>
          <w:i/>
          <w:iCs/>
          <w:sz w:val="16"/>
          <w:szCs w:val="16"/>
        </w:rPr>
        <w:t xml:space="preserve"> Chem</w:t>
      </w:r>
      <w:r w:rsidR="008A6716" w:rsidRPr="00716C8A">
        <w:rPr>
          <w:i/>
          <w:iCs/>
          <w:sz w:val="16"/>
          <w:szCs w:val="16"/>
        </w:rPr>
        <w:t>.</w:t>
      </w:r>
      <w:r w:rsidR="00A62D2C" w:rsidRPr="00716C8A">
        <w:rPr>
          <w:sz w:val="16"/>
          <w:szCs w:val="16"/>
        </w:rPr>
        <w:t xml:space="preserve">, </w:t>
      </w:r>
      <w:r w:rsidR="00A62D2C" w:rsidRPr="00716C8A">
        <w:rPr>
          <w:b/>
          <w:bCs/>
          <w:sz w:val="16"/>
          <w:szCs w:val="16"/>
        </w:rPr>
        <w:t>2019</w:t>
      </w:r>
      <w:r w:rsidR="00A62D2C" w:rsidRPr="00716C8A">
        <w:rPr>
          <w:sz w:val="16"/>
          <w:szCs w:val="16"/>
        </w:rPr>
        <w:t xml:space="preserve">, </w:t>
      </w:r>
      <w:r w:rsidR="00A62D2C" w:rsidRPr="00716C8A">
        <w:rPr>
          <w:i/>
          <w:sz w:val="16"/>
          <w:szCs w:val="16"/>
        </w:rPr>
        <w:t>10</w:t>
      </w:r>
      <w:r w:rsidR="00A62D2C" w:rsidRPr="00716C8A">
        <w:rPr>
          <w:sz w:val="16"/>
          <w:szCs w:val="16"/>
        </w:rPr>
        <w:t>, 2354</w:t>
      </w:r>
      <w:r w:rsidR="008A6716" w:rsidRPr="00716C8A">
        <w:rPr>
          <w:sz w:val="16"/>
          <w:szCs w:val="16"/>
        </w:rPr>
        <w:t>–</w:t>
      </w:r>
      <w:r w:rsidR="00A62D2C" w:rsidRPr="00716C8A">
        <w:rPr>
          <w:sz w:val="16"/>
          <w:szCs w:val="16"/>
        </w:rPr>
        <w:t xml:space="preserve">2369. </w:t>
      </w:r>
      <w:r w:rsidR="008A6716" w:rsidRPr="00716C8A">
        <w:rPr>
          <w:sz w:val="16"/>
          <w:szCs w:val="16"/>
        </w:rPr>
        <w:t>DOI: 1</w:t>
      </w:r>
      <w:r w:rsidR="00A62D2C" w:rsidRPr="00716C8A">
        <w:rPr>
          <w:sz w:val="16"/>
          <w:szCs w:val="16"/>
        </w:rPr>
        <w:t>0.1039/C9PY00226J</w:t>
      </w:r>
    </w:p>
    <w:p w14:paraId="3901678B" w14:textId="77777777" w:rsidR="00166162" w:rsidRPr="00716C8A" w:rsidRDefault="008A6716" w:rsidP="008A6716">
      <w:pPr>
        <w:pStyle w:val="References"/>
        <w:spacing w:line="264" w:lineRule="auto"/>
        <w:ind w:left="454" w:hanging="454"/>
        <w:rPr>
          <w:sz w:val="16"/>
          <w:szCs w:val="16"/>
        </w:rPr>
      </w:pPr>
      <w:r w:rsidRPr="00716C8A">
        <w:rPr>
          <w:sz w:val="16"/>
          <w:szCs w:val="16"/>
        </w:rPr>
        <w:t>8.</w:t>
      </w:r>
      <w:r w:rsidRPr="00716C8A">
        <w:rPr>
          <w:sz w:val="16"/>
          <w:szCs w:val="16"/>
        </w:rPr>
        <w:tab/>
      </w:r>
      <w:r w:rsidR="00A62D2C" w:rsidRPr="00716C8A">
        <w:rPr>
          <w:sz w:val="16"/>
          <w:szCs w:val="16"/>
        </w:rPr>
        <w:t xml:space="preserve">A. Johansson, E. </w:t>
      </w:r>
      <w:proofErr w:type="spellStart"/>
      <w:r w:rsidR="00A62D2C" w:rsidRPr="00716C8A">
        <w:rPr>
          <w:sz w:val="16"/>
          <w:szCs w:val="16"/>
        </w:rPr>
        <w:t>Wingstrand</w:t>
      </w:r>
      <w:proofErr w:type="spellEnd"/>
      <w:r w:rsidR="00A62D2C" w:rsidRPr="00716C8A">
        <w:rPr>
          <w:sz w:val="16"/>
          <w:szCs w:val="16"/>
        </w:rPr>
        <w:t>, M. Håkansson</w:t>
      </w:r>
      <w:r w:rsidRPr="00716C8A">
        <w:rPr>
          <w:sz w:val="16"/>
          <w:szCs w:val="16"/>
        </w:rPr>
        <w:t>,</w:t>
      </w:r>
      <w:r w:rsidR="00A62D2C" w:rsidRPr="00716C8A">
        <w:rPr>
          <w:sz w:val="16"/>
          <w:szCs w:val="16"/>
        </w:rPr>
        <w:t xml:space="preserve"> </w:t>
      </w:r>
      <w:r w:rsidR="00A62D2C" w:rsidRPr="00716C8A">
        <w:rPr>
          <w:i/>
          <w:iCs/>
          <w:sz w:val="16"/>
          <w:szCs w:val="16"/>
        </w:rPr>
        <w:t>J</w:t>
      </w:r>
      <w:r w:rsidRPr="00716C8A">
        <w:rPr>
          <w:i/>
          <w:iCs/>
          <w:sz w:val="16"/>
          <w:szCs w:val="16"/>
        </w:rPr>
        <w:t>.</w:t>
      </w:r>
      <w:r w:rsidR="00A62D2C" w:rsidRPr="00716C8A">
        <w:rPr>
          <w:i/>
          <w:iCs/>
          <w:sz w:val="16"/>
          <w:szCs w:val="16"/>
        </w:rPr>
        <w:t xml:space="preserve"> </w:t>
      </w:r>
      <w:proofErr w:type="spellStart"/>
      <w:r w:rsidR="00A62D2C" w:rsidRPr="00716C8A">
        <w:rPr>
          <w:i/>
          <w:iCs/>
          <w:sz w:val="16"/>
          <w:szCs w:val="16"/>
        </w:rPr>
        <w:t>Organomet</w:t>
      </w:r>
      <w:proofErr w:type="spellEnd"/>
      <w:r w:rsidRPr="00716C8A">
        <w:rPr>
          <w:i/>
          <w:iCs/>
          <w:sz w:val="16"/>
          <w:szCs w:val="16"/>
        </w:rPr>
        <w:t>.</w:t>
      </w:r>
      <w:r w:rsidR="00A62D2C" w:rsidRPr="00716C8A">
        <w:rPr>
          <w:i/>
          <w:iCs/>
          <w:sz w:val="16"/>
          <w:szCs w:val="16"/>
        </w:rPr>
        <w:t xml:space="preserve"> Chem</w:t>
      </w:r>
      <w:r w:rsidRPr="00716C8A">
        <w:rPr>
          <w:i/>
          <w:iCs/>
          <w:sz w:val="16"/>
          <w:szCs w:val="16"/>
        </w:rPr>
        <w:t>.</w:t>
      </w:r>
      <w:r w:rsidR="00A62D2C" w:rsidRPr="00716C8A">
        <w:rPr>
          <w:sz w:val="16"/>
          <w:szCs w:val="16"/>
        </w:rPr>
        <w:t xml:space="preserve">, </w:t>
      </w:r>
      <w:r w:rsidR="00A62D2C" w:rsidRPr="00716C8A">
        <w:rPr>
          <w:b/>
          <w:bCs/>
          <w:sz w:val="16"/>
          <w:szCs w:val="16"/>
        </w:rPr>
        <w:t>2005</w:t>
      </w:r>
      <w:r w:rsidR="00A62D2C" w:rsidRPr="00716C8A">
        <w:rPr>
          <w:sz w:val="16"/>
          <w:szCs w:val="16"/>
        </w:rPr>
        <w:t xml:space="preserve">, </w:t>
      </w:r>
      <w:r w:rsidR="00A62D2C" w:rsidRPr="00716C8A">
        <w:rPr>
          <w:i/>
          <w:sz w:val="16"/>
          <w:szCs w:val="16"/>
        </w:rPr>
        <w:t>690</w:t>
      </w:r>
      <w:r w:rsidRPr="00716C8A">
        <w:rPr>
          <w:sz w:val="16"/>
          <w:szCs w:val="16"/>
        </w:rPr>
        <w:t>, 3</w:t>
      </w:r>
      <w:r w:rsidR="00A62D2C" w:rsidRPr="00716C8A">
        <w:rPr>
          <w:sz w:val="16"/>
          <w:szCs w:val="16"/>
        </w:rPr>
        <w:t>846</w:t>
      </w:r>
      <w:r w:rsidRPr="00716C8A">
        <w:rPr>
          <w:sz w:val="16"/>
          <w:szCs w:val="16"/>
        </w:rPr>
        <w:t>–</w:t>
      </w:r>
      <w:r w:rsidR="00A62D2C" w:rsidRPr="00716C8A">
        <w:rPr>
          <w:sz w:val="16"/>
          <w:szCs w:val="16"/>
        </w:rPr>
        <w:t>3853. DOI:</w:t>
      </w:r>
      <w:r w:rsidRPr="00716C8A">
        <w:rPr>
          <w:sz w:val="16"/>
          <w:szCs w:val="16"/>
        </w:rPr>
        <w:t xml:space="preserve"> </w:t>
      </w:r>
      <w:r w:rsidR="00A62D2C" w:rsidRPr="00716C8A">
        <w:rPr>
          <w:sz w:val="16"/>
          <w:szCs w:val="16"/>
        </w:rPr>
        <w:t>10.1016/j.jorganchem.2005.05.015</w:t>
      </w:r>
    </w:p>
    <w:p w14:paraId="05EDFF6A" w14:textId="77777777" w:rsidR="00F10CED" w:rsidRPr="00716C8A" w:rsidRDefault="00F10CED" w:rsidP="00F10CED">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F10CED" w:rsidRPr="003A13B7" w14:paraId="6C5C841F" w14:textId="77777777" w:rsidTr="001C1ED1">
        <w:trPr>
          <w:jc w:val="right"/>
        </w:trPr>
        <w:tc>
          <w:tcPr>
            <w:tcW w:w="3255" w:type="dxa"/>
            <w:vAlign w:val="center"/>
          </w:tcPr>
          <w:p w14:paraId="166C36AA" w14:textId="77777777" w:rsidR="00F10CED" w:rsidRPr="00716C8A" w:rsidRDefault="00F10CED" w:rsidP="001C1ED1">
            <w:pPr>
              <w:jc w:val="center"/>
              <w:rPr>
                <w:rFonts w:ascii="Arial" w:hAnsi="Arial" w:cs="Arial"/>
                <w:color w:val="263238"/>
                <w:shd w:val="clear" w:color="auto" w:fill="FFFFFF"/>
                <w:lang w:val="en-US"/>
              </w:rPr>
            </w:pPr>
            <w:r w:rsidRPr="00716C8A">
              <w:rPr>
                <w:rFonts w:ascii="Times New Roman" w:hAnsi="Times New Roman" w:cs="Times New Roman"/>
                <w:b/>
                <w:bCs/>
                <w:sz w:val="16"/>
                <w:szCs w:val="16"/>
                <w:lang w:val="it-IT"/>
              </w:rPr>
              <w:br w:type="column"/>
            </w:r>
            <w:r w:rsidRPr="00716C8A">
              <w:rPr>
                <w:sz w:val="16"/>
                <w:szCs w:val="16"/>
                <w:lang w:val="en-US"/>
              </w:rPr>
              <w:t>This article is licensed under a Creative Commons Attribution-</w:t>
            </w:r>
            <w:proofErr w:type="spellStart"/>
            <w:r w:rsidRPr="00716C8A">
              <w:rPr>
                <w:sz w:val="16"/>
                <w:szCs w:val="16"/>
                <w:lang w:val="en-US"/>
              </w:rPr>
              <w:t>NonCommercial</w:t>
            </w:r>
            <w:proofErr w:type="spellEnd"/>
            <w:r w:rsidRPr="00716C8A">
              <w:rPr>
                <w:sz w:val="16"/>
                <w:szCs w:val="16"/>
                <w:lang w:val="en-US"/>
              </w:rPr>
              <w:t xml:space="preserve"> 4.0 International License.</w:t>
            </w:r>
          </w:p>
        </w:tc>
        <w:tc>
          <w:tcPr>
            <w:tcW w:w="1236" w:type="dxa"/>
            <w:vAlign w:val="center"/>
          </w:tcPr>
          <w:p w14:paraId="5079D13A" w14:textId="77777777" w:rsidR="00F10CED" w:rsidRPr="003A13B7" w:rsidRDefault="00F10CED" w:rsidP="001C1ED1">
            <w:pPr>
              <w:autoSpaceDE w:val="0"/>
              <w:autoSpaceDN w:val="0"/>
              <w:adjustRightInd w:val="0"/>
              <w:jc w:val="center"/>
              <w:rPr>
                <w:rFonts w:ascii="Arial" w:hAnsi="Arial" w:cs="Arial"/>
                <w:color w:val="263238"/>
                <w:sz w:val="18"/>
                <w:szCs w:val="18"/>
                <w:shd w:val="clear" w:color="auto" w:fill="FFFFFF"/>
                <w:lang w:val="en-US"/>
              </w:rPr>
            </w:pPr>
            <w:r w:rsidRPr="00716C8A">
              <w:rPr>
                <w:rFonts w:ascii="Times New Roman" w:hAnsi="Times New Roman"/>
                <w:noProof/>
                <w:sz w:val="16"/>
                <w:szCs w:val="16"/>
              </w:rPr>
              <w:drawing>
                <wp:inline distT="0" distB="0" distL="0" distR="0" wp14:anchorId="7E9AD728" wp14:editId="153D17DD">
                  <wp:extent cx="620466" cy="217152"/>
                  <wp:effectExtent l="19050" t="0" r="8184" b="0"/>
                  <wp:docPr id="1"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445823D" w14:textId="77777777" w:rsidR="00F10CED" w:rsidRPr="009D6DDC" w:rsidRDefault="00F10CED" w:rsidP="00F10CED">
      <w:pPr>
        <w:pStyle w:val="References"/>
        <w:spacing w:line="264" w:lineRule="auto"/>
        <w:ind w:left="454" w:hanging="454"/>
        <w:rPr>
          <w:sz w:val="16"/>
          <w:szCs w:val="16"/>
        </w:rPr>
      </w:pPr>
    </w:p>
    <w:sectPr w:rsidR="00F10CED" w:rsidRPr="009D6DDC" w:rsidSect="00F243CF">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77C8F" w14:textId="77777777" w:rsidR="001C1ED1" w:rsidRDefault="001C1ED1" w:rsidP="00427E5A">
      <w:pPr>
        <w:spacing w:after="0" w:line="240" w:lineRule="auto"/>
      </w:pPr>
      <w:r>
        <w:separator/>
      </w:r>
    </w:p>
    <w:p w14:paraId="4892592F" w14:textId="77777777" w:rsidR="001C1ED1" w:rsidRDefault="001C1ED1"/>
  </w:endnote>
  <w:endnote w:type="continuationSeparator" w:id="0">
    <w:p w14:paraId="5218409A" w14:textId="77777777" w:rsidR="001C1ED1" w:rsidRDefault="001C1ED1" w:rsidP="00427E5A">
      <w:pPr>
        <w:spacing w:after="0" w:line="240" w:lineRule="auto"/>
      </w:pPr>
      <w:r>
        <w:continuationSeparator/>
      </w:r>
    </w:p>
    <w:p w14:paraId="07733D26" w14:textId="77777777" w:rsidR="001C1ED1" w:rsidRDefault="001C1E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5BB0" w14:textId="2EF58D49" w:rsidR="001C1ED1" w:rsidRPr="00A6442F" w:rsidRDefault="001C1ED1" w:rsidP="007A3351">
    <w:pPr>
      <w:pStyle w:val="af"/>
      <w:jc w:val="center"/>
      <w:rPr>
        <w:rStyle w:val="MainText0"/>
        <w:i/>
      </w:rPr>
    </w:pPr>
    <w:r>
      <w:rPr>
        <w:rStyle w:val="MainText0"/>
      </w:rPr>
      <w:t xml:space="preserve">D. </w:t>
    </w:r>
    <w:proofErr w:type="spellStart"/>
    <w:r>
      <w:rPr>
        <w:rStyle w:val="MainText0"/>
      </w:rPr>
      <w:t>Saracheno</w:t>
    </w:r>
    <w:proofErr w:type="spellEnd"/>
    <w:r>
      <w:rPr>
        <w:rStyle w:val="MainText0"/>
      </w:rPr>
      <w:t xml:space="preserve">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sidR="00D22D8D">
      <w:rPr>
        <w:rStyle w:val="MainText0"/>
      </w:rPr>
      <w:t>101</w:t>
    </w:r>
    <w:r>
      <w:rPr>
        <w:rStyle w:val="MainText0"/>
      </w:rPr>
      <w:t>–</w:t>
    </w:r>
    <w:r w:rsidR="00D22D8D">
      <w:rPr>
        <w:rStyle w:val="MainText0"/>
      </w:rPr>
      <w:t>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6F5F5" w14:textId="77777777" w:rsidR="001C1ED1" w:rsidRDefault="001C1ED1" w:rsidP="00427E5A">
      <w:pPr>
        <w:spacing w:after="0" w:line="240" w:lineRule="auto"/>
      </w:pPr>
      <w:r>
        <w:separator/>
      </w:r>
    </w:p>
    <w:p w14:paraId="0C869AFD" w14:textId="77777777" w:rsidR="001C1ED1" w:rsidRDefault="001C1ED1"/>
  </w:footnote>
  <w:footnote w:type="continuationSeparator" w:id="0">
    <w:p w14:paraId="1ADFFE22" w14:textId="77777777" w:rsidR="001C1ED1" w:rsidRDefault="001C1ED1" w:rsidP="00427E5A">
      <w:pPr>
        <w:spacing w:after="0" w:line="240" w:lineRule="auto"/>
      </w:pPr>
      <w:r>
        <w:continuationSeparator/>
      </w:r>
    </w:p>
    <w:p w14:paraId="1E250D8F" w14:textId="77777777" w:rsidR="001C1ED1" w:rsidRDefault="001C1E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1C6AB047" w14:textId="77777777" w:rsidR="001C1ED1" w:rsidRPr="001E7945" w:rsidRDefault="001C1ED1"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43F9623E" w14:textId="77777777" w:rsidR="001C1ED1" w:rsidRPr="001E7945" w:rsidRDefault="001C1ED1"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Pr="001E7945">
          <w:rPr>
            <w:rFonts w:ascii="Times New Roman" w:hAnsi="Times New Roman" w:cs="Times New Roman"/>
            <w:i/>
          </w:rPr>
          <w:fldChar w:fldCharType="separate"/>
        </w:r>
        <w:r w:rsidR="007D33A2">
          <w:rPr>
            <w:rFonts w:ascii="Times New Roman" w:hAnsi="Times New Roman" w:cs="Times New Roman"/>
            <w:i/>
            <w:noProof/>
            <w:lang w:val="en-US"/>
          </w:rPr>
          <w:t>1</w:t>
        </w:r>
        <w:r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8607679">
    <w:abstractNumId w:val="2"/>
  </w:num>
  <w:num w:numId="2" w16cid:durableId="1963612544">
    <w:abstractNumId w:val="4"/>
  </w:num>
  <w:num w:numId="3" w16cid:durableId="2017921417">
    <w:abstractNumId w:val="1"/>
  </w:num>
  <w:num w:numId="4" w16cid:durableId="308557702">
    <w:abstractNumId w:val="6"/>
  </w:num>
  <w:num w:numId="5" w16cid:durableId="1341393832">
    <w:abstractNumId w:val="7"/>
  </w:num>
  <w:num w:numId="6" w16cid:durableId="2075003827">
    <w:abstractNumId w:val="8"/>
  </w:num>
  <w:num w:numId="7" w16cid:durableId="1349991249">
    <w:abstractNumId w:val="0"/>
  </w:num>
  <w:num w:numId="8" w16cid:durableId="630326630">
    <w:abstractNumId w:val="3"/>
  </w:num>
  <w:num w:numId="9" w16cid:durableId="64678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B5E27"/>
    <w:rsid w:val="000C0115"/>
    <w:rsid w:val="000E1B06"/>
    <w:rsid w:val="000F403C"/>
    <w:rsid w:val="00102870"/>
    <w:rsid w:val="00161894"/>
    <w:rsid w:val="00166162"/>
    <w:rsid w:val="001B0919"/>
    <w:rsid w:val="001B5AF7"/>
    <w:rsid w:val="001B6750"/>
    <w:rsid w:val="001C1ED1"/>
    <w:rsid w:val="001E7945"/>
    <w:rsid w:val="002500A5"/>
    <w:rsid w:val="002D6411"/>
    <w:rsid w:val="0030773A"/>
    <w:rsid w:val="0031578F"/>
    <w:rsid w:val="00321C31"/>
    <w:rsid w:val="0033266A"/>
    <w:rsid w:val="0034047D"/>
    <w:rsid w:val="00347A99"/>
    <w:rsid w:val="0035211C"/>
    <w:rsid w:val="003B067D"/>
    <w:rsid w:val="003E2893"/>
    <w:rsid w:val="00427E5A"/>
    <w:rsid w:val="00431C89"/>
    <w:rsid w:val="00436D4B"/>
    <w:rsid w:val="00440577"/>
    <w:rsid w:val="004477EB"/>
    <w:rsid w:val="004535A2"/>
    <w:rsid w:val="00463737"/>
    <w:rsid w:val="00481814"/>
    <w:rsid w:val="004A0176"/>
    <w:rsid w:val="004A44BC"/>
    <w:rsid w:val="004A5676"/>
    <w:rsid w:val="004C0411"/>
    <w:rsid w:val="00502985"/>
    <w:rsid w:val="00524995"/>
    <w:rsid w:val="00533D73"/>
    <w:rsid w:val="00534762"/>
    <w:rsid w:val="00541249"/>
    <w:rsid w:val="005C7369"/>
    <w:rsid w:val="005E76C3"/>
    <w:rsid w:val="00622DF1"/>
    <w:rsid w:val="0065245B"/>
    <w:rsid w:val="00683408"/>
    <w:rsid w:val="006E0C73"/>
    <w:rsid w:val="00706F05"/>
    <w:rsid w:val="00716C8A"/>
    <w:rsid w:val="0072037E"/>
    <w:rsid w:val="007516EA"/>
    <w:rsid w:val="007A3351"/>
    <w:rsid w:val="007D0992"/>
    <w:rsid w:val="007D33A2"/>
    <w:rsid w:val="007D3F5F"/>
    <w:rsid w:val="007E3D3B"/>
    <w:rsid w:val="007F4C06"/>
    <w:rsid w:val="008114FB"/>
    <w:rsid w:val="00820A77"/>
    <w:rsid w:val="00842E5C"/>
    <w:rsid w:val="008622A1"/>
    <w:rsid w:val="00863A30"/>
    <w:rsid w:val="00875175"/>
    <w:rsid w:val="0089304F"/>
    <w:rsid w:val="00894EE2"/>
    <w:rsid w:val="008A02BF"/>
    <w:rsid w:val="008A6716"/>
    <w:rsid w:val="008A6A35"/>
    <w:rsid w:val="008C6630"/>
    <w:rsid w:val="008C68C0"/>
    <w:rsid w:val="008D2BCF"/>
    <w:rsid w:val="008E062B"/>
    <w:rsid w:val="00904B7F"/>
    <w:rsid w:val="00916E1F"/>
    <w:rsid w:val="00930DA8"/>
    <w:rsid w:val="009667F3"/>
    <w:rsid w:val="009774C1"/>
    <w:rsid w:val="009A6DAE"/>
    <w:rsid w:val="009B1ECD"/>
    <w:rsid w:val="009F2EBE"/>
    <w:rsid w:val="00A231BA"/>
    <w:rsid w:val="00A25E6D"/>
    <w:rsid w:val="00A62D2C"/>
    <w:rsid w:val="00A6442F"/>
    <w:rsid w:val="00A76F33"/>
    <w:rsid w:val="00AD16F6"/>
    <w:rsid w:val="00B00725"/>
    <w:rsid w:val="00B23601"/>
    <w:rsid w:val="00B5202A"/>
    <w:rsid w:val="00BB1D07"/>
    <w:rsid w:val="00BE17F8"/>
    <w:rsid w:val="00BE4FEF"/>
    <w:rsid w:val="00C25E43"/>
    <w:rsid w:val="00CA605E"/>
    <w:rsid w:val="00CD128C"/>
    <w:rsid w:val="00CD6FAC"/>
    <w:rsid w:val="00D03B20"/>
    <w:rsid w:val="00D22D8D"/>
    <w:rsid w:val="00D22E96"/>
    <w:rsid w:val="00D33D37"/>
    <w:rsid w:val="00D36C9F"/>
    <w:rsid w:val="00D56164"/>
    <w:rsid w:val="00D71473"/>
    <w:rsid w:val="00DA0A72"/>
    <w:rsid w:val="00DF1FCB"/>
    <w:rsid w:val="00DF4999"/>
    <w:rsid w:val="00E535E2"/>
    <w:rsid w:val="00E60451"/>
    <w:rsid w:val="00E76E65"/>
    <w:rsid w:val="00E77EC3"/>
    <w:rsid w:val="00E81EDE"/>
    <w:rsid w:val="00E95346"/>
    <w:rsid w:val="00EA6C3B"/>
    <w:rsid w:val="00EB2FCC"/>
    <w:rsid w:val="00EE0429"/>
    <w:rsid w:val="00EE4066"/>
    <w:rsid w:val="00EF625A"/>
    <w:rsid w:val="00F10CED"/>
    <w:rsid w:val="00F243CF"/>
    <w:rsid w:val="00F321A2"/>
    <w:rsid w:val="00F376FB"/>
    <w:rsid w:val="00F44BBC"/>
    <w:rsid w:val="00F6796A"/>
    <w:rsid w:val="00F86864"/>
    <w:rsid w:val="00F94740"/>
    <w:rsid w:val="00F95280"/>
    <w:rsid w:val="00FA0CD1"/>
    <w:rsid w:val="00FB4DBE"/>
    <w:rsid w:val="00FD2F8B"/>
    <w:rsid w:val="00FE0770"/>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14:docId w14:val="711A4596"/>
  <w15:docId w15:val="{CF895753-FD6B-4C20-BE19-17E2963E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F10CE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Unresolved Mention"/>
    <w:basedOn w:val="a0"/>
    <w:uiPriority w:val="99"/>
    <w:semiHidden/>
    <w:unhideWhenUsed/>
    <w:rsid w:val="00D56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0F4E6-EAF4-4BF0-939A-45E9FB1D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1438</Words>
  <Characters>8202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40</cp:revision>
  <dcterms:created xsi:type="dcterms:W3CDTF">2018-09-10T13:23:00Z</dcterms:created>
  <dcterms:modified xsi:type="dcterms:W3CDTF">2025-08-02T21:17:00Z</dcterms:modified>
</cp:coreProperties>
</file>