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84F" w:rsidRPr="006118F4" w:rsidRDefault="0091084F" w:rsidP="0091084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118F4">
        <w:rPr>
          <w:rFonts w:ascii="Times New Roman" w:hAnsi="Times New Roman" w:cs="Times New Roman"/>
          <w:i/>
          <w:sz w:val="36"/>
          <w:szCs w:val="36"/>
          <w:lang w:val="en-US"/>
        </w:rPr>
        <w:t>INEOS OPEN</w:t>
      </w:r>
      <w:r w:rsidRPr="006118F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6118F4">
        <w:rPr>
          <w:rFonts w:ascii="Times New Roman" w:hAnsi="Times New Roman" w:cs="Times New Roman"/>
          <w:b/>
          <w:sz w:val="36"/>
          <w:szCs w:val="36"/>
          <w:lang w:val="en-US"/>
        </w:rPr>
        <w:t>2025</w:t>
      </w:r>
      <w:r w:rsidRPr="006118F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6118F4">
        <w:rPr>
          <w:rFonts w:ascii="Times New Roman" w:hAnsi="Times New Roman" w:cs="Times New Roman"/>
          <w:i/>
          <w:iCs/>
          <w:sz w:val="36"/>
          <w:szCs w:val="36"/>
          <w:lang w:val="en-US"/>
        </w:rPr>
        <w:t>8 (1–3)</w:t>
      </w:r>
      <w:r w:rsidR="002B5C79">
        <w:rPr>
          <w:rFonts w:ascii="Times New Roman" w:hAnsi="Times New Roman" w:cs="Times New Roman"/>
          <w:sz w:val="36"/>
          <w:szCs w:val="36"/>
          <w:lang w:val="en-US"/>
        </w:rPr>
        <w:t>, 104</w:t>
      </w:r>
      <w:r w:rsidR="00F27BF3" w:rsidRPr="006118F4">
        <w:rPr>
          <w:rFonts w:ascii="Times New Roman" w:hAnsi="Times New Roman" w:cs="Times New Roman"/>
          <w:sz w:val="36"/>
          <w:szCs w:val="36"/>
          <w:lang w:val="en-US"/>
        </w:rPr>
        <w:t>–</w:t>
      </w:r>
      <w:r w:rsidR="002B5C79">
        <w:rPr>
          <w:rFonts w:ascii="Times New Roman" w:hAnsi="Times New Roman" w:cs="Times New Roman"/>
          <w:sz w:val="36"/>
          <w:szCs w:val="36"/>
          <w:lang w:val="en-US"/>
        </w:rPr>
        <w:t>105</w:t>
      </w:r>
    </w:p>
    <w:p w:rsidR="00B9104A" w:rsidRPr="002801B8" w:rsidRDefault="0096783D" w:rsidP="006118F4">
      <w:pPr>
        <w:jc w:val="center"/>
        <w:rPr>
          <w:b/>
          <w:sz w:val="24"/>
          <w:szCs w:val="24"/>
          <w:lang w:val="en-US"/>
        </w:rPr>
      </w:pPr>
      <w:r w:rsidRPr="00FD0D30">
        <w:rPr>
          <w:rFonts w:ascii="Times New Roman" w:hAnsi="Times New Roman" w:cs="Times New Roman"/>
          <w:b/>
          <w:color w:val="660000"/>
          <w:sz w:val="24"/>
          <w:szCs w:val="24"/>
          <w:lang w:val="en-US"/>
        </w:rPr>
        <w:t>DOI:</w:t>
      </w:r>
      <w:r w:rsidRPr="00FD0D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hyperlink r:id="rId8" w:history="1">
        <w:r w:rsidR="002B5C79">
          <w:rPr>
            <w:rFonts w:ascii="Times New Roman" w:hAnsi="Times New Roman" w:cs="Times New Roman"/>
            <w:b/>
            <w:sz w:val="24"/>
            <w:szCs w:val="24"/>
            <w:lang w:val="en-US"/>
          </w:rPr>
          <w:t>10.32931/io2538</w:t>
        </w:r>
        <w:r w:rsidR="0091084F" w:rsidRPr="00FD0D30">
          <w:rPr>
            <w:rFonts w:ascii="Times New Roman" w:hAnsi="Times New Roman" w:cs="Times New Roman"/>
            <w:b/>
            <w:sz w:val="24"/>
            <w:szCs w:val="24"/>
            <w:lang w:val="en-US"/>
          </w:rPr>
          <w:t>a</w:t>
        </w:r>
      </w:hyperlink>
    </w:p>
    <w:p w:rsidR="002801B8" w:rsidRPr="002B5C79" w:rsidRDefault="002B5C79" w:rsidP="002B5C79">
      <w:pPr>
        <w:pStyle w:val="ArticleTitle"/>
      </w:pPr>
      <w:r w:rsidRPr="002B5C79">
        <w:t xml:space="preserve">Synthesis </w:t>
      </w:r>
      <w:r>
        <w:t xml:space="preserve">and </w:t>
      </w:r>
      <w:proofErr w:type="spellStart"/>
      <w:r>
        <w:t>Cytotoxic</w:t>
      </w:r>
      <w:proofErr w:type="spellEnd"/>
      <w:r>
        <w:t xml:space="preserve"> Activity</w:t>
      </w:r>
      <w:r>
        <w:br/>
        <w:t xml:space="preserve">of </w:t>
      </w:r>
      <w:r w:rsidRPr="002B5C79">
        <w:t xml:space="preserve">New </w:t>
      </w:r>
      <w:proofErr w:type="spellStart"/>
      <w:r w:rsidRPr="002B5C79">
        <w:t>Organotin</w:t>
      </w:r>
      <w:proofErr w:type="spellEnd"/>
      <w:r w:rsidRPr="002B5C79">
        <w:t xml:space="preserve"> Complexes</w:t>
      </w:r>
    </w:p>
    <w:p w:rsidR="00F46F0E" w:rsidRPr="0091084F" w:rsidRDefault="002B5C79" w:rsidP="002801B8">
      <w:pPr>
        <w:pStyle w:val="Authors"/>
      </w:pPr>
      <w:r w:rsidRPr="007A01F1">
        <w:rPr>
          <w:lang w:val="pl-PL"/>
        </w:rPr>
        <w:t>E.</w:t>
      </w:r>
      <w:r w:rsidRPr="007A01F1">
        <w:t xml:space="preserve"> </w:t>
      </w:r>
      <w:r w:rsidRPr="007A01F1">
        <w:rPr>
          <w:lang w:val="pl-PL"/>
        </w:rPr>
        <w:t>V. Ovechkina,*</w:t>
      </w:r>
      <w:r w:rsidRPr="007A01F1">
        <w:rPr>
          <w:i/>
          <w:iCs/>
          <w:vertAlign w:val="superscript"/>
          <w:lang w:val="pl-PL"/>
        </w:rPr>
        <w:t>a</w:t>
      </w:r>
      <w:r w:rsidRPr="007A01F1">
        <w:rPr>
          <w:rFonts w:cs="Arial"/>
          <w:szCs w:val="24"/>
          <w:lang w:val="pl-PL"/>
        </w:rPr>
        <w:t xml:space="preserve"> V. I. Shiryaev,</w:t>
      </w:r>
      <w:r w:rsidRPr="007A01F1">
        <w:rPr>
          <w:rFonts w:cs="Arial"/>
          <w:i/>
          <w:iCs/>
          <w:szCs w:val="24"/>
          <w:vertAlign w:val="superscript"/>
        </w:rPr>
        <w:t>a</w:t>
      </w:r>
      <w:r w:rsidRPr="007A01F1">
        <w:rPr>
          <w:rFonts w:cs="Arial"/>
          <w:szCs w:val="24"/>
          <w:lang w:val="pl-PL"/>
        </w:rPr>
        <w:t xml:space="preserve"> A. A.Grachev,</w:t>
      </w:r>
      <w:r w:rsidRPr="007A01F1">
        <w:rPr>
          <w:rFonts w:cs="Arial"/>
          <w:i/>
          <w:iCs/>
          <w:szCs w:val="24"/>
          <w:vertAlign w:val="superscript"/>
          <w:lang w:val="ru-RU"/>
        </w:rPr>
        <w:t>а</w:t>
      </w:r>
      <w:r w:rsidRPr="007A01F1">
        <w:rPr>
          <w:rFonts w:cs="Arial"/>
          <w:szCs w:val="24"/>
          <w:lang w:val="pl-PL"/>
        </w:rPr>
        <w:t xml:space="preserve"> </w:t>
      </w:r>
      <w:r w:rsidRPr="007A01F1">
        <w:rPr>
          <w:rFonts w:cs="Arial"/>
          <w:szCs w:val="24"/>
          <w:lang w:val="ru-RU"/>
        </w:rPr>
        <w:t>А</w:t>
      </w:r>
      <w:r w:rsidRPr="007A01F1">
        <w:rPr>
          <w:rFonts w:cs="Arial"/>
          <w:szCs w:val="24"/>
          <w:lang w:val="pl-PL"/>
        </w:rPr>
        <w:t xml:space="preserve">. </w:t>
      </w:r>
      <w:r w:rsidRPr="007A01F1">
        <w:rPr>
          <w:rFonts w:cs="Arial"/>
          <w:szCs w:val="24"/>
          <w:lang w:val="ru-RU"/>
        </w:rPr>
        <w:t>А</w:t>
      </w:r>
      <w:r w:rsidRPr="007A01F1">
        <w:rPr>
          <w:rFonts w:cs="Arial"/>
          <w:szCs w:val="24"/>
          <w:lang w:val="pl-PL"/>
        </w:rPr>
        <w:t>. Korlyukov,</w:t>
      </w:r>
      <w:r w:rsidRPr="007A01F1">
        <w:rPr>
          <w:rFonts w:cs="Arial"/>
          <w:i/>
          <w:iCs/>
          <w:szCs w:val="24"/>
          <w:vertAlign w:val="superscript"/>
          <w:lang w:val="pl-PL"/>
        </w:rPr>
        <w:t>b</w:t>
      </w:r>
      <w:r w:rsidRPr="007A01F1">
        <w:rPr>
          <w:rFonts w:cs="Arial"/>
          <w:i/>
          <w:iCs/>
          <w:szCs w:val="24"/>
          <w:vertAlign w:val="superscript"/>
          <w:lang w:val="pl-PL"/>
        </w:rPr>
        <w:br/>
      </w:r>
      <w:r w:rsidRPr="007A01F1">
        <w:rPr>
          <w:rFonts w:cs="Arial"/>
          <w:szCs w:val="24"/>
          <w:lang w:val="ru-RU"/>
        </w:rPr>
        <w:t>А</w:t>
      </w:r>
      <w:r w:rsidRPr="007A01F1">
        <w:rPr>
          <w:rFonts w:cs="Arial"/>
          <w:szCs w:val="24"/>
          <w:lang w:val="pl-PL"/>
        </w:rPr>
        <w:t>. D. Volodin,</w:t>
      </w:r>
      <w:r w:rsidRPr="007A01F1">
        <w:rPr>
          <w:rFonts w:cs="Arial"/>
          <w:i/>
          <w:iCs/>
          <w:szCs w:val="24"/>
          <w:vertAlign w:val="superscript"/>
          <w:lang w:val="pl-PL"/>
        </w:rPr>
        <w:t>b</w:t>
      </w:r>
      <w:r w:rsidRPr="007A01F1">
        <w:rPr>
          <w:rFonts w:cs="Arial"/>
          <w:szCs w:val="24"/>
          <w:lang w:val="pl-PL"/>
        </w:rPr>
        <w:t xml:space="preserve"> </w:t>
      </w:r>
      <w:r w:rsidRPr="007A01F1">
        <w:rPr>
          <w:rFonts w:cs="Arial"/>
          <w:szCs w:val="24"/>
          <w:lang w:val="ru-RU"/>
        </w:rPr>
        <w:t>Е</w:t>
      </w:r>
      <w:r w:rsidRPr="007A01F1">
        <w:rPr>
          <w:rFonts w:cs="Arial"/>
          <w:szCs w:val="24"/>
          <w:lang w:val="pl-PL"/>
        </w:rPr>
        <w:t>. Yu. Rybalkina,</w:t>
      </w:r>
      <w:r w:rsidRPr="007A01F1">
        <w:rPr>
          <w:rFonts w:cs="Arial"/>
          <w:i/>
          <w:iCs/>
          <w:szCs w:val="24"/>
          <w:vertAlign w:val="superscript"/>
          <w:lang w:val="pl-PL"/>
        </w:rPr>
        <w:t>c</w:t>
      </w:r>
      <w:r w:rsidRPr="007A01F1">
        <w:rPr>
          <w:rFonts w:cs="Arial"/>
          <w:szCs w:val="24"/>
          <w:lang w:val="pl-PL"/>
        </w:rPr>
        <w:t xml:space="preserve"> and </w:t>
      </w:r>
      <w:r w:rsidRPr="007A01F1">
        <w:rPr>
          <w:rFonts w:cs="Arial"/>
          <w:szCs w:val="24"/>
          <w:lang w:val="ru-RU"/>
        </w:rPr>
        <w:t>А</w:t>
      </w:r>
      <w:r w:rsidRPr="007A01F1">
        <w:rPr>
          <w:rFonts w:cs="Arial"/>
          <w:szCs w:val="24"/>
          <w:lang w:val="pl-PL"/>
        </w:rPr>
        <w:t xml:space="preserve">. </w:t>
      </w:r>
      <w:r w:rsidRPr="007A01F1">
        <w:rPr>
          <w:rFonts w:cs="Arial"/>
          <w:szCs w:val="24"/>
          <w:lang w:val="ru-RU"/>
        </w:rPr>
        <w:t>К</w:t>
      </w:r>
      <w:r w:rsidRPr="007A01F1">
        <w:rPr>
          <w:rFonts w:cs="Arial"/>
          <w:szCs w:val="24"/>
          <w:lang w:val="pl-PL"/>
        </w:rPr>
        <w:t>. Shestakova</w:t>
      </w:r>
      <w:r w:rsidRPr="007A01F1">
        <w:rPr>
          <w:rFonts w:cs="Arial"/>
          <w:i/>
          <w:iCs/>
          <w:szCs w:val="24"/>
          <w:vertAlign w:val="superscript"/>
          <w:lang w:val="ru-RU"/>
        </w:rPr>
        <w:t>а</w:t>
      </w:r>
    </w:p>
    <w:p w:rsidR="008518EA" w:rsidRPr="002B5C79" w:rsidRDefault="002B5C79" w:rsidP="002B5C79">
      <w:pPr>
        <w:pStyle w:val="Affelations"/>
      </w:pPr>
      <w:r w:rsidRPr="002B5C79">
        <w:rPr>
          <w:vertAlign w:val="superscript"/>
        </w:rPr>
        <w:t xml:space="preserve">a </w:t>
      </w:r>
      <w:r w:rsidRPr="002B5C79">
        <w:t xml:space="preserve">State Research Institute of Chemistry and Technology of </w:t>
      </w:r>
      <w:proofErr w:type="spellStart"/>
      <w:r w:rsidRPr="002B5C79">
        <w:t>Organoelement</w:t>
      </w:r>
      <w:proofErr w:type="spellEnd"/>
      <w:r w:rsidRPr="002B5C79">
        <w:t xml:space="preserve"> Compounds (</w:t>
      </w:r>
      <w:proofErr w:type="spellStart"/>
      <w:r w:rsidRPr="002B5C79">
        <w:t>GNIIKhTEOS</w:t>
      </w:r>
      <w:proofErr w:type="spellEnd"/>
      <w:r w:rsidRPr="002B5C79">
        <w:t xml:space="preserve">), </w:t>
      </w:r>
      <w:proofErr w:type="spellStart"/>
      <w:r w:rsidRPr="002B5C79">
        <w:t>Shosse</w:t>
      </w:r>
      <w:proofErr w:type="spellEnd"/>
      <w:r w:rsidRPr="002B5C79">
        <w:t xml:space="preserve"> </w:t>
      </w:r>
      <w:proofErr w:type="spellStart"/>
      <w:r w:rsidRPr="002B5C79">
        <w:t>entuziastov</w:t>
      </w:r>
      <w:proofErr w:type="spellEnd"/>
      <w:r w:rsidRPr="002B5C79">
        <w:t xml:space="preserve"> 38, Moscow, 105118 Russia</w:t>
      </w:r>
      <w:r w:rsidRPr="002B5C79">
        <w:br/>
      </w:r>
      <w:r w:rsidRPr="002B5C79">
        <w:rPr>
          <w:vertAlign w:val="superscript"/>
        </w:rPr>
        <w:t>b</w:t>
      </w:r>
      <w:r w:rsidRPr="002B5C79">
        <w:t xml:space="preserve"> </w:t>
      </w:r>
      <w:proofErr w:type="spellStart"/>
      <w:r w:rsidRPr="002B5C79">
        <w:t>Nesmeyanov</w:t>
      </w:r>
      <w:proofErr w:type="spellEnd"/>
      <w:r w:rsidRPr="002B5C79">
        <w:t xml:space="preserve"> Institute of </w:t>
      </w:r>
      <w:proofErr w:type="spellStart"/>
      <w:r w:rsidRPr="002B5C79">
        <w:t>Organoelement</w:t>
      </w:r>
      <w:proofErr w:type="spellEnd"/>
      <w:r w:rsidRPr="002B5C79">
        <w:t xml:space="preserve"> Compounds, Russian Academy of Sciences, </w:t>
      </w:r>
      <w:proofErr w:type="spellStart"/>
      <w:r w:rsidRPr="002B5C79">
        <w:t>ul</w:t>
      </w:r>
      <w:proofErr w:type="spellEnd"/>
      <w:r w:rsidRPr="002B5C79">
        <w:t xml:space="preserve">. </w:t>
      </w:r>
      <w:proofErr w:type="spellStart"/>
      <w:r w:rsidRPr="002B5C79">
        <w:t>Vavilova</w:t>
      </w:r>
      <w:proofErr w:type="spellEnd"/>
      <w:r w:rsidRPr="002B5C79">
        <w:t xml:space="preserve"> 28, str. 1, Moscow, 119334 Russia</w:t>
      </w:r>
      <w:r w:rsidRPr="002B5C79">
        <w:br/>
      </w:r>
      <w:r w:rsidRPr="002B5C79">
        <w:rPr>
          <w:vertAlign w:val="superscript"/>
        </w:rPr>
        <w:t>c</w:t>
      </w:r>
      <w:r w:rsidRPr="002B5C79">
        <w:t xml:space="preserve"> </w:t>
      </w:r>
      <w:proofErr w:type="spellStart"/>
      <w:r w:rsidRPr="002B5C79">
        <w:t>Blokhin</w:t>
      </w:r>
      <w:proofErr w:type="spellEnd"/>
      <w:r w:rsidRPr="002B5C79">
        <w:t xml:space="preserve"> National Medical Research </w:t>
      </w:r>
      <w:proofErr w:type="spellStart"/>
      <w:r w:rsidRPr="002B5C79">
        <w:t>Center</w:t>
      </w:r>
      <w:proofErr w:type="spellEnd"/>
      <w:r w:rsidRPr="002B5C79">
        <w:t xml:space="preserve"> of the Ministry of Health of the Russian Federation, </w:t>
      </w:r>
      <w:proofErr w:type="spellStart"/>
      <w:r w:rsidRPr="002B5C79">
        <w:t>Kashirsskoe</w:t>
      </w:r>
      <w:proofErr w:type="spellEnd"/>
      <w:r w:rsidRPr="002B5C79">
        <w:t xml:space="preserve"> </w:t>
      </w:r>
      <w:proofErr w:type="spellStart"/>
      <w:r w:rsidRPr="002B5C79">
        <w:t>shosse</w:t>
      </w:r>
      <w:proofErr w:type="spellEnd"/>
      <w:r w:rsidRPr="002B5C79">
        <w:t xml:space="preserve"> 23, Moscow, 115478 Russia</w:t>
      </w:r>
      <w:r w:rsidR="00F27BF3" w:rsidRPr="002B5C79">
        <w:br/>
      </w:r>
    </w:p>
    <w:p w:rsidR="008518EA" w:rsidRPr="007659A9" w:rsidRDefault="008518EA" w:rsidP="005827E1">
      <w:pPr>
        <w:pStyle w:val="CorrespondingAuthor"/>
      </w:pPr>
      <w:r w:rsidRPr="005827E1">
        <w:rPr>
          <w:b/>
          <w:i w:val="0"/>
        </w:rPr>
        <w:t>Corresponding author:</w:t>
      </w:r>
      <w:r w:rsidRPr="0068614A">
        <w:t xml:space="preserve"> </w:t>
      </w:r>
      <w:r w:rsidR="002B5C79" w:rsidRPr="007A01F1">
        <w:t xml:space="preserve">E. V. </w:t>
      </w:r>
      <w:proofErr w:type="spellStart"/>
      <w:r w:rsidR="002B5C79" w:rsidRPr="007A01F1">
        <w:t>Ovechkina</w:t>
      </w:r>
      <w:proofErr w:type="spellEnd"/>
      <w:r w:rsidR="00D31C2D" w:rsidRPr="005827E1">
        <w:t>, e-mail:</w:t>
      </w:r>
      <w:r w:rsidR="00F27BF3" w:rsidRPr="005827E1">
        <w:t xml:space="preserve"> </w:t>
      </w:r>
      <w:r w:rsidR="002B5C79" w:rsidRPr="007A01F1">
        <w:t>l61@eos.su</w:t>
      </w:r>
      <w:r w:rsidR="00C01303" w:rsidRPr="005827E1">
        <w:br/>
      </w:r>
      <w:r w:rsidR="001704B0" w:rsidRPr="005827E1">
        <w:t xml:space="preserve">Received </w:t>
      </w:r>
      <w:r w:rsidR="002B5C79" w:rsidRPr="007A01F1">
        <w:rPr>
          <w:szCs w:val="14"/>
        </w:rPr>
        <w:t xml:space="preserve">9 November </w:t>
      </w:r>
      <w:r w:rsidRPr="005827E1">
        <w:t xml:space="preserve">2024; accepted </w:t>
      </w:r>
      <w:r w:rsidR="002B5C79" w:rsidRPr="007A01F1">
        <w:rPr>
          <w:szCs w:val="14"/>
        </w:rPr>
        <w:t xml:space="preserve">25 January </w:t>
      </w:r>
      <w:r w:rsidR="002B5C79">
        <w:t>2025</w:t>
      </w:r>
    </w:p>
    <w:p w:rsidR="00D118AB" w:rsidRPr="008518EA" w:rsidRDefault="00F46F0E" w:rsidP="0068614A">
      <w:pPr>
        <w:pStyle w:val="MainHeader"/>
      </w:pPr>
      <w:r w:rsidRPr="000843DF">
        <w:t>Abstract</w:t>
      </w:r>
    </w:p>
    <w:p w:rsidR="00D118AB" w:rsidRPr="007B0653" w:rsidRDefault="00D118AB" w:rsidP="002B5C79">
      <w:pPr>
        <w:pStyle w:val="AbsFig"/>
        <w:rPr>
          <w:lang w:val="en-US"/>
        </w:rPr>
      </w:pPr>
    </w:p>
    <w:p w:rsidR="001704B0" w:rsidRPr="002B5C79" w:rsidRDefault="002B5C79" w:rsidP="002B5C79">
      <w:pPr>
        <w:pStyle w:val="AbsText"/>
      </w:pPr>
      <w:r w:rsidRPr="002B5C79">
        <w:t xml:space="preserve">A number of new </w:t>
      </w:r>
      <w:proofErr w:type="spellStart"/>
      <w:r w:rsidRPr="002B5C79">
        <w:t>organotin</w:t>
      </w:r>
      <w:proofErr w:type="spellEnd"/>
      <w:r w:rsidRPr="002B5C79">
        <w:t xml:space="preserve"> complexes based on 1</w:t>
      </w:r>
      <w:proofErr w:type="gramStart"/>
      <w:r w:rsidRPr="002B5C79">
        <w:t>,1</w:t>
      </w:r>
      <w:proofErr w:type="gramEnd"/>
      <w:r w:rsidRPr="002B5C79">
        <w:t xml:space="preserve">-dichloro-1-stanna-3,3,5,5,7,7-hexamethyl-3,5,7-trisila-4,6-dioxa-cyclooctane and mono- and </w:t>
      </w:r>
      <w:proofErr w:type="spellStart"/>
      <w:r w:rsidRPr="002B5C79">
        <w:t>bidentate</w:t>
      </w:r>
      <w:proofErr w:type="spellEnd"/>
      <w:r w:rsidRPr="002B5C79">
        <w:t xml:space="preserve"> </w:t>
      </w:r>
      <w:proofErr w:type="spellStart"/>
      <w:r w:rsidRPr="002B5C79">
        <w:t>ligands</w:t>
      </w:r>
      <w:proofErr w:type="spellEnd"/>
      <w:r w:rsidRPr="002B5C79">
        <w:t xml:space="preserve"> were synthesized. The in vitro anticancer activity of the complexes obtained was studied on a number of human cancer cell lines.</w:t>
      </w:r>
    </w:p>
    <w:p w:rsidR="00166162" w:rsidRPr="00EF6BD4" w:rsidRDefault="00F46F0E" w:rsidP="00EF6BD4">
      <w:pPr>
        <w:pStyle w:val="Keywords"/>
        <w:rPr>
          <w:szCs w:val="20"/>
        </w:rPr>
      </w:pPr>
      <w:r w:rsidRPr="00EF6BD4">
        <w:rPr>
          <w:b/>
        </w:rPr>
        <w:t>Key words:</w:t>
      </w:r>
      <w:r w:rsidRPr="00EF6BD4">
        <w:t xml:space="preserve"> </w:t>
      </w:r>
      <w:r w:rsidR="002B5C79" w:rsidRPr="002B5C79">
        <w:t xml:space="preserve">synthesis, heterocyclic </w:t>
      </w:r>
      <w:proofErr w:type="spellStart"/>
      <w:r w:rsidR="002B5C79" w:rsidRPr="002B5C79">
        <w:t>silylmethyldichlorostannane</w:t>
      </w:r>
      <w:proofErr w:type="spellEnd"/>
      <w:r w:rsidR="002B5C79" w:rsidRPr="002B5C79">
        <w:t xml:space="preserve">, complexes, N-donor </w:t>
      </w:r>
      <w:proofErr w:type="spellStart"/>
      <w:r w:rsidR="002B5C79" w:rsidRPr="002B5C79">
        <w:t>ligands</w:t>
      </w:r>
      <w:proofErr w:type="spellEnd"/>
      <w:r w:rsidR="002B5C79" w:rsidRPr="002B5C79">
        <w:t xml:space="preserve">, </w:t>
      </w:r>
      <w:proofErr w:type="spellStart"/>
      <w:r w:rsidR="002B5C79" w:rsidRPr="002B5C79">
        <w:t>cytotoxicity</w:t>
      </w:r>
      <w:proofErr w:type="spellEnd"/>
      <w:r w:rsidR="002B5C79" w:rsidRPr="002B5C79">
        <w:t>, cancer cells</w:t>
      </w:r>
    </w:p>
    <w:p w:rsidR="00D31C2D" w:rsidRPr="00A0672F" w:rsidRDefault="00D31C2D" w:rsidP="00D31C2D">
      <w:pPr>
        <w:rPr>
          <w:rFonts w:ascii="Arial" w:hAnsi="Arial" w:cs="Arial"/>
          <w:spacing w:val="-2"/>
          <w:szCs w:val="20"/>
          <w:lang w:val="en-US"/>
        </w:rPr>
      </w:pPr>
    </w:p>
    <w:p w:rsidR="00875175" w:rsidRDefault="00427E5A" w:rsidP="0068614A">
      <w:pPr>
        <w:pStyle w:val="MainHeader"/>
      </w:pPr>
      <w:r w:rsidRPr="000843DF">
        <w:t>Introduction</w:t>
      </w:r>
    </w:p>
    <w:p w:rsidR="002B5C79" w:rsidRPr="007A01F1" w:rsidRDefault="002B5C79" w:rsidP="002B5C79">
      <w:pPr>
        <w:pStyle w:val="Text"/>
      </w:pPr>
      <w:r w:rsidRPr="007A01F1">
        <w:rPr>
          <w:noProof/>
        </w:rPr>
        <w:t>Earlier we reported the synthesis of a number of complexes based on bis(trimethylsilylmethyl)tin dihloride (</w:t>
      </w:r>
      <w:r w:rsidRPr="007A01F1">
        <w:rPr>
          <w:b/>
          <w:noProof/>
        </w:rPr>
        <w:t>I</w:t>
      </w:r>
      <w:r w:rsidRPr="007A01F1">
        <w:rPr>
          <w:noProof/>
        </w:rPr>
        <w:t>) and 1,1-dichloro-1-stanna-3,3,5,5-tetramethyl-3.5-disila-4-oxa-cyclohexane (</w:t>
      </w:r>
      <w:r w:rsidRPr="007A01F1">
        <w:rPr>
          <w:b/>
          <w:noProof/>
        </w:rPr>
        <w:t>II</w:t>
      </w:r>
      <w:r w:rsidRPr="007A01F1">
        <w:rPr>
          <w:noProof/>
        </w:rPr>
        <w:t>) using mono- or bidentate ligands (</w:t>
      </w:r>
      <w:r w:rsidRPr="007A01F1">
        <w:rPr>
          <w:b/>
          <w:noProof/>
        </w:rPr>
        <w:t>L</w:t>
      </w:r>
      <w:r w:rsidRPr="007A01F1">
        <w:rPr>
          <w:noProof/>
        </w:rPr>
        <w:t xml:space="preserve">), namely, 2,2'-bipyridine (Bipy), 1,10-phenanthroline (Phen) and 1-methyl-, 1-vinyl- and 1-allylimidazoles (Me-Im, Vin-Im, All-Im), taken in a 1:1 molar ratio, and their </w:t>
      </w:r>
      <w:r w:rsidRPr="007A01F1">
        <w:rPr>
          <w:i/>
          <w:noProof/>
        </w:rPr>
        <w:t xml:space="preserve">in vitro </w:t>
      </w:r>
      <w:r w:rsidRPr="007A01F1">
        <w:rPr>
          <w:noProof/>
        </w:rPr>
        <w:t xml:space="preserve">anticancer activity against different human cancer cell lines </w:t>
      </w:r>
      <w:r w:rsidRPr="007A01F1">
        <w:t>[1]</w:t>
      </w:r>
      <w:r w:rsidRPr="007A01F1">
        <w:rPr>
          <w:color w:val="000000"/>
        </w:rPr>
        <w:t xml:space="preserve">. </w:t>
      </w:r>
      <w:r w:rsidRPr="007A01F1">
        <w:t xml:space="preserve">In continuation of these studies, we synthesized a series of new complexes based on </w:t>
      </w:r>
      <w:r w:rsidRPr="007A01F1">
        <w:rPr>
          <w:noProof/>
        </w:rPr>
        <w:t>eight-membered</w:t>
      </w:r>
      <w:r w:rsidRPr="007A01F1">
        <w:t xml:space="preserve"> heterocyclic compound—1,1-dichloro-1-stanna-3,3,5,5,7,7-hexamethyl-3,5,7-trisila-4,6-dioxacyclooctane (</w:t>
      </w:r>
      <w:r w:rsidRPr="007A01F1">
        <w:rPr>
          <w:b/>
        </w:rPr>
        <w:t>III</w:t>
      </w:r>
      <w:r w:rsidRPr="007A01F1">
        <w:t xml:space="preserve">), using the same mono- and </w:t>
      </w:r>
      <w:proofErr w:type="spellStart"/>
      <w:r w:rsidRPr="007A01F1">
        <w:t>bidentate</w:t>
      </w:r>
      <w:proofErr w:type="spellEnd"/>
      <w:r w:rsidRPr="007A01F1">
        <w:t xml:space="preserve"> </w:t>
      </w:r>
      <w:proofErr w:type="spellStart"/>
      <w:r w:rsidRPr="007A01F1">
        <w:t>ligands</w:t>
      </w:r>
      <w:proofErr w:type="spellEnd"/>
      <w:r w:rsidRPr="007A01F1">
        <w:t>.</w:t>
      </w:r>
    </w:p>
    <w:p w:rsidR="002B5C79" w:rsidRPr="007A01F1" w:rsidRDefault="002B5C79" w:rsidP="002B5C79">
      <w:pPr>
        <w:pStyle w:val="MainHeader"/>
      </w:pPr>
      <w:r w:rsidRPr="007A01F1">
        <w:t>Results and discussion</w:t>
      </w:r>
    </w:p>
    <w:p w:rsidR="002B5C79" w:rsidRPr="007A01F1" w:rsidRDefault="002B5C79" w:rsidP="002B5C79">
      <w:pPr>
        <w:pStyle w:val="Text"/>
        <w:rPr>
          <w:noProof/>
          <w:lang w:val="en-US"/>
        </w:rPr>
      </w:pPr>
      <w:r w:rsidRPr="007A01F1">
        <w:rPr>
          <w:noProof/>
          <w:lang w:val="en-US"/>
        </w:rPr>
        <w:t xml:space="preserve">The original eight-membered heterocyclic compound, </w:t>
      </w:r>
      <w:proofErr w:type="spellStart"/>
      <w:r w:rsidRPr="007A01F1">
        <w:rPr>
          <w:lang w:val="en-US"/>
        </w:rPr>
        <w:t>silylmetyltin</w:t>
      </w:r>
      <w:proofErr w:type="spellEnd"/>
      <w:r w:rsidRPr="007A01F1">
        <w:rPr>
          <w:noProof/>
          <w:lang w:val="en-US"/>
        </w:rPr>
        <w:t xml:space="preserve"> dichloride </w:t>
      </w:r>
      <w:r w:rsidRPr="007A01F1">
        <w:rPr>
          <w:b/>
          <w:noProof/>
          <w:lang w:val="en-US"/>
        </w:rPr>
        <w:t>III</w:t>
      </w:r>
      <w:r w:rsidRPr="007A01F1">
        <w:rPr>
          <w:noProof/>
          <w:lang w:val="en-US"/>
        </w:rPr>
        <w:t xml:space="preserve">, was obtained as a by-product during the direct synthesis of the six-membered heterocyclic compound, namely, silylmethyltin dichloride </w:t>
      </w:r>
      <w:r w:rsidRPr="007A01F1">
        <w:rPr>
          <w:b/>
          <w:noProof/>
          <w:lang w:val="en-US"/>
        </w:rPr>
        <w:t>II</w:t>
      </w:r>
      <w:r w:rsidRPr="007A01F1">
        <w:rPr>
          <w:noProof/>
          <w:lang w:val="en-US"/>
        </w:rPr>
        <w:t xml:space="preserve"> (Scheme 1) [2, 3].</w:t>
      </w:r>
    </w:p>
    <w:p w:rsidR="002B5C79" w:rsidRPr="006E1AB7" w:rsidRDefault="002B5C79" w:rsidP="006E1AB7">
      <w:pPr>
        <w:pStyle w:val="Illustration"/>
      </w:pPr>
    </w:p>
    <w:p w:rsidR="002B5C79" w:rsidRPr="007A01F1" w:rsidRDefault="002B5C79" w:rsidP="002B5C79">
      <w:pPr>
        <w:pStyle w:val="IllustrationDescription"/>
        <w:rPr>
          <w:b/>
          <w:noProof/>
        </w:rPr>
      </w:pPr>
      <w:r w:rsidRPr="007A01F1">
        <w:rPr>
          <w:b/>
          <w:noProof/>
        </w:rPr>
        <w:lastRenderedPageBreak/>
        <w:t xml:space="preserve">Scheme 1. </w:t>
      </w:r>
      <w:r w:rsidRPr="007A01F1">
        <w:rPr>
          <w:noProof/>
        </w:rPr>
        <w:t xml:space="preserve">Direct synthesis of heterocycles </w:t>
      </w:r>
      <w:r w:rsidRPr="007A01F1">
        <w:rPr>
          <w:b/>
          <w:noProof/>
        </w:rPr>
        <w:t xml:space="preserve">II </w:t>
      </w:r>
      <w:r w:rsidRPr="007A01F1">
        <w:rPr>
          <w:noProof/>
        </w:rPr>
        <w:t xml:space="preserve">and </w:t>
      </w:r>
      <w:r w:rsidRPr="007A01F1">
        <w:rPr>
          <w:b/>
          <w:noProof/>
        </w:rPr>
        <w:t>III</w:t>
      </w:r>
      <w:r w:rsidRPr="007A01F1">
        <w:rPr>
          <w:noProof/>
        </w:rPr>
        <w:t>.</w:t>
      </w:r>
    </w:p>
    <w:p w:rsidR="002B5C79" w:rsidRPr="007A01F1" w:rsidRDefault="002B5C79" w:rsidP="002B5C79">
      <w:pPr>
        <w:pStyle w:val="Text"/>
        <w:rPr>
          <w:noProof/>
          <w:lang w:val="en-US"/>
        </w:rPr>
      </w:pPr>
      <w:r w:rsidRPr="007A01F1">
        <w:rPr>
          <w:lang w:val="en-US"/>
        </w:rPr>
        <w:t>C</w:t>
      </w:r>
      <w:r w:rsidRPr="007A01F1">
        <w:rPr>
          <w:noProof/>
          <w:lang w:val="en-US"/>
        </w:rPr>
        <w:t xml:space="preserve">omplexes </w:t>
      </w:r>
      <w:proofErr w:type="spellStart"/>
      <w:r w:rsidRPr="007A01F1">
        <w:rPr>
          <w:b/>
          <w:lang w:val="en-US"/>
        </w:rPr>
        <w:t>III</w:t>
      </w:r>
      <w:r w:rsidRPr="007A01F1">
        <w:rPr>
          <w:b/>
          <w:vertAlign w:val="superscript"/>
          <w:lang w:val="en-US"/>
        </w:rPr>
        <w:t>.</w:t>
      </w:r>
      <w:r w:rsidRPr="007A01F1">
        <w:rPr>
          <w:b/>
          <w:lang w:val="en-US"/>
        </w:rPr>
        <w:t>Bipy</w:t>
      </w:r>
      <w:proofErr w:type="spellEnd"/>
      <w:r w:rsidRPr="007A01F1">
        <w:rPr>
          <w:lang w:val="en-US"/>
        </w:rPr>
        <w:t xml:space="preserve">, </w:t>
      </w:r>
      <w:proofErr w:type="spellStart"/>
      <w:r w:rsidRPr="007A01F1">
        <w:rPr>
          <w:b/>
          <w:lang w:val="en-US"/>
        </w:rPr>
        <w:t>III</w:t>
      </w:r>
      <w:r w:rsidRPr="007A01F1">
        <w:rPr>
          <w:b/>
          <w:vertAlign w:val="superscript"/>
          <w:lang w:val="en-US"/>
        </w:rPr>
        <w:t>.</w:t>
      </w:r>
      <w:r w:rsidRPr="007A01F1">
        <w:rPr>
          <w:b/>
          <w:lang w:val="en-US"/>
        </w:rPr>
        <w:t>Phen</w:t>
      </w:r>
      <w:proofErr w:type="spellEnd"/>
      <w:r w:rsidRPr="007A01F1">
        <w:rPr>
          <w:lang w:val="en-US"/>
        </w:rPr>
        <w:t xml:space="preserve">, </w:t>
      </w:r>
      <w:proofErr w:type="spellStart"/>
      <w:r w:rsidRPr="007A01F1">
        <w:rPr>
          <w:b/>
          <w:lang w:val="en-US"/>
        </w:rPr>
        <w:t>III</w:t>
      </w:r>
      <w:r w:rsidRPr="007A01F1">
        <w:rPr>
          <w:b/>
          <w:vertAlign w:val="superscript"/>
          <w:lang w:val="en-US"/>
        </w:rPr>
        <w:t>.</w:t>
      </w:r>
      <w:r w:rsidRPr="007A01F1">
        <w:rPr>
          <w:b/>
          <w:lang w:val="en-US"/>
        </w:rPr>
        <w:t>Me-Im</w:t>
      </w:r>
      <w:proofErr w:type="spellEnd"/>
      <w:r w:rsidRPr="007A01F1">
        <w:rPr>
          <w:lang w:val="en-US"/>
        </w:rPr>
        <w:t xml:space="preserve">, </w:t>
      </w:r>
      <w:proofErr w:type="spellStart"/>
      <w:r w:rsidRPr="007A01F1">
        <w:rPr>
          <w:b/>
          <w:lang w:val="en-US"/>
        </w:rPr>
        <w:t>III</w:t>
      </w:r>
      <w:r w:rsidRPr="007A01F1">
        <w:rPr>
          <w:b/>
          <w:vertAlign w:val="superscript"/>
          <w:lang w:val="en-US"/>
        </w:rPr>
        <w:t>.</w:t>
      </w:r>
      <w:r w:rsidRPr="007A01F1">
        <w:rPr>
          <w:b/>
          <w:lang w:val="en-US"/>
        </w:rPr>
        <w:t>Vin-Im</w:t>
      </w:r>
      <w:proofErr w:type="spellEnd"/>
      <w:r w:rsidRPr="007A01F1">
        <w:rPr>
          <w:lang w:val="en-US"/>
        </w:rPr>
        <w:t xml:space="preserve">, and </w:t>
      </w:r>
      <w:proofErr w:type="spellStart"/>
      <w:r w:rsidRPr="007A01F1">
        <w:rPr>
          <w:b/>
          <w:lang w:val="en-US"/>
        </w:rPr>
        <w:t>III</w:t>
      </w:r>
      <w:r w:rsidRPr="007A01F1">
        <w:rPr>
          <w:b/>
          <w:vertAlign w:val="superscript"/>
          <w:lang w:val="en-US"/>
        </w:rPr>
        <w:t>.</w:t>
      </w:r>
      <w:r w:rsidRPr="007A01F1">
        <w:rPr>
          <w:b/>
          <w:lang w:val="en-US"/>
        </w:rPr>
        <w:t>All-Im</w:t>
      </w:r>
      <w:proofErr w:type="spellEnd"/>
      <w:r w:rsidRPr="007A01F1">
        <w:rPr>
          <w:lang w:val="en-US"/>
        </w:rPr>
        <w:t xml:space="preserve"> were obtained by the reaction of </w:t>
      </w:r>
      <w:r w:rsidRPr="007A01F1">
        <w:rPr>
          <w:noProof/>
          <w:lang w:val="en-US"/>
        </w:rPr>
        <w:t xml:space="preserve">heterocyclic compound </w:t>
      </w:r>
      <w:r w:rsidRPr="007A01F1">
        <w:rPr>
          <w:b/>
          <w:lang w:val="en-US"/>
        </w:rPr>
        <w:t>III</w:t>
      </w:r>
      <w:r w:rsidRPr="007A01F1">
        <w:rPr>
          <w:lang w:val="en-US"/>
        </w:rPr>
        <w:t xml:space="preserve"> </w:t>
      </w:r>
      <w:r w:rsidRPr="007A01F1">
        <w:rPr>
          <w:noProof/>
          <w:lang w:val="en-US"/>
        </w:rPr>
        <w:t>with the corresponding mono- or bidentate ligands (L), taken in a 1:1</w:t>
      </w:r>
      <w:r w:rsidRPr="007A01F1">
        <w:rPr>
          <w:lang w:val="en-US"/>
        </w:rPr>
        <w:t xml:space="preserve"> </w:t>
      </w:r>
      <w:r w:rsidRPr="007A01F1">
        <w:rPr>
          <w:noProof/>
          <w:lang w:val="en-US"/>
        </w:rPr>
        <w:t>molar ratio in benzene upon heating or without it (Scheme 2).</w:t>
      </w:r>
    </w:p>
    <w:p w:rsidR="002B5C79" w:rsidRPr="007A01F1" w:rsidRDefault="002B5C79" w:rsidP="002B5C79">
      <w:pPr>
        <w:pStyle w:val="Illustration"/>
        <w:rPr>
          <w:rFonts w:ascii="Times New Roman" w:hAnsi="Times New Roman"/>
          <w:b/>
          <w:i/>
          <w:sz w:val="16"/>
          <w:szCs w:val="16"/>
        </w:rPr>
      </w:pPr>
    </w:p>
    <w:p w:rsidR="002B5C79" w:rsidRPr="007A01F1" w:rsidRDefault="002B5C79" w:rsidP="002B5C79">
      <w:pPr>
        <w:pStyle w:val="IllustrationDescription"/>
        <w:rPr>
          <w:noProof/>
          <w:sz w:val="18"/>
          <w:szCs w:val="18"/>
        </w:rPr>
      </w:pPr>
      <w:proofErr w:type="gramStart"/>
      <w:r w:rsidRPr="002B5C79">
        <w:rPr>
          <w:b/>
          <w:noProof/>
        </w:rPr>
        <w:t>Scheme</w:t>
      </w:r>
      <w:r w:rsidRPr="002B5C79">
        <w:rPr>
          <w:b/>
        </w:rPr>
        <w:t xml:space="preserve"> 2.</w:t>
      </w:r>
      <w:proofErr w:type="gramEnd"/>
      <w:r w:rsidRPr="007A01F1">
        <w:t xml:space="preserve"> </w:t>
      </w:r>
      <w:proofErr w:type="gramStart"/>
      <w:r w:rsidRPr="007A01F1">
        <w:t xml:space="preserve">Synthesis of complexes </w:t>
      </w:r>
      <w:proofErr w:type="spellStart"/>
      <w:r w:rsidRPr="002B5C79">
        <w:rPr>
          <w:b/>
        </w:rPr>
        <w:t>III</w:t>
      </w:r>
      <w:r w:rsidRPr="002B5C79">
        <w:rPr>
          <w:b/>
          <w:vertAlign w:val="superscript"/>
        </w:rPr>
        <w:t>.</w:t>
      </w:r>
      <w:r w:rsidRPr="002B5C79">
        <w:rPr>
          <w:b/>
        </w:rPr>
        <w:t>Bipy</w:t>
      </w:r>
      <w:proofErr w:type="spellEnd"/>
      <w:r w:rsidRPr="007A01F1">
        <w:t xml:space="preserve">, </w:t>
      </w:r>
      <w:proofErr w:type="spellStart"/>
      <w:r w:rsidRPr="002B5C79">
        <w:rPr>
          <w:b/>
        </w:rPr>
        <w:t>III</w:t>
      </w:r>
      <w:r w:rsidRPr="002B5C79">
        <w:rPr>
          <w:b/>
          <w:vertAlign w:val="superscript"/>
        </w:rPr>
        <w:t>.</w:t>
      </w:r>
      <w:r w:rsidRPr="002B5C79">
        <w:rPr>
          <w:b/>
        </w:rPr>
        <w:t>Phen</w:t>
      </w:r>
      <w:proofErr w:type="spellEnd"/>
      <w:r w:rsidRPr="007A01F1">
        <w:t xml:space="preserve">, </w:t>
      </w:r>
      <w:proofErr w:type="spellStart"/>
      <w:r w:rsidRPr="002B5C79">
        <w:rPr>
          <w:b/>
        </w:rPr>
        <w:t>III</w:t>
      </w:r>
      <w:r w:rsidRPr="002B5C79">
        <w:rPr>
          <w:b/>
          <w:vertAlign w:val="superscript"/>
        </w:rPr>
        <w:t>.</w:t>
      </w:r>
      <w:r w:rsidRPr="002B5C79">
        <w:rPr>
          <w:b/>
        </w:rPr>
        <w:t>Me-Im</w:t>
      </w:r>
      <w:proofErr w:type="spellEnd"/>
      <w:r w:rsidRPr="007A01F1">
        <w:t xml:space="preserve">, </w:t>
      </w:r>
      <w:proofErr w:type="spellStart"/>
      <w:r w:rsidRPr="002B5C79">
        <w:rPr>
          <w:b/>
        </w:rPr>
        <w:t>III</w:t>
      </w:r>
      <w:r w:rsidRPr="002B5C79">
        <w:rPr>
          <w:b/>
          <w:vertAlign w:val="superscript"/>
        </w:rPr>
        <w:t>.</w:t>
      </w:r>
      <w:r w:rsidRPr="002B5C79">
        <w:rPr>
          <w:b/>
        </w:rPr>
        <w:t>All-Im</w:t>
      </w:r>
      <w:proofErr w:type="spellEnd"/>
      <w:r w:rsidRPr="007A01F1">
        <w:t>.</w:t>
      </w:r>
      <w:proofErr w:type="gramEnd"/>
    </w:p>
    <w:p w:rsidR="002B5C79" w:rsidRDefault="002B5C79" w:rsidP="002B5C79">
      <w:pPr>
        <w:pStyle w:val="Text"/>
        <w:rPr>
          <w:bCs/>
          <w:lang w:val="en-US"/>
        </w:rPr>
      </w:pPr>
      <w:r w:rsidRPr="007A01F1">
        <w:rPr>
          <w:lang w:val="en-US"/>
        </w:rPr>
        <w:t xml:space="preserve">All complexes were isolated in high yields (80–99%), their properties and elemental analyses are presented in Table 1. The discussion of the </w:t>
      </w:r>
      <w:r w:rsidRPr="007A01F1">
        <w:rPr>
          <w:bCs/>
          <w:lang w:val="en-US"/>
        </w:rPr>
        <w:t>NMR spectroscopic and X-ray diffraction data will be presented later in an extended report.</w:t>
      </w:r>
    </w:p>
    <w:p w:rsidR="002B5C79" w:rsidRPr="007A01F1" w:rsidRDefault="002B5C79" w:rsidP="002B5C79">
      <w:pPr>
        <w:pStyle w:val="TableDescription"/>
        <w:rPr>
          <w:lang w:val="en-US"/>
        </w:rPr>
      </w:pPr>
      <w:proofErr w:type="gramStart"/>
      <w:r w:rsidRPr="007A01F1">
        <w:rPr>
          <w:b/>
          <w:bCs/>
          <w:lang w:val="en-US"/>
        </w:rPr>
        <w:t>Table 1</w:t>
      </w:r>
      <w:r w:rsidRPr="007A01F1">
        <w:rPr>
          <w:b/>
          <w:lang w:val="en-US"/>
        </w:rPr>
        <w:t>.</w:t>
      </w:r>
      <w:proofErr w:type="gramEnd"/>
      <w:r w:rsidRPr="007A01F1">
        <w:rPr>
          <w:lang w:val="en-US"/>
        </w:rPr>
        <w:t xml:space="preserve"> Yields, properties, and elemental analyses of the resulting complexes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95"/>
        <w:gridCol w:w="950"/>
        <w:gridCol w:w="995"/>
        <w:gridCol w:w="1406"/>
        <w:gridCol w:w="1184"/>
        <w:gridCol w:w="1184"/>
        <w:gridCol w:w="1406"/>
        <w:gridCol w:w="1406"/>
      </w:tblGrid>
      <w:tr w:rsidR="002B5C79" w:rsidRPr="007A01F1" w:rsidTr="009240B0">
        <w:trPr>
          <w:trHeight w:val="227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Compound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Yield, %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Mp, °C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Anal. found (</w:t>
            </w:r>
            <w:proofErr w:type="spellStart"/>
            <w:r w:rsidRPr="007A01F1">
              <w:t>calcd</w:t>
            </w:r>
            <w:proofErr w:type="spellEnd"/>
            <w:r w:rsidRPr="007A01F1">
              <w:t>), %</w:t>
            </w:r>
          </w:p>
        </w:tc>
      </w:tr>
      <w:tr w:rsidR="002B5C79" w:rsidRPr="007A01F1" w:rsidTr="009240B0">
        <w:trPr>
          <w:trHeight w:val="227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2B5C79" w:rsidRPr="007A01F1" w:rsidRDefault="002B5C79" w:rsidP="009240B0">
            <w:pPr>
              <w:pStyle w:val="ArticleTable"/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2B5C79" w:rsidRPr="007A01F1" w:rsidRDefault="002B5C79" w:rsidP="009240B0">
            <w:pPr>
              <w:pStyle w:val="ArticleTable"/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2B5C79" w:rsidRPr="007A01F1" w:rsidRDefault="002B5C79" w:rsidP="009240B0">
            <w:pPr>
              <w:pStyle w:val="ArticleTable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C79" w:rsidRPr="007A01F1" w:rsidRDefault="002B5C79" w:rsidP="009240B0">
            <w:pPr>
              <w:pStyle w:val="ArticleTable"/>
            </w:pPr>
            <w:proofErr w:type="spellStart"/>
            <w:r w:rsidRPr="007A01F1">
              <w:t>Sn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C79" w:rsidRPr="007A01F1" w:rsidRDefault="002B5C79" w:rsidP="009240B0">
            <w:pPr>
              <w:pStyle w:val="ArticleTable"/>
            </w:pPr>
            <w:proofErr w:type="spellStart"/>
            <w:r w:rsidRPr="007A01F1">
              <w:t>Cl</w:t>
            </w:r>
            <w:proofErr w:type="spellEnd"/>
          </w:p>
        </w:tc>
      </w:tr>
      <w:tr w:rsidR="002B5C79" w:rsidRPr="007A01F1" w:rsidTr="009240B0">
        <w:trPr>
          <w:trHeight w:val="227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B5C79" w:rsidRPr="007A01F1" w:rsidRDefault="002B5C79" w:rsidP="009240B0">
            <w:pPr>
              <w:pStyle w:val="ArticleTable"/>
            </w:pPr>
            <w:proofErr w:type="spellStart"/>
            <w:r w:rsidRPr="007A01F1">
              <w:rPr>
                <w:b/>
              </w:rPr>
              <w:t>III</w:t>
            </w:r>
            <w:r w:rsidRPr="007A01F1">
              <w:rPr>
                <w:b/>
                <w:vertAlign w:val="superscript"/>
              </w:rPr>
              <w:t>.</w:t>
            </w:r>
            <w:r w:rsidRPr="007A01F1">
              <w:rPr>
                <w:b/>
              </w:rPr>
              <w:t>Bipy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86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50–53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36.85 (37.25)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4.98 (5.21)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5.57 (4.83)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21.06 (20.46)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12.79 (12.22)</w:t>
            </w:r>
          </w:p>
        </w:tc>
      </w:tr>
      <w:tr w:rsidR="002B5C79" w:rsidRPr="007A01F1" w:rsidTr="009240B0">
        <w:trPr>
          <w:trHeight w:val="227"/>
          <w:jc w:val="center"/>
        </w:trPr>
        <w:tc>
          <w:tcPr>
            <w:tcW w:w="0" w:type="auto"/>
            <w:vAlign w:val="center"/>
          </w:tcPr>
          <w:p w:rsidR="002B5C79" w:rsidRPr="007A01F1" w:rsidRDefault="002B5C79" w:rsidP="009240B0">
            <w:pPr>
              <w:pStyle w:val="ArticleTable"/>
            </w:pPr>
            <w:proofErr w:type="spellStart"/>
            <w:r w:rsidRPr="007A01F1">
              <w:rPr>
                <w:b/>
              </w:rPr>
              <w:t>III</w:t>
            </w:r>
            <w:r w:rsidRPr="007A01F1">
              <w:rPr>
                <w:b/>
                <w:vertAlign w:val="superscript"/>
              </w:rPr>
              <w:t>.</w:t>
            </w:r>
            <w:r w:rsidRPr="007A01F1">
              <w:rPr>
                <w:b/>
              </w:rPr>
              <w:t>Phen</w:t>
            </w:r>
            <w:proofErr w:type="spellEnd"/>
          </w:p>
        </w:tc>
        <w:tc>
          <w:tcPr>
            <w:tcW w:w="0" w:type="auto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81</w:t>
            </w:r>
          </w:p>
        </w:tc>
        <w:tc>
          <w:tcPr>
            <w:tcW w:w="0" w:type="auto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146–149</w:t>
            </w:r>
          </w:p>
        </w:tc>
        <w:tc>
          <w:tcPr>
            <w:tcW w:w="0" w:type="auto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40.26 (39.75)</w:t>
            </w:r>
          </w:p>
        </w:tc>
        <w:tc>
          <w:tcPr>
            <w:tcW w:w="0" w:type="auto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5.40 (5.00)</w:t>
            </w:r>
          </w:p>
        </w:tc>
        <w:tc>
          <w:tcPr>
            <w:tcW w:w="0" w:type="auto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5.09 (4.64)</w:t>
            </w:r>
          </w:p>
        </w:tc>
        <w:tc>
          <w:tcPr>
            <w:tcW w:w="0" w:type="auto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20.11 (19.64)</w:t>
            </w:r>
          </w:p>
        </w:tc>
        <w:tc>
          <w:tcPr>
            <w:tcW w:w="0" w:type="auto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11.79 (11.75)</w:t>
            </w:r>
          </w:p>
        </w:tc>
      </w:tr>
      <w:tr w:rsidR="002B5C79" w:rsidRPr="007A01F1" w:rsidTr="009240B0">
        <w:trPr>
          <w:trHeight w:val="227"/>
          <w:jc w:val="center"/>
        </w:trPr>
        <w:tc>
          <w:tcPr>
            <w:tcW w:w="0" w:type="auto"/>
            <w:vAlign w:val="center"/>
          </w:tcPr>
          <w:p w:rsidR="002B5C79" w:rsidRPr="007A01F1" w:rsidRDefault="002B5C79" w:rsidP="009240B0">
            <w:pPr>
              <w:pStyle w:val="ArticleTable"/>
            </w:pPr>
            <w:proofErr w:type="spellStart"/>
            <w:r w:rsidRPr="007A01F1">
              <w:rPr>
                <w:b/>
              </w:rPr>
              <w:t>III</w:t>
            </w:r>
            <w:r w:rsidRPr="007A01F1">
              <w:rPr>
                <w:b/>
                <w:vertAlign w:val="superscript"/>
              </w:rPr>
              <w:t>.</w:t>
            </w:r>
            <w:r w:rsidRPr="007A01F1">
              <w:rPr>
                <w:b/>
              </w:rPr>
              <w:t>Me-Im</w:t>
            </w:r>
            <w:proofErr w:type="spellEnd"/>
          </w:p>
        </w:tc>
        <w:tc>
          <w:tcPr>
            <w:tcW w:w="0" w:type="auto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88</w:t>
            </w:r>
          </w:p>
        </w:tc>
        <w:tc>
          <w:tcPr>
            <w:tcW w:w="0" w:type="auto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101–105</w:t>
            </w:r>
          </w:p>
        </w:tc>
        <w:tc>
          <w:tcPr>
            <w:tcW w:w="0" w:type="auto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28.78 (28.47)</w:t>
            </w:r>
          </w:p>
        </w:tc>
        <w:tc>
          <w:tcPr>
            <w:tcW w:w="0" w:type="auto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5.70 (5.53)</w:t>
            </w:r>
          </w:p>
        </w:tc>
        <w:tc>
          <w:tcPr>
            <w:tcW w:w="0" w:type="auto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5.44 (5.58)</w:t>
            </w:r>
          </w:p>
        </w:tc>
        <w:tc>
          <w:tcPr>
            <w:tcW w:w="0" w:type="auto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23.24 (23.45)</w:t>
            </w:r>
          </w:p>
        </w:tc>
        <w:tc>
          <w:tcPr>
            <w:tcW w:w="0" w:type="auto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14.44 (14.01)</w:t>
            </w:r>
          </w:p>
        </w:tc>
      </w:tr>
      <w:tr w:rsidR="002B5C79" w:rsidRPr="007A01F1" w:rsidTr="009240B0">
        <w:trPr>
          <w:trHeight w:val="227"/>
          <w:jc w:val="center"/>
        </w:trPr>
        <w:tc>
          <w:tcPr>
            <w:tcW w:w="0" w:type="auto"/>
            <w:vAlign w:val="center"/>
          </w:tcPr>
          <w:p w:rsidR="002B5C79" w:rsidRPr="007A01F1" w:rsidRDefault="002B5C79" w:rsidP="009240B0">
            <w:pPr>
              <w:pStyle w:val="ArticleTable"/>
            </w:pPr>
            <w:proofErr w:type="spellStart"/>
            <w:r w:rsidRPr="007A01F1">
              <w:rPr>
                <w:b/>
              </w:rPr>
              <w:t>III</w:t>
            </w:r>
            <w:r w:rsidRPr="007A01F1">
              <w:rPr>
                <w:b/>
                <w:vertAlign w:val="superscript"/>
              </w:rPr>
              <w:t>.</w:t>
            </w:r>
            <w:r w:rsidRPr="007A01F1">
              <w:rPr>
                <w:b/>
              </w:rPr>
              <w:t>Vin-Im</w:t>
            </w:r>
            <w:proofErr w:type="spellEnd"/>
          </w:p>
        </w:tc>
        <w:tc>
          <w:tcPr>
            <w:tcW w:w="0" w:type="auto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99</w:t>
            </w:r>
          </w:p>
        </w:tc>
        <w:tc>
          <w:tcPr>
            <w:tcW w:w="0" w:type="auto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85–87</w:t>
            </w:r>
          </w:p>
        </w:tc>
        <w:tc>
          <w:tcPr>
            <w:tcW w:w="0" w:type="auto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30.71 (30.13)</w:t>
            </w:r>
          </w:p>
        </w:tc>
        <w:tc>
          <w:tcPr>
            <w:tcW w:w="0" w:type="auto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5.40 (5.45)</w:t>
            </w:r>
          </w:p>
        </w:tc>
        <w:tc>
          <w:tcPr>
            <w:tcW w:w="0" w:type="auto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5.13 (5.41)</w:t>
            </w:r>
          </w:p>
        </w:tc>
        <w:tc>
          <w:tcPr>
            <w:tcW w:w="0" w:type="auto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23.23 (22.91)</w:t>
            </w:r>
          </w:p>
        </w:tc>
        <w:tc>
          <w:tcPr>
            <w:tcW w:w="0" w:type="auto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13.56 (13.68)</w:t>
            </w:r>
          </w:p>
        </w:tc>
      </w:tr>
      <w:tr w:rsidR="002B5C79" w:rsidRPr="007A01F1" w:rsidTr="009240B0">
        <w:trPr>
          <w:trHeight w:val="227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B5C79" w:rsidRPr="007A01F1" w:rsidRDefault="002B5C79" w:rsidP="009240B0">
            <w:pPr>
              <w:pStyle w:val="ArticleTable"/>
            </w:pPr>
            <w:proofErr w:type="spellStart"/>
            <w:r w:rsidRPr="007A01F1">
              <w:rPr>
                <w:b/>
              </w:rPr>
              <w:t>III</w:t>
            </w:r>
            <w:r w:rsidRPr="007A01F1">
              <w:rPr>
                <w:b/>
                <w:vertAlign w:val="superscript"/>
              </w:rPr>
              <w:t>.</w:t>
            </w:r>
            <w:r w:rsidRPr="007A01F1">
              <w:rPr>
                <w:b/>
              </w:rPr>
              <w:t>All-Im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79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–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31.30 (31.59)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5.90 (5.68)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5.39 (5.26)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22.76 (22.30)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14.50 (13.82)</w:t>
            </w:r>
          </w:p>
        </w:tc>
      </w:tr>
    </w:tbl>
    <w:p w:rsidR="002B5C79" w:rsidRDefault="002B5C79" w:rsidP="002B5C79">
      <w:pPr>
        <w:pStyle w:val="Text"/>
        <w:spacing w:before="200"/>
        <w:rPr>
          <w:bCs/>
          <w:iCs/>
          <w:lang w:val="en-US"/>
        </w:rPr>
      </w:pPr>
      <w:r w:rsidRPr="007A01F1">
        <w:rPr>
          <w:iCs/>
          <w:lang w:val="en-US"/>
        </w:rPr>
        <w:t xml:space="preserve">The </w:t>
      </w:r>
      <w:proofErr w:type="spellStart"/>
      <w:r w:rsidRPr="007A01F1">
        <w:rPr>
          <w:iCs/>
          <w:lang w:val="en-US"/>
        </w:rPr>
        <w:t>cytotoxicity</w:t>
      </w:r>
      <w:proofErr w:type="spellEnd"/>
      <w:r w:rsidRPr="007A01F1">
        <w:rPr>
          <w:iCs/>
          <w:lang w:val="en-US"/>
        </w:rPr>
        <w:t xml:space="preserve"> of the resulting complexes was evaluated on different human cancer cell lines, including prostate cancer (PC3), breast cancer (MCF7), and colorectal cancer (HCT 116), as well as </w:t>
      </w:r>
      <w:proofErr w:type="spellStart"/>
      <w:r w:rsidRPr="007A01F1">
        <w:rPr>
          <w:iCs/>
          <w:lang w:val="en-US"/>
        </w:rPr>
        <w:t>pseudonormal</w:t>
      </w:r>
      <w:proofErr w:type="spellEnd"/>
      <w:r w:rsidRPr="007A01F1">
        <w:rPr>
          <w:iCs/>
          <w:lang w:val="en-US"/>
        </w:rPr>
        <w:t xml:space="preserve"> (non-cancerous) human embryonic kidney cells (HEK 293). The values of half-maximal inhibitory concentrations (IC</w:t>
      </w:r>
      <w:r w:rsidRPr="007A01F1">
        <w:rPr>
          <w:iCs/>
          <w:vertAlign w:val="subscript"/>
          <w:lang w:val="en-US"/>
        </w:rPr>
        <w:t>50</w:t>
      </w:r>
      <w:r w:rsidRPr="007A01F1">
        <w:rPr>
          <w:iCs/>
          <w:lang w:val="en-US"/>
        </w:rPr>
        <w:t xml:space="preserve">) are presented in </w:t>
      </w:r>
      <w:r w:rsidRPr="007A01F1">
        <w:rPr>
          <w:bCs/>
          <w:iCs/>
          <w:lang w:val="en-US"/>
        </w:rPr>
        <w:t>Table 2.</w:t>
      </w:r>
    </w:p>
    <w:p w:rsidR="002B5C79" w:rsidRPr="007A01F1" w:rsidRDefault="002B5C79" w:rsidP="002B5C79">
      <w:pPr>
        <w:pStyle w:val="TableDescription"/>
        <w:rPr>
          <w:color w:val="000000"/>
          <w:lang w:val="en-US"/>
        </w:rPr>
      </w:pPr>
      <w:proofErr w:type="gramStart"/>
      <w:r w:rsidRPr="007A01F1">
        <w:rPr>
          <w:b/>
          <w:lang w:val="en-US"/>
        </w:rPr>
        <w:t>Table 2.</w:t>
      </w:r>
      <w:proofErr w:type="gramEnd"/>
      <w:r w:rsidRPr="007A01F1">
        <w:rPr>
          <w:b/>
          <w:lang w:val="en-US"/>
        </w:rPr>
        <w:t xml:space="preserve"> </w:t>
      </w:r>
      <w:proofErr w:type="spellStart"/>
      <w:r w:rsidRPr="007A01F1">
        <w:rPr>
          <w:lang w:val="en-US"/>
        </w:rPr>
        <w:t>Cytotoxic</w:t>
      </w:r>
      <w:proofErr w:type="spellEnd"/>
      <w:r w:rsidRPr="007A01F1">
        <w:rPr>
          <w:lang w:val="en-US"/>
        </w:rPr>
        <w:t xml:space="preserve"> activity of the compounds explored</w:t>
      </w:r>
    </w:p>
    <w:tbl>
      <w:tblPr>
        <w:tblStyle w:val="ac"/>
        <w:tblW w:w="0" w:type="auto"/>
        <w:jc w:val="center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95"/>
        <w:gridCol w:w="994"/>
        <w:gridCol w:w="994"/>
        <w:gridCol w:w="994"/>
        <w:gridCol w:w="994"/>
      </w:tblGrid>
      <w:tr w:rsidR="002B5C79" w:rsidRPr="007A01F1" w:rsidTr="009240B0">
        <w:trPr>
          <w:cantSplit/>
          <w:trHeight w:val="227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</w:pPr>
            <w:r w:rsidRPr="007A01F1">
              <w:t>Compound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</w:pPr>
            <w:r w:rsidRPr="007A01F1">
              <w:t>IC</w:t>
            </w:r>
            <w:r w:rsidRPr="007A01F1">
              <w:rPr>
                <w:vertAlign w:val="subscript"/>
              </w:rPr>
              <w:t>50</w:t>
            </w:r>
            <w:r w:rsidRPr="007A01F1">
              <w:t xml:space="preserve">, </w:t>
            </w:r>
            <w:proofErr w:type="spellStart"/>
            <w:r w:rsidRPr="007A01F1">
              <w:t>μM</w:t>
            </w:r>
            <w:proofErr w:type="spellEnd"/>
          </w:p>
        </w:tc>
      </w:tr>
      <w:tr w:rsidR="002B5C79" w:rsidRPr="007A01F1" w:rsidTr="009240B0">
        <w:trPr>
          <w:cantSplit/>
          <w:trHeight w:val="227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:rsidR="002B5C79" w:rsidRPr="007A01F1" w:rsidRDefault="002B5C79" w:rsidP="009240B0">
            <w:pPr>
              <w:pStyle w:val="ArticleTable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</w:pPr>
            <w:r w:rsidRPr="007A01F1">
              <w:t>PC3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</w:pPr>
            <w:r w:rsidRPr="007A01F1">
              <w:t>MCF7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</w:pPr>
            <w:r w:rsidRPr="007A01F1">
              <w:t>HCT116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</w:pPr>
            <w:r w:rsidRPr="007A01F1">
              <w:t>HEK293</w:t>
            </w:r>
          </w:p>
        </w:tc>
      </w:tr>
      <w:tr w:rsidR="002B5C79" w:rsidRPr="007A01F1" w:rsidTr="009240B0">
        <w:trPr>
          <w:cantSplit/>
          <w:trHeight w:val="227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B5C79" w:rsidRPr="007A01F1" w:rsidRDefault="002B5C79" w:rsidP="009240B0">
            <w:pPr>
              <w:pStyle w:val="ArticleTable"/>
              <w:rPr>
                <w:b/>
              </w:rPr>
            </w:pPr>
            <w:proofErr w:type="spellStart"/>
            <w:r w:rsidRPr="007A01F1">
              <w:rPr>
                <w:b/>
              </w:rPr>
              <w:t>II</w:t>
            </w:r>
            <w:r w:rsidRPr="007A01F1">
              <w:rPr>
                <w:b/>
                <w:vertAlign w:val="superscript"/>
              </w:rPr>
              <w:t>.</w:t>
            </w:r>
            <w:r w:rsidRPr="007A01F1">
              <w:rPr>
                <w:b/>
              </w:rPr>
              <w:t>Bipy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3.6±1.4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4.6±1.4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2.8±1.4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3.3±0.8</w:t>
            </w:r>
          </w:p>
        </w:tc>
      </w:tr>
      <w:tr w:rsidR="002B5C79" w:rsidRPr="007A01F1" w:rsidTr="009240B0">
        <w:trPr>
          <w:cantSplit/>
          <w:trHeight w:val="227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2B5C79" w:rsidRPr="007A01F1" w:rsidRDefault="002B5C79" w:rsidP="009240B0">
            <w:pPr>
              <w:pStyle w:val="ArticleTable"/>
              <w:rPr>
                <w:b/>
              </w:rPr>
            </w:pPr>
            <w:proofErr w:type="spellStart"/>
            <w:r w:rsidRPr="007A01F1">
              <w:rPr>
                <w:b/>
              </w:rPr>
              <w:t>II</w:t>
            </w:r>
            <w:r w:rsidRPr="007A01F1">
              <w:rPr>
                <w:b/>
                <w:vertAlign w:val="superscript"/>
              </w:rPr>
              <w:t>.</w:t>
            </w:r>
            <w:r w:rsidRPr="007A01F1">
              <w:rPr>
                <w:b/>
              </w:rPr>
              <w:t>Phen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2.8±0.3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4.0±1.5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3.2±0.05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4.0±1.3</w:t>
            </w:r>
          </w:p>
        </w:tc>
      </w:tr>
      <w:tr w:rsidR="002B5C79" w:rsidRPr="007A01F1" w:rsidTr="009240B0">
        <w:trPr>
          <w:cantSplit/>
          <w:trHeight w:val="227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2B5C79" w:rsidRPr="007A01F1" w:rsidRDefault="002B5C79" w:rsidP="009240B0">
            <w:pPr>
              <w:pStyle w:val="ArticleTable"/>
              <w:rPr>
                <w:b/>
              </w:rPr>
            </w:pPr>
            <w:proofErr w:type="spellStart"/>
            <w:r w:rsidRPr="007A01F1">
              <w:rPr>
                <w:b/>
              </w:rPr>
              <w:t>II.Me-Im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3.2±1.2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4.4±1.2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2.7±0.1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3.3±0.6</w:t>
            </w:r>
          </w:p>
        </w:tc>
      </w:tr>
      <w:tr w:rsidR="002B5C79" w:rsidRPr="007A01F1" w:rsidTr="009240B0">
        <w:trPr>
          <w:cantSplit/>
          <w:trHeight w:val="227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2B5C79" w:rsidRPr="007A01F1" w:rsidRDefault="002B5C79" w:rsidP="009240B0">
            <w:pPr>
              <w:pStyle w:val="ArticleTable"/>
              <w:rPr>
                <w:b/>
              </w:rPr>
            </w:pPr>
            <w:proofErr w:type="spellStart"/>
            <w:r w:rsidRPr="007A01F1">
              <w:rPr>
                <w:b/>
              </w:rPr>
              <w:t>II</w:t>
            </w:r>
            <w:r w:rsidRPr="007A01F1">
              <w:rPr>
                <w:b/>
                <w:vertAlign w:val="superscript"/>
              </w:rPr>
              <w:t>.</w:t>
            </w:r>
            <w:r w:rsidRPr="007A01F1">
              <w:rPr>
                <w:b/>
              </w:rPr>
              <w:t>Vin-Im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3.7±1.7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4.0±0.5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4.0±0.6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3.5±0.8</w:t>
            </w:r>
          </w:p>
        </w:tc>
      </w:tr>
      <w:tr w:rsidR="002B5C79" w:rsidRPr="007A01F1" w:rsidTr="009240B0">
        <w:trPr>
          <w:cantSplit/>
          <w:trHeight w:val="227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2B5C79" w:rsidRPr="007A01F1" w:rsidRDefault="002B5C79" w:rsidP="009240B0">
            <w:pPr>
              <w:pStyle w:val="ArticleTable"/>
              <w:rPr>
                <w:b/>
              </w:rPr>
            </w:pPr>
            <w:proofErr w:type="spellStart"/>
            <w:r w:rsidRPr="007A01F1">
              <w:rPr>
                <w:b/>
              </w:rPr>
              <w:t>II</w:t>
            </w:r>
            <w:r w:rsidRPr="007A01F1">
              <w:rPr>
                <w:b/>
                <w:vertAlign w:val="superscript"/>
              </w:rPr>
              <w:t>.</w:t>
            </w:r>
            <w:r w:rsidRPr="007A01F1">
              <w:rPr>
                <w:b/>
              </w:rPr>
              <w:t>All-Im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4.0±2.0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5.2±2.0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4.2±1.2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B5C79" w:rsidRPr="007A01F1" w:rsidRDefault="002B5C79" w:rsidP="009240B0">
            <w:pPr>
              <w:pStyle w:val="ArticleTable"/>
            </w:pPr>
            <w:r w:rsidRPr="007A01F1">
              <w:t>3.5±1.0</w:t>
            </w:r>
          </w:p>
        </w:tc>
      </w:tr>
      <w:tr w:rsidR="002B5C79" w:rsidRPr="007A01F1" w:rsidTr="009240B0">
        <w:trPr>
          <w:cantSplit/>
          <w:trHeight w:val="227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  <w:rPr>
                <w:b/>
              </w:rPr>
            </w:pPr>
            <w:proofErr w:type="spellStart"/>
            <w:r w:rsidRPr="007A01F1">
              <w:rPr>
                <w:b/>
              </w:rPr>
              <w:t>III</w:t>
            </w:r>
            <w:r w:rsidRPr="007A01F1">
              <w:rPr>
                <w:b/>
                <w:vertAlign w:val="superscript"/>
              </w:rPr>
              <w:t>.</w:t>
            </w:r>
            <w:r w:rsidRPr="007A01F1">
              <w:rPr>
                <w:b/>
              </w:rPr>
              <w:t>Bipy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</w:pPr>
            <w:r w:rsidRPr="007A01F1">
              <w:t>4.2±0.2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</w:pPr>
            <w:r w:rsidRPr="007A01F1">
              <w:t>3.5±1.5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</w:pPr>
            <w:r w:rsidRPr="007A01F1">
              <w:t>2.8±1.0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</w:pPr>
            <w:r w:rsidRPr="007A01F1">
              <w:t>4.6±0.8</w:t>
            </w:r>
          </w:p>
        </w:tc>
      </w:tr>
      <w:tr w:rsidR="002B5C79" w:rsidRPr="007A01F1" w:rsidTr="009240B0">
        <w:trPr>
          <w:cantSplit/>
          <w:trHeight w:val="227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  <w:rPr>
                <w:b/>
              </w:rPr>
            </w:pPr>
            <w:proofErr w:type="spellStart"/>
            <w:r w:rsidRPr="007A01F1">
              <w:rPr>
                <w:b/>
              </w:rPr>
              <w:t>III</w:t>
            </w:r>
            <w:r w:rsidRPr="007A01F1">
              <w:rPr>
                <w:b/>
                <w:vertAlign w:val="superscript"/>
              </w:rPr>
              <w:t>.</w:t>
            </w:r>
            <w:r w:rsidRPr="007A01F1">
              <w:rPr>
                <w:b/>
              </w:rPr>
              <w:t>Phen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</w:pPr>
            <w:r w:rsidRPr="007A01F1">
              <w:t>3.5±0.5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</w:pPr>
            <w:r w:rsidRPr="007A01F1">
              <w:t>3.5±0.8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</w:pPr>
            <w:r w:rsidRPr="007A01F1">
              <w:t>2.6±0.2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</w:pPr>
            <w:r w:rsidRPr="007A01F1">
              <w:t>2.0±0.3</w:t>
            </w:r>
          </w:p>
        </w:tc>
      </w:tr>
      <w:tr w:rsidR="002B5C79" w:rsidRPr="007A01F1" w:rsidTr="009240B0">
        <w:trPr>
          <w:cantSplit/>
          <w:trHeight w:val="227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  <w:rPr>
                <w:b/>
              </w:rPr>
            </w:pPr>
            <w:proofErr w:type="spellStart"/>
            <w:r w:rsidRPr="007A01F1">
              <w:rPr>
                <w:b/>
              </w:rPr>
              <w:t>III</w:t>
            </w:r>
            <w:r w:rsidRPr="007A01F1">
              <w:rPr>
                <w:b/>
                <w:vertAlign w:val="superscript"/>
              </w:rPr>
              <w:t>.</w:t>
            </w:r>
            <w:r w:rsidRPr="007A01F1">
              <w:rPr>
                <w:b/>
              </w:rPr>
              <w:t>Me-Im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</w:pPr>
            <w:r w:rsidRPr="007A01F1">
              <w:t>5.2±2.5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</w:pPr>
            <w:r w:rsidRPr="007A01F1">
              <w:t>6.4±0.6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</w:pPr>
            <w:r w:rsidRPr="007A01F1">
              <w:t>4.8±1.2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</w:pPr>
            <w:r w:rsidRPr="007A01F1">
              <w:t>5.5±2.0</w:t>
            </w:r>
          </w:p>
        </w:tc>
      </w:tr>
      <w:tr w:rsidR="002B5C79" w:rsidRPr="007A01F1" w:rsidTr="009240B0">
        <w:trPr>
          <w:cantSplit/>
          <w:trHeight w:val="227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  <w:rPr>
                <w:b/>
              </w:rPr>
            </w:pPr>
            <w:proofErr w:type="spellStart"/>
            <w:r w:rsidRPr="007A01F1">
              <w:rPr>
                <w:b/>
              </w:rPr>
              <w:t>III</w:t>
            </w:r>
            <w:r w:rsidRPr="007A01F1">
              <w:rPr>
                <w:b/>
                <w:vertAlign w:val="superscript"/>
              </w:rPr>
              <w:t>.</w:t>
            </w:r>
            <w:r w:rsidRPr="007A01F1">
              <w:rPr>
                <w:b/>
              </w:rPr>
              <w:t>Vin-Im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</w:pPr>
            <w:r w:rsidRPr="007A01F1">
              <w:t>6.0±0.2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</w:pPr>
            <w:r w:rsidRPr="007A01F1">
              <w:t>4.3±0.5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</w:pPr>
            <w:r w:rsidRPr="007A01F1">
              <w:t>6.6±1.4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</w:pPr>
            <w:r w:rsidRPr="007A01F1">
              <w:t>4.2±1.8</w:t>
            </w:r>
          </w:p>
        </w:tc>
      </w:tr>
      <w:tr w:rsidR="002B5C79" w:rsidRPr="007A01F1" w:rsidTr="009240B0">
        <w:trPr>
          <w:cantSplit/>
          <w:trHeight w:val="227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  <w:rPr>
                <w:b/>
              </w:rPr>
            </w:pPr>
            <w:proofErr w:type="spellStart"/>
            <w:r w:rsidRPr="007A01F1">
              <w:rPr>
                <w:b/>
              </w:rPr>
              <w:t>III</w:t>
            </w:r>
            <w:r w:rsidRPr="007A01F1">
              <w:rPr>
                <w:b/>
                <w:vertAlign w:val="superscript"/>
              </w:rPr>
              <w:t>.</w:t>
            </w:r>
            <w:r w:rsidRPr="007A01F1">
              <w:rPr>
                <w:b/>
              </w:rPr>
              <w:t>All-Im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</w:pPr>
            <w:r w:rsidRPr="007A01F1">
              <w:t>16.0±4.0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</w:pPr>
            <w:r w:rsidRPr="007A01F1">
              <w:t>10.5±2.5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</w:pPr>
            <w:r w:rsidRPr="007A01F1">
              <w:t>14.5±1.5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</w:pPr>
            <w:r w:rsidRPr="007A01F1">
              <w:t>10.0±2.0</w:t>
            </w:r>
          </w:p>
        </w:tc>
      </w:tr>
      <w:tr w:rsidR="002B5C79" w:rsidRPr="007A01F1" w:rsidTr="009240B0">
        <w:trPr>
          <w:cantSplit/>
          <w:trHeight w:val="227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</w:pPr>
            <w:proofErr w:type="spellStart"/>
            <w:r w:rsidRPr="007A01F1">
              <w:t>Cisplatin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</w:pPr>
            <w:r w:rsidRPr="007A01F1">
              <w:t>20.0±2.0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</w:pPr>
            <w:r w:rsidRPr="007A01F1">
              <w:t>21.0±3.0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</w:pPr>
            <w:r w:rsidRPr="007A01F1">
              <w:t>14.0±4.0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B5C79" w:rsidRPr="007A01F1" w:rsidRDefault="002B5C79" w:rsidP="009240B0">
            <w:pPr>
              <w:pStyle w:val="ArticleTable"/>
            </w:pPr>
            <w:r w:rsidRPr="007A01F1">
              <w:t>13.0±1.0</w:t>
            </w:r>
          </w:p>
        </w:tc>
      </w:tr>
    </w:tbl>
    <w:p w:rsidR="002B5C79" w:rsidRPr="007A01F1" w:rsidRDefault="002B5C79" w:rsidP="002B5C79">
      <w:pPr>
        <w:pStyle w:val="Text"/>
        <w:spacing w:before="200"/>
        <w:rPr>
          <w:lang w:val="en-US"/>
        </w:rPr>
      </w:pPr>
      <w:r w:rsidRPr="007A01F1">
        <w:rPr>
          <w:lang w:val="en-US"/>
        </w:rPr>
        <w:t xml:space="preserve">The results obtained indicate that the efficiency of all the complexes explored (except for </w:t>
      </w:r>
      <w:proofErr w:type="spellStart"/>
      <w:r w:rsidRPr="007A01F1">
        <w:rPr>
          <w:b/>
          <w:lang w:val="en-US"/>
        </w:rPr>
        <w:t>III</w:t>
      </w:r>
      <w:r w:rsidRPr="007A01F1">
        <w:rPr>
          <w:b/>
          <w:vertAlign w:val="superscript"/>
          <w:lang w:val="en-US"/>
        </w:rPr>
        <w:t>.</w:t>
      </w:r>
      <w:r w:rsidRPr="007A01F1">
        <w:rPr>
          <w:b/>
          <w:lang w:val="en-US"/>
        </w:rPr>
        <w:t>All-Im</w:t>
      </w:r>
      <w:proofErr w:type="spellEnd"/>
      <w:r w:rsidRPr="007A01F1">
        <w:rPr>
          <w:lang w:val="en-US"/>
        </w:rPr>
        <w:t xml:space="preserve">) was higher than that of the well-known anticancer drug </w:t>
      </w:r>
      <w:proofErr w:type="spellStart"/>
      <w:r w:rsidRPr="007A01F1">
        <w:rPr>
          <w:lang w:val="en-US"/>
        </w:rPr>
        <w:t>cisplatin</w:t>
      </w:r>
      <w:proofErr w:type="spellEnd"/>
      <w:r w:rsidRPr="007A01F1">
        <w:rPr>
          <w:lang w:val="en-US"/>
        </w:rPr>
        <w:t>: the values of IC</w:t>
      </w:r>
      <w:r w:rsidRPr="007A01F1">
        <w:rPr>
          <w:vertAlign w:val="subscript"/>
          <w:lang w:val="en-US"/>
        </w:rPr>
        <w:t>50</w:t>
      </w:r>
      <w:r w:rsidRPr="007A01F1">
        <w:rPr>
          <w:lang w:val="en-US"/>
        </w:rPr>
        <w:t xml:space="preserve"> ranged within 1.7–8.0 and 13.0–21.0 µM, respectively.</w:t>
      </w:r>
    </w:p>
    <w:p w:rsidR="002B5C79" w:rsidRPr="007A01F1" w:rsidRDefault="002B5C79" w:rsidP="002B5C79">
      <w:pPr>
        <w:pStyle w:val="Text"/>
        <w:rPr>
          <w:lang w:val="en-US"/>
        </w:rPr>
      </w:pPr>
      <w:r w:rsidRPr="007A01F1">
        <w:rPr>
          <w:lang w:val="en-US"/>
        </w:rPr>
        <w:t>A comparative assessment of the complexes of six-</w:t>
      </w:r>
      <w:proofErr w:type="spellStart"/>
      <w:r w:rsidRPr="007A01F1">
        <w:rPr>
          <w:lang w:val="en-US"/>
        </w:rPr>
        <w:t>membered</w:t>
      </w:r>
      <w:proofErr w:type="spellEnd"/>
      <w:r w:rsidRPr="007A01F1">
        <w:rPr>
          <w:lang w:val="en-US"/>
        </w:rPr>
        <w:t xml:space="preserve"> (</w:t>
      </w:r>
      <w:r w:rsidRPr="007A01F1">
        <w:rPr>
          <w:b/>
          <w:lang w:val="en-US"/>
        </w:rPr>
        <w:t>II</w:t>
      </w:r>
      <w:r w:rsidRPr="007A01F1">
        <w:rPr>
          <w:lang w:val="en-US"/>
        </w:rPr>
        <w:t>) [1] and eight-</w:t>
      </w:r>
      <w:proofErr w:type="spellStart"/>
      <w:r w:rsidRPr="007A01F1">
        <w:rPr>
          <w:lang w:val="en-US"/>
        </w:rPr>
        <w:t>membered</w:t>
      </w:r>
      <w:proofErr w:type="spellEnd"/>
      <w:r w:rsidRPr="007A01F1">
        <w:rPr>
          <w:lang w:val="en-US"/>
        </w:rPr>
        <w:t xml:space="preserve"> (</w:t>
      </w:r>
      <w:r w:rsidRPr="007A01F1">
        <w:rPr>
          <w:b/>
          <w:lang w:val="en-US"/>
        </w:rPr>
        <w:t>III</w:t>
      </w:r>
      <w:r w:rsidRPr="007A01F1">
        <w:rPr>
          <w:lang w:val="en-US"/>
        </w:rPr>
        <w:t xml:space="preserve">) </w:t>
      </w:r>
      <w:proofErr w:type="spellStart"/>
      <w:r w:rsidRPr="007A01F1">
        <w:rPr>
          <w:lang w:val="en-US"/>
        </w:rPr>
        <w:t>heterocycles</w:t>
      </w:r>
      <w:proofErr w:type="spellEnd"/>
      <w:r w:rsidRPr="007A01F1">
        <w:rPr>
          <w:lang w:val="en-US"/>
        </w:rPr>
        <w:t xml:space="preserve"> with the same </w:t>
      </w:r>
      <w:proofErr w:type="spellStart"/>
      <w:r w:rsidRPr="007A01F1">
        <w:rPr>
          <w:lang w:val="en-US"/>
        </w:rPr>
        <w:t>ligands</w:t>
      </w:r>
      <w:proofErr w:type="spellEnd"/>
      <w:r w:rsidRPr="007A01F1">
        <w:rPr>
          <w:lang w:val="en-US"/>
        </w:rPr>
        <w:t xml:space="preserve"> did not reveal significant differences in their </w:t>
      </w:r>
      <w:proofErr w:type="spellStart"/>
      <w:r w:rsidRPr="007A01F1">
        <w:rPr>
          <w:lang w:val="en-US"/>
        </w:rPr>
        <w:t>cytotoxic</w:t>
      </w:r>
      <w:proofErr w:type="spellEnd"/>
      <w:r w:rsidRPr="007A01F1">
        <w:rPr>
          <w:lang w:val="en-US"/>
        </w:rPr>
        <w:t xml:space="preserve"> activities on the tested cells. </w:t>
      </w:r>
      <w:proofErr w:type="gramStart"/>
      <w:r w:rsidRPr="007A01F1">
        <w:rPr>
          <w:lang w:val="en-US"/>
        </w:rPr>
        <w:t>A certain difference in the values of IC</w:t>
      </w:r>
      <w:r w:rsidRPr="007A01F1">
        <w:rPr>
          <w:vertAlign w:val="subscript"/>
          <w:lang w:val="en-US"/>
        </w:rPr>
        <w:t>50</w:t>
      </w:r>
      <w:r w:rsidRPr="007A01F1">
        <w:rPr>
          <w:lang w:val="en-US"/>
        </w:rPr>
        <w:t xml:space="preserve"> were</w:t>
      </w:r>
      <w:proofErr w:type="gramEnd"/>
      <w:r w:rsidRPr="007A01F1">
        <w:rPr>
          <w:lang w:val="en-US"/>
        </w:rPr>
        <w:t xml:space="preserve"> observed for complexes </w:t>
      </w:r>
      <w:proofErr w:type="spellStart"/>
      <w:r w:rsidRPr="007A01F1">
        <w:rPr>
          <w:b/>
          <w:lang w:val="en-US"/>
        </w:rPr>
        <w:t>II</w:t>
      </w:r>
      <w:r w:rsidRPr="007A01F1">
        <w:rPr>
          <w:b/>
          <w:vertAlign w:val="superscript"/>
          <w:lang w:val="en-US"/>
        </w:rPr>
        <w:t>.</w:t>
      </w:r>
      <w:r w:rsidRPr="007A01F1">
        <w:rPr>
          <w:b/>
          <w:lang w:val="en-US"/>
        </w:rPr>
        <w:t>All-Im</w:t>
      </w:r>
      <w:proofErr w:type="spellEnd"/>
      <w:r w:rsidRPr="007A01F1">
        <w:rPr>
          <w:lang w:val="en-US"/>
        </w:rPr>
        <w:t xml:space="preserve"> (3.5–5.2 </w:t>
      </w:r>
      <w:proofErr w:type="spellStart"/>
      <w:r w:rsidRPr="007A01F1">
        <w:rPr>
          <w:lang w:val="en-US"/>
        </w:rPr>
        <w:t>μM</w:t>
      </w:r>
      <w:proofErr w:type="spellEnd"/>
      <w:r w:rsidRPr="007A01F1">
        <w:rPr>
          <w:lang w:val="en-US"/>
        </w:rPr>
        <w:t xml:space="preserve">) [1] and </w:t>
      </w:r>
      <w:proofErr w:type="spellStart"/>
      <w:r w:rsidRPr="007A01F1">
        <w:rPr>
          <w:b/>
          <w:lang w:val="en-US"/>
        </w:rPr>
        <w:t>III</w:t>
      </w:r>
      <w:r w:rsidRPr="007A01F1">
        <w:rPr>
          <w:b/>
          <w:vertAlign w:val="superscript"/>
          <w:lang w:val="en-US"/>
        </w:rPr>
        <w:t>.</w:t>
      </w:r>
      <w:r w:rsidRPr="007A01F1">
        <w:rPr>
          <w:b/>
          <w:lang w:val="en-US"/>
        </w:rPr>
        <w:t>All-Im</w:t>
      </w:r>
      <w:proofErr w:type="spellEnd"/>
      <w:r w:rsidRPr="007A01F1">
        <w:rPr>
          <w:lang w:val="en-US"/>
        </w:rPr>
        <w:t xml:space="preserve"> (10.0–16.0 </w:t>
      </w:r>
      <w:proofErr w:type="spellStart"/>
      <w:r w:rsidRPr="007A01F1">
        <w:rPr>
          <w:lang w:val="en-US"/>
        </w:rPr>
        <w:t>μM</w:t>
      </w:r>
      <w:proofErr w:type="spellEnd"/>
      <w:r w:rsidRPr="007A01F1">
        <w:rPr>
          <w:lang w:val="en-US"/>
        </w:rPr>
        <w:t>).</w:t>
      </w:r>
    </w:p>
    <w:p w:rsidR="002B5C79" w:rsidRPr="007A01F1" w:rsidRDefault="002B5C79" w:rsidP="002B5C79">
      <w:pPr>
        <w:pStyle w:val="MainHeader"/>
      </w:pPr>
      <w:r w:rsidRPr="007A01F1">
        <w:t>Experimental section</w:t>
      </w:r>
    </w:p>
    <w:p w:rsidR="002B5C79" w:rsidRPr="007A01F1" w:rsidRDefault="002B5C79" w:rsidP="002B5C79">
      <w:pPr>
        <w:pStyle w:val="Text"/>
        <w:rPr>
          <w:lang w:val="en-US"/>
        </w:rPr>
      </w:pPr>
      <w:r w:rsidRPr="007A01F1">
        <w:rPr>
          <w:lang w:val="en-US"/>
        </w:rPr>
        <w:t>All reactions were carried out in a dry nitrogen atmosphere. The solvents were purified and dried prior to use. 1</w:t>
      </w:r>
      <w:proofErr w:type="gramStart"/>
      <w:r w:rsidRPr="007A01F1">
        <w:rPr>
          <w:lang w:val="en-US"/>
        </w:rPr>
        <w:t>,1</w:t>
      </w:r>
      <w:proofErr w:type="gramEnd"/>
      <w:r w:rsidRPr="007A01F1">
        <w:rPr>
          <w:lang w:val="en-US"/>
        </w:rPr>
        <w:t>-Dichloro-1-stanna-3,3,5,5,7,7-hexamethyl-3,5,7-tris</w:t>
      </w:r>
      <w:r>
        <w:rPr>
          <w:lang w:val="en-US"/>
        </w:rPr>
        <w:t>i</w:t>
      </w:r>
      <w:r w:rsidRPr="007A01F1">
        <w:rPr>
          <w:lang w:val="en-US"/>
        </w:rPr>
        <w:t>la-4,6-dioxacyclooctane (</w:t>
      </w:r>
      <w:r w:rsidRPr="007A01F1">
        <w:rPr>
          <w:b/>
          <w:lang w:val="en-US"/>
        </w:rPr>
        <w:t>III</w:t>
      </w:r>
      <w:r w:rsidRPr="007A01F1">
        <w:rPr>
          <w:lang w:val="en-US"/>
        </w:rPr>
        <w:t>) was synthesized by the published procedure [2, 3].</w:t>
      </w:r>
    </w:p>
    <w:p w:rsidR="002B5C79" w:rsidRPr="007A01F1" w:rsidRDefault="002B5C79" w:rsidP="002B5C79">
      <w:pPr>
        <w:pStyle w:val="Text"/>
        <w:rPr>
          <w:b/>
          <w:sz w:val="16"/>
          <w:szCs w:val="16"/>
          <w:lang w:val="en-US"/>
        </w:rPr>
      </w:pPr>
      <w:proofErr w:type="gramStart"/>
      <w:r w:rsidRPr="007A01F1">
        <w:rPr>
          <w:b/>
          <w:bCs/>
          <w:lang w:val="en-US"/>
        </w:rPr>
        <w:lastRenderedPageBreak/>
        <w:t xml:space="preserve">General procedure for the synthesis of the complexes with </w:t>
      </w:r>
      <w:proofErr w:type="spellStart"/>
      <w:r w:rsidRPr="007A01F1">
        <w:rPr>
          <w:b/>
          <w:bCs/>
          <w:lang w:val="en-US"/>
        </w:rPr>
        <w:t>bidentate</w:t>
      </w:r>
      <w:proofErr w:type="spellEnd"/>
      <w:r w:rsidRPr="007A01F1">
        <w:rPr>
          <w:b/>
          <w:bCs/>
          <w:lang w:val="en-US"/>
        </w:rPr>
        <w:t xml:space="preserve"> </w:t>
      </w:r>
      <w:proofErr w:type="spellStart"/>
      <w:r w:rsidRPr="007A01F1">
        <w:rPr>
          <w:b/>
          <w:bCs/>
          <w:lang w:val="en-US"/>
        </w:rPr>
        <w:t>ligands</w:t>
      </w:r>
      <w:proofErr w:type="spellEnd"/>
      <w:r w:rsidRPr="007A01F1">
        <w:rPr>
          <w:b/>
          <w:bCs/>
          <w:lang w:val="en-US"/>
        </w:rPr>
        <w:t xml:space="preserve"> </w:t>
      </w:r>
      <w:proofErr w:type="spellStart"/>
      <w:r w:rsidRPr="007A01F1">
        <w:rPr>
          <w:b/>
          <w:bCs/>
          <w:lang w:val="en-US"/>
        </w:rPr>
        <w:t>Bipy</w:t>
      </w:r>
      <w:proofErr w:type="spellEnd"/>
      <w:r w:rsidRPr="007A01F1">
        <w:rPr>
          <w:b/>
          <w:bCs/>
          <w:lang w:val="en-US"/>
        </w:rPr>
        <w:t xml:space="preserve"> and </w:t>
      </w:r>
      <w:proofErr w:type="spellStart"/>
      <w:r w:rsidRPr="007A01F1">
        <w:rPr>
          <w:b/>
          <w:bCs/>
          <w:lang w:val="en-US"/>
        </w:rPr>
        <w:t>Phen</w:t>
      </w:r>
      <w:proofErr w:type="spellEnd"/>
      <w:r w:rsidRPr="007A01F1">
        <w:rPr>
          <w:b/>
          <w:bCs/>
          <w:lang w:val="en-US"/>
        </w:rPr>
        <w:t>.</w:t>
      </w:r>
      <w:proofErr w:type="gramEnd"/>
      <w:r w:rsidRPr="007A01F1">
        <w:rPr>
          <w:b/>
          <w:bCs/>
          <w:lang w:val="en-US"/>
        </w:rPr>
        <w:t xml:space="preserve"> </w:t>
      </w:r>
      <w:r w:rsidRPr="007A01F1">
        <w:rPr>
          <w:bCs/>
          <w:lang w:val="en-US"/>
        </w:rPr>
        <w:t xml:space="preserve">A solution of </w:t>
      </w:r>
      <w:proofErr w:type="spellStart"/>
      <w:r w:rsidRPr="007A01F1">
        <w:rPr>
          <w:lang w:val="en-US"/>
        </w:rPr>
        <w:t>Bipy</w:t>
      </w:r>
      <w:proofErr w:type="spellEnd"/>
      <w:r w:rsidRPr="007A01F1">
        <w:rPr>
          <w:lang w:val="en-US"/>
        </w:rPr>
        <w:t xml:space="preserve"> or </w:t>
      </w:r>
      <w:proofErr w:type="spellStart"/>
      <w:r w:rsidRPr="007A01F1">
        <w:rPr>
          <w:lang w:val="en-US"/>
        </w:rPr>
        <w:t>Phen</w:t>
      </w:r>
      <w:proofErr w:type="spellEnd"/>
      <w:r w:rsidRPr="007A01F1">
        <w:rPr>
          <w:lang w:val="en-US"/>
        </w:rPr>
        <w:t xml:space="preserve"> (0.01 mol) in benzene was added to a stirred solution of compound </w:t>
      </w:r>
      <w:r w:rsidRPr="007A01F1">
        <w:rPr>
          <w:b/>
          <w:lang w:val="en-US"/>
        </w:rPr>
        <w:t>III</w:t>
      </w:r>
      <w:r w:rsidRPr="007A01F1">
        <w:rPr>
          <w:lang w:val="en-US"/>
        </w:rPr>
        <w:t xml:space="preserve"> (4.24 g, 0.01 mol) in 10 </w:t>
      </w:r>
      <w:proofErr w:type="spellStart"/>
      <w:r w:rsidRPr="007A01F1">
        <w:rPr>
          <w:lang w:val="en-US"/>
        </w:rPr>
        <w:t>mL</w:t>
      </w:r>
      <w:proofErr w:type="spellEnd"/>
      <w:r w:rsidRPr="007A01F1">
        <w:rPr>
          <w:lang w:val="en-US"/>
        </w:rPr>
        <w:t xml:space="preserve"> of benzene. The resulting amorphous precipitate was filtered off and </w:t>
      </w:r>
      <w:proofErr w:type="spellStart"/>
      <w:r w:rsidRPr="007A01F1">
        <w:rPr>
          <w:lang w:val="en-US"/>
        </w:rPr>
        <w:t>recrystallized</w:t>
      </w:r>
      <w:proofErr w:type="spellEnd"/>
      <w:r w:rsidRPr="007A01F1">
        <w:rPr>
          <w:lang w:val="en-US"/>
        </w:rPr>
        <w:t xml:space="preserve"> from hexane to give the target complexes. The yields and elemental analyses are presented in Table 1. </w:t>
      </w:r>
      <w:proofErr w:type="spellStart"/>
      <w:r w:rsidRPr="007A01F1">
        <w:rPr>
          <w:b/>
          <w:bCs/>
          <w:lang w:val="en-US"/>
        </w:rPr>
        <w:t>III</w:t>
      </w:r>
      <w:r w:rsidRPr="007A01F1">
        <w:rPr>
          <w:b/>
          <w:bCs/>
          <w:vertAlign w:val="superscript"/>
          <w:lang w:val="en-US"/>
        </w:rPr>
        <w:t>.</w:t>
      </w:r>
      <w:r w:rsidRPr="007A01F1">
        <w:rPr>
          <w:b/>
          <w:bCs/>
          <w:lang w:val="en-US"/>
        </w:rPr>
        <w:t>Bipy</w:t>
      </w:r>
      <w:proofErr w:type="spellEnd"/>
      <w:r w:rsidRPr="007A01F1">
        <w:rPr>
          <w:lang w:val="en-US"/>
        </w:rPr>
        <w:t xml:space="preserve">: </w:t>
      </w:r>
      <w:r w:rsidRPr="007A01F1">
        <w:rPr>
          <w:vertAlign w:val="superscript"/>
          <w:lang w:val="en-US"/>
        </w:rPr>
        <w:t>1</w:t>
      </w:r>
      <w:r w:rsidRPr="007A01F1">
        <w:rPr>
          <w:lang w:val="en-US"/>
        </w:rPr>
        <w:t>H NMR (CDCl</w:t>
      </w:r>
      <w:r w:rsidRPr="007A01F1">
        <w:rPr>
          <w:vertAlign w:val="subscript"/>
          <w:lang w:val="en-US"/>
        </w:rPr>
        <w:t>3</w:t>
      </w:r>
      <w:r w:rsidRPr="007A01F1">
        <w:rPr>
          <w:lang w:val="en-US"/>
        </w:rPr>
        <w:t xml:space="preserve">) </w:t>
      </w:r>
      <w:r w:rsidRPr="007A01F1">
        <w:rPr>
          <w:i/>
          <w:lang w:val="en-US"/>
        </w:rPr>
        <w:t>δ</w:t>
      </w:r>
      <w:r w:rsidRPr="007A01F1">
        <w:rPr>
          <w:lang w:val="en-US"/>
        </w:rPr>
        <w:t xml:space="preserve"> 8.67 (m, 2H, </w:t>
      </w:r>
      <w:proofErr w:type="spellStart"/>
      <w:r w:rsidRPr="007A01F1">
        <w:rPr>
          <w:lang w:val="en-US"/>
        </w:rPr>
        <w:t>bipy</w:t>
      </w:r>
      <w:proofErr w:type="spellEnd"/>
      <w:r w:rsidRPr="007A01F1">
        <w:rPr>
          <w:lang w:val="en-US"/>
        </w:rPr>
        <w:t xml:space="preserve">), 8.39 (m, 2H, </w:t>
      </w:r>
      <w:proofErr w:type="spellStart"/>
      <w:r w:rsidRPr="007A01F1">
        <w:rPr>
          <w:lang w:val="en-US"/>
        </w:rPr>
        <w:t>bipy</w:t>
      </w:r>
      <w:proofErr w:type="spellEnd"/>
      <w:r w:rsidRPr="007A01F1">
        <w:rPr>
          <w:lang w:val="en-US"/>
        </w:rPr>
        <w:t xml:space="preserve">), 7.80 (m, 2H, </w:t>
      </w:r>
      <w:proofErr w:type="spellStart"/>
      <w:r w:rsidRPr="007A01F1">
        <w:rPr>
          <w:lang w:val="en-US"/>
        </w:rPr>
        <w:t>bipy</w:t>
      </w:r>
      <w:proofErr w:type="spellEnd"/>
      <w:r w:rsidRPr="007A01F1">
        <w:rPr>
          <w:lang w:val="en-US"/>
        </w:rPr>
        <w:t xml:space="preserve">), 7.29 (m, 2H, </w:t>
      </w:r>
      <w:proofErr w:type="spellStart"/>
      <w:r w:rsidRPr="007A01F1">
        <w:rPr>
          <w:lang w:val="en-US"/>
        </w:rPr>
        <w:t>bipy</w:t>
      </w:r>
      <w:proofErr w:type="spellEnd"/>
      <w:r w:rsidRPr="007A01F1">
        <w:rPr>
          <w:lang w:val="en-US"/>
        </w:rPr>
        <w:t>), 1.03 (s, 4H, CH</w:t>
      </w:r>
      <w:r w:rsidRPr="007A01F1">
        <w:rPr>
          <w:vertAlign w:val="subscript"/>
          <w:lang w:val="en-US"/>
        </w:rPr>
        <w:t>2</w:t>
      </w:r>
      <w:r w:rsidRPr="007A01F1">
        <w:rPr>
          <w:lang w:val="en-US"/>
        </w:rPr>
        <w:t>), 0.25 (s, 12H, SiMe</w:t>
      </w:r>
      <w:r w:rsidRPr="007A01F1">
        <w:rPr>
          <w:vertAlign w:val="subscript"/>
          <w:lang w:val="en-US"/>
        </w:rPr>
        <w:t>2</w:t>
      </w:r>
      <w:r w:rsidRPr="007A01F1">
        <w:rPr>
          <w:lang w:val="en-US"/>
        </w:rPr>
        <w:t xml:space="preserve">), 0.08 (s, 6H, Si-Me) </w:t>
      </w:r>
      <w:proofErr w:type="spellStart"/>
      <w:r w:rsidRPr="007A01F1">
        <w:rPr>
          <w:lang w:val="en-US"/>
        </w:rPr>
        <w:t>ppm</w:t>
      </w:r>
      <w:proofErr w:type="spellEnd"/>
      <w:r w:rsidRPr="007A01F1">
        <w:rPr>
          <w:lang w:val="en-US"/>
        </w:rPr>
        <w:t xml:space="preserve">. </w:t>
      </w:r>
      <w:proofErr w:type="spellStart"/>
      <w:r w:rsidRPr="007A01F1">
        <w:rPr>
          <w:b/>
          <w:bCs/>
          <w:lang w:val="en-US"/>
        </w:rPr>
        <w:t>III</w:t>
      </w:r>
      <w:r w:rsidRPr="007A01F1">
        <w:rPr>
          <w:b/>
          <w:bCs/>
          <w:vertAlign w:val="superscript"/>
          <w:lang w:val="en-US"/>
        </w:rPr>
        <w:t>.</w:t>
      </w:r>
      <w:r w:rsidRPr="007A01F1">
        <w:rPr>
          <w:b/>
          <w:bCs/>
          <w:lang w:val="en-US"/>
        </w:rPr>
        <w:t>Phen</w:t>
      </w:r>
      <w:proofErr w:type="spellEnd"/>
      <w:r w:rsidRPr="007A01F1">
        <w:rPr>
          <w:lang w:val="en-US"/>
        </w:rPr>
        <w:t xml:space="preserve">: </w:t>
      </w:r>
      <w:r w:rsidRPr="007A01F1">
        <w:rPr>
          <w:vertAlign w:val="superscript"/>
          <w:lang w:val="en-US"/>
        </w:rPr>
        <w:t>1</w:t>
      </w:r>
      <w:r w:rsidRPr="007A01F1">
        <w:rPr>
          <w:lang w:val="en-US"/>
        </w:rPr>
        <w:t>H NMR (CDCl</w:t>
      </w:r>
      <w:r w:rsidRPr="007A01F1">
        <w:rPr>
          <w:vertAlign w:val="subscript"/>
          <w:lang w:val="en-US"/>
        </w:rPr>
        <w:t>3</w:t>
      </w:r>
      <w:r w:rsidRPr="007A01F1">
        <w:rPr>
          <w:lang w:val="en-US"/>
        </w:rPr>
        <w:t xml:space="preserve">) </w:t>
      </w:r>
      <w:r w:rsidRPr="007A01F1">
        <w:rPr>
          <w:i/>
          <w:lang w:val="en-US"/>
        </w:rPr>
        <w:t>δ</w:t>
      </w:r>
      <w:r w:rsidRPr="007A01F1">
        <w:rPr>
          <w:lang w:val="en-US"/>
        </w:rPr>
        <w:t xml:space="preserve"> </w:t>
      </w:r>
      <w:r w:rsidRPr="007A01F1">
        <w:rPr>
          <w:rFonts w:eastAsia="Calibri"/>
          <w:lang w:val="en-US"/>
        </w:rPr>
        <w:t xml:space="preserve">9.20 (m, 2H, </w:t>
      </w:r>
      <w:proofErr w:type="spellStart"/>
      <w:r w:rsidRPr="007A01F1">
        <w:rPr>
          <w:rFonts w:eastAsia="Calibri"/>
          <w:lang w:val="en-US"/>
        </w:rPr>
        <w:t>phen</w:t>
      </w:r>
      <w:proofErr w:type="spellEnd"/>
      <w:r w:rsidRPr="007A01F1">
        <w:rPr>
          <w:rFonts w:eastAsia="Calibri"/>
          <w:lang w:val="en-US"/>
        </w:rPr>
        <w:t xml:space="preserve">), 8.26 (m, 2H, </w:t>
      </w:r>
      <w:proofErr w:type="spellStart"/>
      <w:r w:rsidRPr="007A01F1">
        <w:rPr>
          <w:rFonts w:eastAsia="Calibri"/>
          <w:lang w:val="en-US"/>
        </w:rPr>
        <w:t>phen</w:t>
      </w:r>
      <w:proofErr w:type="spellEnd"/>
      <w:r w:rsidRPr="007A01F1">
        <w:rPr>
          <w:rFonts w:eastAsia="Calibri"/>
          <w:lang w:val="en-US"/>
        </w:rPr>
        <w:t xml:space="preserve">), 7.78 (m, 2H, </w:t>
      </w:r>
      <w:proofErr w:type="spellStart"/>
      <w:r w:rsidRPr="007A01F1">
        <w:rPr>
          <w:rFonts w:eastAsia="Calibri"/>
          <w:lang w:val="en-US"/>
        </w:rPr>
        <w:t>phen</w:t>
      </w:r>
      <w:proofErr w:type="spellEnd"/>
      <w:r w:rsidRPr="007A01F1">
        <w:rPr>
          <w:rFonts w:eastAsia="Calibri"/>
          <w:lang w:val="en-US"/>
        </w:rPr>
        <w:t xml:space="preserve">), 7.64 (m, 2H, </w:t>
      </w:r>
      <w:proofErr w:type="spellStart"/>
      <w:r w:rsidRPr="007A01F1">
        <w:rPr>
          <w:rFonts w:eastAsia="Calibri"/>
          <w:lang w:val="en-US"/>
        </w:rPr>
        <w:t>phen</w:t>
      </w:r>
      <w:proofErr w:type="spellEnd"/>
      <w:r w:rsidRPr="007A01F1">
        <w:rPr>
          <w:rFonts w:eastAsia="Calibri"/>
          <w:lang w:val="en-US"/>
        </w:rPr>
        <w:t xml:space="preserve">), </w:t>
      </w:r>
      <w:r w:rsidRPr="007A01F1">
        <w:rPr>
          <w:lang w:val="en-US"/>
        </w:rPr>
        <w:t>1.03 (s, 4H, CH</w:t>
      </w:r>
      <w:r w:rsidRPr="007A01F1">
        <w:rPr>
          <w:vertAlign w:val="subscript"/>
          <w:lang w:val="en-US"/>
        </w:rPr>
        <w:t>2</w:t>
      </w:r>
      <w:r w:rsidRPr="007A01F1">
        <w:rPr>
          <w:lang w:val="en-US"/>
        </w:rPr>
        <w:t>), 0.24 (s, 12H, SiMe</w:t>
      </w:r>
      <w:r w:rsidRPr="007A01F1">
        <w:rPr>
          <w:vertAlign w:val="subscript"/>
          <w:lang w:val="en-US"/>
        </w:rPr>
        <w:t>2</w:t>
      </w:r>
      <w:r w:rsidRPr="007A01F1">
        <w:rPr>
          <w:lang w:val="en-US"/>
        </w:rPr>
        <w:t xml:space="preserve">), 0.07 (s, 6H, Si-Me) </w:t>
      </w:r>
      <w:proofErr w:type="spellStart"/>
      <w:r w:rsidRPr="007A01F1">
        <w:rPr>
          <w:lang w:val="en-US"/>
        </w:rPr>
        <w:t>ppm</w:t>
      </w:r>
      <w:proofErr w:type="spellEnd"/>
      <w:r w:rsidRPr="007A01F1">
        <w:rPr>
          <w:lang w:val="en-US"/>
        </w:rPr>
        <w:t>.</w:t>
      </w:r>
    </w:p>
    <w:p w:rsidR="002B5C79" w:rsidRPr="007A01F1" w:rsidRDefault="002B5C79" w:rsidP="002B5C79">
      <w:pPr>
        <w:pStyle w:val="Text"/>
        <w:rPr>
          <w:lang w:val="en-US"/>
        </w:rPr>
      </w:pPr>
      <w:proofErr w:type="gramStart"/>
      <w:r w:rsidRPr="007A01F1">
        <w:rPr>
          <w:b/>
          <w:lang w:val="en-US"/>
        </w:rPr>
        <w:t xml:space="preserve">General procedure for the synthesis of the complexes with 1-substituted </w:t>
      </w:r>
      <w:proofErr w:type="spellStart"/>
      <w:r w:rsidRPr="007A01F1">
        <w:rPr>
          <w:b/>
          <w:lang w:val="en-US"/>
        </w:rPr>
        <w:t>imidazoles</w:t>
      </w:r>
      <w:proofErr w:type="spellEnd"/>
      <w:r w:rsidRPr="007A01F1">
        <w:rPr>
          <w:b/>
          <w:lang w:val="en-US"/>
        </w:rPr>
        <w:t xml:space="preserve"> Me-</w:t>
      </w:r>
      <w:proofErr w:type="spellStart"/>
      <w:r w:rsidRPr="007A01F1">
        <w:rPr>
          <w:b/>
          <w:lang w:val="en-US"/>
        </w:rPr>
        <w:t>Im</w:t>
      </w:r>
      <w:proofErr w:type="spellEnd"/>
      <w:r w:rsidRPr="007A01F1">
        <w:rPr>
          <w:b/>
          <w:lang w:val="en-US"/>
        </w:rPr>
        <w:t>, Vin-</w:t>
      </w:r>
      <w:proofErr w:type="spellStart"/>
      <w:r w:rsidRPr="007A01F1">
        <w:rPr>
          <w:b/>
          <w:lang w:val="en-US"/>
        </w:rPr>
        <w:t>Im</w:t>
      </w:r>
      <w:proofErr w:type="spellEnd"/>
      <w:r w:rsidRPr="007A01F1">
        <w:rPr>
          <w:b/>
          <w:lang w:val="en-US"/>
        </w:rPr>
        <w:t xml:space="preserve"> and All-</w:t>
      </w:r>
      <w:proofErr w:type="spellStart"/>
      <w:r w:rsidRPr="007A01F1">
        <w:rPr>
          <w:b/>
          <w:lang w:val="en-US"/>
        </w:rPr>
        <w:t>Im</w:t>
      </w:r>
      <w:proofErr w:type="spellEnd"/>
      <w:r w:rsidRPr="007A01F1">
        <w:rPr>
          <w:b/>
          <w:lang w:val="en-US"/>
        </w:rPr>
        <w:t>.</w:t>
      </w:r>
      <w:proofErr w:type="gramEnd"/>
      <w:r w:rsidRPr="007A01F1">
        <w:rPr>
          <w:lang w:val="en-US"/>
        </w:rPr>
        <w:t xml:space="preserve"> A solution of Me-</w:t>
      </w:r>
      <w:proofErr w:type="spellStart"/>
      <w:r w:rsidRPr="007A01F1">
        <w:rPr>
          <w:lang w:val="en-US"/>
        </w:rPr>
        <w:t>Im</w:t>
      </w:r>
      <w:proofErr w:type="spellEnd"/>
      <w:r w:rsidRPr="007A01F1">
        <w:rPr>
          <w:lang w:val="en-US"/>
        </w:rPr>
        <w:t>, Vin-</w:t>
      </w:r>
      <w:proofErr w:type="spellStart"/>
      <w:r w:rsidRPr="007A01F1">
        <w:rPr>
          <w:lang w:val="en-US"/>
        </w:rPr>
        <w:t>Im</w:t>
      </w:r>
      <w:proofErr w:type="spellEnd"/>
      <w:r w:rsidRPr="007A01F1">
        <w:rPr>
          <w:lang w:val="en-US"/>
        </w:rPr>
        <w:t>, or All-</w:t>
      </w:r>
      <w:proofErr w:type="spellStart"/>
      <w:r w:rsidRPr="007A01F1">
        <w:rPr>
          <w:lang w:val="en-US"/>
        </w:rPr>
        <w:t>Im</w:t>
      </w:r>
      <w:proofErr w:type="spellEnd"/>
      <w:r w:rsidRPr="007A01F1">
        <w:rPr>
          <w:lang w:val="en-US"/>
        </w:rPr>
        <w:t xml:space="preserve"> (0.01 mol) in 5 </w:t>
      </w:r>
      <w:proofErr w:type="spellStart"/>
      <w:r w:rsidRPr="007A01F1">
        <w:rPr>
          <w:lang w:val="en-US"/>
        </w:rPr>
        <w:t>mL</w:t>
      </w:r>
      <w:proofErr w:type="spellEnd"/>
      <w:r w:rsidRPr="007A01F1">
        <w:rPr>
          <w:lang w:val="en-US"/>
        </w:rPr>
        <w:t xml:space="preserve"> of benzene was added to a stirred solution of compound </w:t>
      </w:r>
      <w:r w:rsidRPr="007A01F1">
        <w:rPr>
          <w:b/>
          <w:lang w:val="en-US"/>
        </w:rPr>
        <w:t>III</w:t>
      </w:r>
      <w:r w:rsidRPr="007A01F1">
        <w:rPr>
          <w:lang w:val="en-US"/>
        </w:rPr>
        <w:t xml:space="preserve"> (4.24 g, 0.01 mol) in 5 </w:t>
      </w:r>
      <w:proofErr w:type="spellStart"/>
      <w:r w:rsidRPr="007A01F1">
        <w:rPr>
          <w:lang w:val="en-US"/>
        </w:rPr>
        <w:t>mL</w:t>
      </w:r>
      <w:proofErr w:type="spellEnd"/>
      <w:r w:rsidRPr="007A01F1">
        <w:rPr>
          <w:lang w:val="en-US"/>
        </w:rPr>
        <w:t xml:space="preserve"> of benzene. The stirred reaction mixture was refluxed for 4 h. The solvent was removed under vacuum to give the target complexes as white or slightly colored crystalline powders (</w:t>
      </w:r>
      <w:proofErr w:type="spellStart"/>
      <w:r w:rsidRPr="007A01F1">
        <w:rPr>
          <w:b/>
          <w:lang w:val="en-US"/>
        </w:rPr>
        <w:t>III·Me-Im</w:t>
      </w:r>
      <w:proofErr w:type="spellEnd"/>
      <w:r w:rsidRPr="007A01F1">
        <w:rPr>
          <w:lang w:val="en-US"/>
        </w:rPr>
        <w:t xml:space="preserve">, </w:t>
      </w:r>
      <w:proofErr w:type="spellStart"/>
      <w:r w:rsidRPr="007A01F1">
        <w:rPr>
          <w:b/>
          <w:lang w:val="en-US"/>
        </w:rPr>
        <w:t>III·Vin-Im</w:t>
      </w:r>
      <w:proofErr w:type="spellEnd"/>
      <w:r w:rsidRPr="007A01F1">
        <w:rPr>
          <w:lang w:val="en-US"/>
        </w:rPr>
        <w:t>) or a viscous yellow substance (</w:t>
      </w:r>
      <w:proofErr w:type="spellStart"/>
      <w:r w:rsidRPr="007A01F1">
        <w:rPr>
          <w:b/>
          <w:lang w:val="en-US"/>
        </w:rPr>
        <w:t>III·All-Im</w:t>
      </w:r>
      <w:proofErr w:type="spellEnd"/>
      <w:r w:rsidRPr="007A01F1">
        <w:rPr>
          <w:lang w:val="en-US"/>
        </w:rPr>
        <w:t xml:space="preserve">). The yields and elemental analyses are presented in Table 1. </w:t>
      </w:r>
      <w:proofErr w:type="spellStart"/>
      <w:r w:rsidRPr="007A01F1">
        <w:rPr>
          <w:b/>
          <w:lang w:val="en-US"/>
        </w:rPr>
        <w:t>III</w:t>
      </w:r>
      <w:r w:rsidRPr="007A01F1">
        <w:rPr>
          <w:b/>
          <w:vertAlign w:val="superscript"/>
          <w:lang w:val="en-US"/>
        </w:rPr>
        <w:t>.</w:t>
      </w:r>
      <w:r w:rsidRPr="007A01F1">
        <w:rPr>
          <w:b/>
          <w:lang w:val="en-US"/>
        </w:rPr>
        <w:t>Me-Im</w:t>
      </w:r>
      <w:proofErr w:type="spellEnd"/>
      <w:r w:rsidRPr="007A01F1">
        <w:rPr>
          <w:lang w:val="en-US"/>
        </w:rPr>
        <w:t xml:space="preserve">: </w:t>
      </w:r>
      <w:r w:rsidRPr="007A01F1">
        <w:rPr>
          <w:vertAlign w:val="superscript"/>
          <w:lang w:val="en-US"/>
        </w:rPr>
        <w:t xml:space="preserve"> 1</w:t>
      </w:r>
      <w:r w:rsidRPr="007A01F1">
        <w:rPr>
          <w:lang w:val="en-US"/>
        </w:rPr>
        <w:t>H NMR (CDCl</w:t>
      </w:r>
      <w:r w:rsidRPr="007A01F1">
        <w:rPr>
          <w:vertAlign w:val="subscript"/>
          <w:lang w:val="en-US"/>
        </w:rPr>
        <w:t>3</w:t>
      </w:r>
      <w:r w:rsidRPr="007A01F1">
        <w:rPr>
          <w:lang w:val="en-US"/>
        </w:rPr>
        <w:t xml:space="preserve">) </w:t>
      </w:r>
      <w:r w:rsidRPr="007A01F1">
        <w:rPr>
          <w:i/>
        </w:rPr>
        <w:t>δ</w:t>
      </w:r>
      <w:r w:rsidRPr="007A01F1">
        <w:rPr>
          <w:lang w:val="en-US"/>
        </w:rPr>
        <w:t xml:space="preserve"> </w:t>
      </w:r>
      <w:r w:rsidRPr="007A01F1">
        <w:rPr>
          <w:rFonts w:eastAsia="Calibri"/>
          <w:lang w:val="en-US"/>
        </w:rPr>
        <w:t xml:space="preserve">8.36 (s, 1H, </w:t>
      </w:r>
      <w:r w:rsidRPr="007A01F1">
        <w:rPr>
          <w:lang w:val="en-US"/>
        </w:rPr>
        <w:t>Me-</w:t>
      </w:r>
      <w:proofErr w:type="spellStart"/>
      <w:r w:rsidRPr="007A01F1">
        <w:rPr>
          <w:lang w:val="en-US"/>
        </w:rPr>
        <w:t>Im</w:t>
      </w:r>
      <w:proofErr w:type="spellEnd"/>
      <w:r w:rsidRPr="007A01F1">
        <w:rPr>
          <w:rFonts w:eastAsia="Calibri"/>
          <w:lang w:val="en-US"/>
        </w:rPr>
        <w:t xml:space="preserve">), 7.52 (s, 1H, </w:t>
      </w:r>
      <w:r w:rsidRPr="007A01F1">
        <w:rPr>
          <w:lang w:val="en-US"/>
        </w:rPr>
        <w:t>Me-</w:t>
      </w:r>
      <w:proofErr w:type="spellStart"/>
      <w:r w:rsidRPr="007A01F1">
        <w:rPr>
          <w:lang w:val="en-US"/>
        </w:rPr>
        <w:t>Im</w:t>
      </w:r>
      <w:proofErr w:type="spellEnd"/>
      <w:r w:rsidRPr="007A01F1">
        <w:rPr>
          <w:rFonts w:eastAsia="Calibri"/>
          <w:lang w:val="en-US"/>
        </w:rPr>
        <w:t xml:space="preserve">), 7.01 (s, 1H, </w:t>
      </w:r>
      <w:r w:rsidRPr="007A01F1">
        <w:rPr>
          <w:lang w:val="en-US"/>
        </w:rPr>
        <w:t>Me-</w:t>
      </w:r>
      <w:proofErr w:type="spellStart"/>
      <w:r w:rsidRPr="007A01F1">
        <w:rPr>
          <w:lang w:val="en-US"/>
        </w:rPr>
        <w:t>Im</w:t>
      </w:r>
      <w:proofErr w:type="spellEnd"/>
      <w:r w:rsidRPr="007A01F1">
        <w:rPr>
          <w:rFonts w:eastAsia="Calibri"/>
          <w:lang w:val="en-US"/>
        </w:rPr>
        <w:t xml:space="preserve">), 3.78 (s, 3H, </w:t>
      </w:r>
      <w:r w:rsidRPr="007A01F1">
        <w:rPr>
          <w:lang w:val="en-US"/>
        </w:rPr>
        <w:t>Me-</w:t>
      </w:r>
      <w:proofErr w:type="spellStart"/>
      <w:r w:rsidRPr="007A01F1">
        <w:rPr>
          <w:lang w:val="en-US"/>
        </w:rPr>
        <w:t>Im</w:t>
      </w:r>
      <w:proofErr w:type="spellEnd"/>
      <w:r w:rsidRPr="007A01F1">
        <w:rPr>
          <w:rFonts w:eastAsia="Calibri"/>
          <w:lang w:val="en-US"/>
        </w:rPr>
        <w:t>),</w:t>
      </w:r>
      <w:r>
        <w:rPr>
          <w:rFonts w:eastAsia="Calibri"/>
          <w:lang w:val="en-US"/>
        </w:rPr>
        <w:t xml:space="preserve"> </w:t>
      </w:r>
      <w:r w:rsidRPr="007A01F1">
        <w:rPr>
          <w:lang w:val="en-US"/>
        </w:rPr>
        <w:t>1.12 (s, 4H, CH</w:t>
      </w:r>
      <w:r w:rsidRPr="007A01F1">
        <w:rPr>
          <w:vertAlign w:val="subscript"/>
          <w:lang w:val="en-US"/>
        </w:rPr>
        <w:t>2</w:t>
      </w:r>
      <w:r w:rsidRPr="007A01F1">
        <w:rPr>
          <w:lang w:val="en-US"/>
        </w:rPr>
        <w:t>), 0.19 (s, 12H, SiMe</w:t>
      </w:r>
      <w:r w:rsidRPr="007A01F1">
        <w:rPr>
          <w:vertAlign w:val="subscript"/>
          <w:lang w:val="en-US"/>
        </w:rPr>
        <w:t>2</w:t>
      </w:r>
      <w:r w:rsidRPr="007A01F1">
        <w:rPr>
          <w:lang w:val="en-US"/>
        </w:rPr>
        <w:t xml:space="preserve">), 0.07 (s, 6H, Si-Me) </w:t>
      </w:r>
      <w:proofErr w:type="spellStart"/>
      <w:r w:rsidRPr="007A01F1">
        <w:rPr>
          <w:lang w:val="en-US"/>
        </w:rPr>
        <w:t>ppm</w:t>
      </w:r>
      <w:proofErr w:type="spellEnd"/>
      <w:r w:rsidRPr="007A01F1">
        <w:rPr>
          <w:lang w:val="en-US"/>
        </w:rPr>
        <w:t xml:space="preserve">. </w:t>
      </w:r>
      <w:proofErr w:type="spellStart"/>
      <w:r w:rsidRPr="007A01F1">
        <w:rPr>
          <w:b/>
          <w:lang w:val="en-US"/>
        </w:rPr>
        <w:t>III</w:t>
      </w:r>
      <w:r w:rsidRPr="007A01F1">
        <w:rPr>
          <w:b/>
          <w:vertAlign w:val="superscript"/>
          <w:lang w:val="en-US"/>
        </w:rPr>
        <w:t>.</w:t>
      </w:r>
      <w:r w:rsidRPr="007A01F1">
        <w:rPr>
          <w:b/>
          <w:lang w:val="en-US"/>
        </w:rPr>
        <w:t>Vin-Im</w:t>
      </w:r>
      <w:proofErr w:type="spellEnd"/>
      <w:r w:rsidRPr="007A01F1">
        <w:rPr>
          <w:lang w:val="en-US"/>
        </w:rPr>
        <w:t xml:space="preserve">: </w:t>
      </w:r>
      <w:r w:rsidRPr="007A01F1">
        <w:rPr>
          <w:vertAlign w:val="superscript"/>
          <w:lang w:val="en-US"/>
        </w:rPr>
        <w:t>1</w:t>
      </w:r>
      <w:r w:rsidRPr="007A01F1">
        <w:rPr>
          <w:lang w:val="en-US"/>
        </w:rPr>
        <w:t>H NMR (CDCl</w:t>
      </w:r>
      <w:r w:rsidRPr="007A01F1">
        <w:rPr>
          <w:vertAlign w:val="subscript"/>
          <w:lang w:val="en-US"/>
        </w:rPr>
        <w:t>3</w:t>
      </w:r>
      <w:r w:rsidRPr="007A01F1">
        <w:rPr>
          <w:lang w:val="en-US"/>
        </w:rPr>
        <w:t xml:space="preserve">) </w:t>
      </w:r>
      <w:r w:rsidRPr="007A01F1">
        <w:rPr>
          <w:i/>
        </w:rPr>
        <w:t>δ</w:t>
      </w:r>
      <w:r w:rsidRPr="007A01F1">
        <w:rPr>
          <w:lang w:val="en-US"/>
        </w:rPr>
        <w:t xml:space="preserve"> </w:t>
      </w:r>
      <w:r w:rsidRPr="007A01F1">
        <w:rPr>
          <w:rFonts w:eastAsia="Calibri"/>
          <w:lang w:val="en-US"/>
        </w:rPr>
        <w:t>8.1</w:t>
      </w:r>
      <w:r>
        <w:rPr>
          <w:rFonts w:eastAsia="Calibri"/>
          <w:lang w:val="en-US"/>
        </w:rPr>
        <w:t>0</w:t>
      </w:r>
      <w:r w:rsidRPr="007A01F1">
        <w:rPr>
          <w:rFonts w:eastAsia="Calibri"/>
          <w:lang w:val="en-US"/>
        </w:rPr>
        <w:t xml:space="preserve"> (s, 1H, </w:t>
      </w:r>
      <w:r w:rsidRPr="007A01F1">
        <w:rPr>
          <w:lang w:val="en-US"/>
        </w:rPr>
        <w:t>Vin-</w:t>
      </w:r>
      <w:proofErr w:type="spellStart"/>
      <w:r w:rsidRPr="007A01F1">
        <w:rPr>
          <w:lang w:val="en-US"/>
        </w:rPr>
        <w:t>Im</w:t>
      </w:r>
      <w:proofErr w:type="spellEnd"/>
      <w:r w:rsidRPr="007A01F1">
        <w:rPr>
          <w:rFonts w:eastAsia="Calibri"/>
          <w:lang w:val="en-US"/>
        </w:rPr>
        <w:t xml:space="preserve">), 7.35 (s, 1H, </w:t>
      </w:r>
      <w:r w:rsidRPr="007A01F1">
        <w:rPr>
          <w:lang w:val="en-US"/>
        </w:rPr>
        <w:t>Vin-</w:t>
      </w:r>
      <w:proofErr w:type="spellStart"/>
      <w:r w:rsidRPr="007A01F1">
        <w:rPr>
          <w:lang w:val="en-US"/>
        </w:rPr>
        <w:t>Im</w:t>
      </w:r>
      <w:proofErr w:type="spellEnd"/>
      <w:r w:rsidRPr="007A01F1">
        <w:rPr>
          <w:rFonts w:eastAsia="Calibri"/>
          <w:lang w:val="en-US"/>
        </w:rPr>
        <w:t xml:space="preserve">), 7.22 (s, 1H, </w:t>
      </w:r>
      <w:r w:rsidRPr="007A01F1">
        <w:rPr>
          <w:lang w:val="en-US"/>
        </w:rPr>
        <w:t>Vin-</w:t>
      </w:r>
      <w:proofErr w:type="spellStart"/>
      <w:r w:rsidRPr="007A01F1">
        <w:rPr>
          <w:lang w:val="en-US"/>
        </w:rPr>
        <w:t>Im</w:t>
      </w:r>
      <w:proofErr w:type="spellEnd"/>
      <w:r w:rsidRPr="007A01F1">
        <w:rPr>
          <w:rFonts w:eastAsia="Calibri"/>
          <w:lang w:val="en-US"/>
        </w:rPr>
        <w:t xml:space="preserve">), 6.93 (m, 1H, </w:t>
      </w:r>
      <w:r w:rsidRPr="007A01F1">
        <w:rPr>
          <w:lang w:val="en-US"/>
        </w:rPr>
        <w:t>Vin-</w:t>
      </w:r>
      <w:proofErr w:type="spellStart"/>
      <w:r w:rsidRPr="007A01F1">
        <w:rPr>
          <w:lang w:val="en-US"/>
        </w:rPr>
        <w:t>Im</w:t>
      </w:r>
      <w:proofErr w:type="spellEnd"/>
      <w:r w:rsidRPr="007A01F1">
        <w:rPr>
          <w:rFonts w:eastAsia="Calibri"/>
          <w:lang w:val="en-US"/>
        </w:rPr>
        <w:t xml:space="preserve">), 5.39 (m, 1H, </w:t>
      </w:r>
      <w:r w:rsidRPr="007A01F1">
        <w:rPr>
          <w:lang w:val="en-US"/>
        </w:rPr>
        <w:t>Vin-</w:t>
      </w:r>
      <w:proofErr w:type="spellStart"/>
      <w:r w:rsidRPr="007A01F1">
        <w:rPr>
          <w:lang w:val="en-US"/>
        </w:rPr>
        <w:t>Im</w:t>
      </w:r>
      <w:proofErr w:type="spellEnd"/>
      <w:r w:rsidRPr="007A01F1">
        <w:rPr>
          <w:rFonts w:eastAsia="Calibri"/>
          <w:lang w:val="en-US"/>
        </w:rPr>
        <w:t xml:space="preserve">), 5.04 (m, 1H, </w:t>
      </w:r>
      <w:r w:rsidRPr="007A01F1">
        <w:rPr>
          <w:lang w:val="en-US"/>
        </w:rPr>
        <w:t>Vin-</w:t>
      </w:r>
      <w:proofErr w:type="spellStart"/>
      <w:r w:rsidRPr="007A01F1">
        <w:rPr>
          <w:lang w:val="en-US"/>
        </w:rPr>
        <w:t>Im</w:t>
      </w:r>
      <w:proofErr w:type="spellEnd"/>
      <w:r w:rsidRPr="007A01F1">
        <w:rPr>
          <w:rFonts w:eastAsia="Calibri"/>
          <w:lang w:val="en-US"/>
        </w:rPr>
        <w:t xml:space="preserve">), </w:t>
      </w:r>
      <w:r w:rsidRPr="007A01F1">
        <w:rPr>
          <w:lang w:val="en-US"/>
        </w:rPr>
        <w:t>1.09 (s, 4H, CH</w:t>
      </w:r>
      <w:r w:rsidRPr="007A01F1">
        <w:rPr>
          <w:vertAlign w:val="subscript"/>
          <w:lang w:val="en-US"/>
        </w:rPr>
        <w:t>2</w:t>
      </w:r>
      <w:r w:rsidRPr="007A01F1">
        <w:rPr>
          <w:lang w:val="en-US"/>
        </w:rPr>
        <w:t>), 0.25 (s, 12H, SiMe</w:t>
      </w:r>
      <w:r w:rsidRPr="007A01F1">
        <w:rPr>
          <w:vertAlign w:val="subscript"/>
          <w:lang w:val="en-US"/>
        </w:rPr>
        <w:t>2</w:t>
      </w:r>
      <w:r w:rsidRPr="007A01F1">
        <w:rPr>
          <w:lang w:val="en-US"/>
        </w:rPr>
        <w:t xml:space="preserve">), 0.10 (, 6H, Si-Me) </w:t>
      </w:r>
      <w:proofErr w:type="spellStart"/>
      <w:r w:rsidRPr="007A01F1">
        <w:rPr>
          <w:lang w:val="en-US"/>
        </w:rPr>
        <w:t>ppm</w:t>
      </w:r>
      <w:proofErr w:type="spellEnd"/>
      <w:r w:rsidRPr="007A01F1">
        <w:rPr>
          <w:lang w:val="en-US"/>
        </w:rPr>
        <w:t xml:space="preserve">. </w:t>
      </w:r>
      <w:proofErr w:type="spellStart"/>
      <w:r w:rsidRPr="007A01F1">
        <w:rPr>
          <w:b/>
          <w:lang w:val="en-US"/>
        </w:rPr>
        <w:t>III</w:t>
      </w:r>
      <w:r w:rsidRPr="007A01F1">
        <w:rPr>
          <w:b/>
          <w:vertAlign w:val="superscript"/>
          <w:lang w:val="en-US"/>
        </w:rPr>
        <w:t>.</w:t>
      </w:r>
      <w:r w:rsidRPr="007A01F1">
        <w:rPr>
          <w:b/>
          <w:lang w:val="en-US"/>
        </w:rPr>
        <w:t>All-Im</w:t>
      </w:r>
      <w:proofErr w:type="spellEnd"/>
      <w:r w:rsidRPr="007A01F1">
        <w:rPr>
          <w:lang w:val="en-US"/>
        </w:rPr>
        <w:t xml:space="preserve">: </w:t>
      </w:r>
      <w:r w:rsidRPr="007A01F1">
        <w:rPr>
          <w:vertAlign w:val="superscript"/>
          <w:lang w:val="en-US"/>
        </w:rPr>
        <w:t>1</w:t>
      </w:r>
      <w:r w:rsidRPr="007A01F1">
        <w:rPr>
          <w:lang w:val="en-US"/>
        </w:rPr>
        <w:t>H NMR (CDCl</w:t>
      </w:r>
      <w:r w:rsidRPr="007A01F1">
        <w:rPr>
          <w:vertAlign w:val="subscript"/>
          <w:lang w:val="en-US"/>
        </w:rPr>
        <w:t>3</w:t>
      </w:r>
      <w:r w:rsidRPr="007A01F1">
        <w:rPr>
          <w:lang w:val="en-US"/>
        </w:rPr>
        <w:t xml:space="preserve">) </w:t>
      </w:r>
      <w:r w:rsidRPr="007A01F1">
        <w:rPr>
          <w:i/>
        </w:rPr>
        <w:t>δ</w:t>
      </w:r>
      <w:r w:rsidRPr="007A01F1">
        <w:rPr>
          <w:lang w:val="en-US"/>
        </w:rPr>
        <w:t xml:space="preserve"> </w:t>
      </w:r>
      <w:r w:rsidRPr="007A01F1">
        <w:rPr>
          <w:rFonts w:eastAsia="Calibri"/>
          <w:lang w:val="en-US"/>
        </w:rPr>
        <w:t xml:space="preserve">8.25 (s, 1H, </w:t>
      </w:r>
      <w:r w:rsidRPr="007A01F1">
        <w:rPr>
          <w:lang w:val="en-US"/>
        </w:rPr>
        <w:t>All-</w:t>
      </w:r>
      <w:proofErr w:type="spellStart"/>
      <w:r w:rsidRPr="007A01F1">
        <w:rPr>
          <w:lang w:val="en-US"/>
        </w:rPr>
        <w:t>Im</w:t>
      </w:r>
      <w:proofErr w:type="spellEnd"/>
      <w:r w:rsidRPr="007A01F1">
        <w:rPr>
          <w:rFonts w:eastAsia="Calibri"/>
          <w:lang w:val="en-US"/>
        </w:rPr>
        <w:t xml:space="preserve">), 7.45 (s, 1H, </w:t>
      </w:r>
      <w:r w:rsidRPr="007A01F1">
        <w:rPr>
          <w:lang w:val="en-US"/>
        </w:rPr>
        <w:t>All-</w:t>
      </w:r>
      <w:proofErr w:type="spellStart"/>
      <w:r w:rsidRPr="007A01F1">
        <w:rPr>
          <w:lang w:val="en-US"/>
        </w:rPr>
        <w:t>Im</w:t>
      </w:r>
      <w:proofErr w:type="spellEnd"/>
      <w:r w:rsidRPr="007A01F1">
        <w:rPr>
          <w:rFonts w:eastAsia="Calibri"/>
          <w:lang w:val="en-US"/>
        </w:rPr>
        <w:t xml:space="preserve">), 7.01 (s, 1H, </w:t>
      </w:r>
      <w:r w:rsidRPr="007A01F1">
        <w:rPr>
          <w:lang w:val="en-US"/>
        </w:rPr>
        <w:t>All-</w:t>
      </w:r>
      <w:proofErr w:type="spellStart"/>
      <w:r w:rsidRPr="007A01F1">
        <w:rPr>
          <w:lang w:val="en-US"/>
        </w:rPr>
        <w:t>Im</w:t>
      </w:r>
      <w:proofErr w:type="spellEnd"/>
      <w:r w:rsidRPr="007A01F1">
        <w:rPr>
          <w:rFonts w:eastAsia="Calibri"/>
          <w:lang w:val="en-US"/>
        </w:rPr>
        <w:t xml:space="preserve">), 5.82 (m, 1H, </w:t>
      </w:r>
      <w:r w:rsidRPr="007A01F1">
        <w:rPr>
          <w:lang w:val="en-US"/>
        </w:rPr>
        <w:t>All-</w:t>
      </w:r>
      <w:proofErr w:type="spellStart"/>
      <w:r w:rsidRPr="007A01F1">
        <w:rPr>
          <w:lang w:val="en-US"/>
        </w:rPr>
        <w:t>Im</w:t>
      </w:r>
      <w:proofErr w:type="spellEnd"/>
      <w:r w:rsidRPr="007A01F1">
        <w:rPr>
          <w:rFonts w:eastAsia="Calibri"/>
          <w:lang w:val="en-US"/>
        </w:rPr>
        <w:t xml:space="preserve">), 5.22 (m, 1H, </w:t>
      </w:r>
      <w:r w:rsidRPr="007A01F1">
        <w:rPr>
          <w:lang w:val="en-US"/>
        </w:rPr>
        <w:t>All-</w:t>
      </w:r>
      <w:proofErr w:type="spellStart"/>
      <w:r w:rsidRPr="007A01F1">
        <w:rPr>
          <w:lang w:val="en-US"/>
        </w:rPr>
        <w:t>Im</w:t>
      </w:r>
      <w:proofErr w:type="spellEnd"/>
      <w:r w:rsidRPr="007A01F1">
        <w:rPr>
          <w:rFonts w:eastAsia="Calibri"/>
          <w:lang w:val="en-US"/>
        </w:rPr>
        <w:t xml:space="preserve">), 4.55 (m, 1H, </w:t>
      </w:r>
      <w:r w:rsidRPr="007A01F1">
        <w:rPr>
          <w:lang w:val="en-US"/>
        </w:rPr>
        <w:t>All-</w:t>
      </w:r>
      <w:proofErr w:type="spellStart"/>
      <w:r w:rsidRPr="007A01F1">
        <w:rPr>
          <w:lang w:val="en-US"/>
        </w:rPr>
        <w:t>Im</w:t>
      </w:r>
      <w:proofErr w:type="spellEnd"/>
      <w:r w:rsidRPr="007A01F1">
        <w:rPr>
          <w:rFonts w:eastAsia="Calibri"/>
          <w:lang w:val="en-US"/>
        </w:rPr>
        <w:t xml:space="preserve">), 4,69 (m, 2H, </w:t>
      </w:r>
      <w:r w:rsidRPr="007A01F1">
        <w:rPr>
          <w:lang w:val="en-US"/>
        </w:rPr>
        <w:t>All-</w:t>
      </w:r>
      <w:proofErr w:type="spellStart"/>
      <w:r w:rsidRPr="007A01F1">
        <w:rPr>
          <w:lang w:val="en-US"/>
        </w:rPr>
        <w:t>Im</w:t>
      </w:r>
      <w:proofErr w:type="spellEnd"/>
      <w:r w:rsidRPr="007A01F1">
        <w:rPr>
          <w:rFonts w:eastAsia="Calibri"/>
          <w:lang w:val="en-US"/>
        </w:rPr>
        <w:t xml:space="preserve">), </w:t>
      </w:r>
      <w:r w:rsidRPr="007A01F1">
        <w:rPr>
          <w:lang w:val="en-US"/>
        </w:rPr>
        <w:t>1.03 (s, 4H, CH</w:t>
      </w:r>
      <w:r w:rsidRPr="007A01F1">
        <w:rPr>
          <w:vertAlign w:val="subscript"/>
          <w:lang w:val="en-US"/>
        </w:rPr>
        <w:t>2</w:t>
      </w:r>
      <w:r w:rsidRPr="007A01F1">
        <w:rPr>
          <w:lang w:val="en-US"/>
        </w:rPr>
        <w:t>), 0.11 (s, 12H, SiMe</w:t>
      </w:r>
      <w:r w:rsidRPr="007A01F1">
        <w:rPr>
          <w:vertAlign w:val="subscript"/>
          <w:lang w:val="en-US"/>
        </w:rPr>
        <w:t>2</w:t>
      </w:r>
      <w:r w:rsidRPr="007A01F1">
        <w:rPr>
          <w:lang w:val="en-US"/>
        </w:rPr>
        <w:t xml:space="preserve">), –0.02 (6H, Si-Me) </w:t>
      </w:r>
      <w:proofErr w:type="spellStart"/>
      <w:r w:rsidRPr="007A01F1">
        <w:rPr>
          <w:lang w:val="en-US"/>
        </w:rPr>
        <w:t>ppm</w:t>
      </w:r>
      <w:proofErr w:type="spellEnd"/>
      <w:r w:rsidRPr="007A01F1">
        <w:rPr>
          <w:lang w:val="en-US"/>
        </w:rPr>
        <w:t>.</w:t>
      </w:r>
    </w:p>
    <w:p w:rsidR="002B5C79" w:rsidRPr="007A01F1" w:rsidRDefault="002B5C79" w:rsidP="002B5C79">
      <w:pPr>
        <w:pStyle w:val="MainHeader"/>
      </w:pPr>
      <w:r w:rsidRPr="007A01F1">
        <w:t>Conclusions</w:t>
      </w:r>
    </w:p>
    <w:p w:rsidR="002B5C79" w:rsidRPr="007A01F1" w:rsidRDefault="002B5C79" w:rsidP="002B5C79">
      <w:pPr>
        <w:pStyle w:val="Text"/>
      </w:pPr>
      <w:r w:rsidRPr="007A01F1">
        <w:rPr>
          <w:lang w:val="en-US"/>
        </w:rPr>
        <w:t xml:space="preserve">A series of new </w:t>
      </w:r>
      <w:proofErr w:type="spellStart"/>
      <w:r w:rsidRPr="007A01F1">
        <w:rPr>
          <w:lang w:val="en-US"/>
        </w:rPr>
        <w:t>organotin</w:t>
      </w:r>
      <w:proofErr w:type="spellEnd"/>
      <w:r w:rsidRPr="007A01F1">
        <w:rPr>
          <w:lang w:val="en-US"/>
        </w:rPr>
        <w:t xml:space="preserve"> complexes were obtained based on 1,1-dichloro-1-stanna-3,3,5,5,7,7-hexamethyl-3,5,7-tris</w:t>
      </w:r>
      <w:r>
        <w:rPr>
          <w:lang w:val="en-US"/>
        </w:rPr>
        <w:t>i</w:t>
      </w:r>
      <w:r w:rsidRPr="007A01F1">
        <w:rPr>
          <w:lang w:val="en-US"/>
        </w:rPr>
        <w:t>l</w:t>
      </w:r>
      <w:r>
        <w:rPr>
          <w:lang w:val="en-US"/>
        </w:rPr>
        <w:t>a</w:t>
      </w:r>
      <w:r w:rsidRPr="007A01F1">
        <w:rPr>
          <w:lang w:val="en-US"/>
        </w:rPr>
        <w:t xml:space="preserve">-4,6-dioxacyclooctane using mono- or </w:t>
      </w:r>
      <w:proofErr w:type="spellStart"/>
      <w:r w:rsidRPr="007A01F1">
        <w:rPr>
          <w:lang w:val="en-US"/>
        </w:rPr>
        <w:t>bidentate</w:t>
      </w:r>
      <w:proofErr w:type="spellEnd"/>
      <w:r w:rsidRPr="007A01F1">
        <w:rPr>
          <w:lang w:val="en-US"/>
        </w:rPr>
        <w:t xml:space="preserve"> </w:t>
      </w:r>
      <w:proofErr w:type="spellStart"/>
      <w:r w:rsidRPr="007A01F1">
        <w:rPr>
          <w:lang w:val="en-US"/>
        </w:rPr>
        <w:t>ligands</w:t>
      </w:r>
      <w:proofErr w:type="spellEnd"/>
      <w:r w:rsidRPr="007A01F1">
        <w:rPr>
          <w:lang w:val="en-US"/>
        </w:rPr>
        <w:t xml:space="preserve">, including 1,1'-bipyridine, 1,10-phenanthroline, and </w:t>
      </w:r>
      <w:r w:rsidRPr="007A01F1">
        <w:rPr>
          <w:i/>
          <w:lang w:val="en-US"/>
        </w:rPr>
        <w:t>N</w:t>
      </w:r>
      <w:r w:rsidRPr="007A01F1">
        <w:rPr>
          <w:lang w:val="en-US"/>
        </w:rPr>
        <w:t xml:space="preserve">-substituted </w:t>
      </w:r>
      <w:proofErr w:type="spellStart"/>
      <w:r w:rsidRPr="007A01F1">
        <w:rPr>
          <w:lang w:val="en-US"/>
        </w:rPr>
        <w:t>imidazoles</w:t>
      </w:r>
      <w:proofErr w:type="spellEnd"/>
      <w:r w:rsidRPr="007A01F1">
        <w:rPr>
          <w:lang w:val="en-US"/>
        </w:rPr>
        <w:t xml:space="preserve">, taken in a 1:1 molar ratio. A comparative evaluation of the </w:t>
      </w:r>
      <w:proofErr w:type="spellStart"/>
      <w:r w:rsidRPr="007A01F1">
        <w:rPr>
          <w:lang w:val="en-US"/>
        </w:rPr>
        <w:t>cytotoxic</w:t>
      </w:r>
      <w:proofErr w:type="spellEnd"/>
      <w:r w:rsidRPr="007A01F1">
        <w:rPr>
          <w:lang w:val="en-US"/>
        </w:rPr>
        <w:t xml:space="preserve"> activity of the complexes with six-</w:t>
      </w:r>
      <w:proofErr w:type="spellStart"/>
      <w:r w:rsidRPr="007A01F1">
        <w:rPr>
          <w:lang w:val="en-US"/>
        </w:rPr>
        <w:t>membered</w:t>
      </w:r>
      <w:proofErr w:type="spellEnd"/>
      <w:r w:rsidRPr="007A01F1">
        <w:rPr>
          <w:lang w:val="en-US"/>
        </w:rPr>
        <w:t xml:space="preserve"> (</w:t>
      </w:r>
      <w:r w:rsidRPr="007A01F1">
        <w:rPr>
          <w:b/>
          <w:lang w:val="en-US"/>
        </w:rPr>
        <w:t>II</w:t>
      </w:r>
      <w:r w:rsidRPr="007A01F1">
        <w:rPr>
          <w:lang w:val="en-US"/>
        </w:rPr>
        <w:t>) and eight-</w:t>
      </w:r>
      <w:proofErr w:type="spellStart"/>
      <w:r w:rsidRPr="007A01F1">
        <w:rPr>
          <w:lang w:val="en-US"/>
        </w:rPr>
        <w:t>membered</w:t>
      </w:r>
      <w:proofErr w:type="spellEnd"/>
      <w:r w:rsidRPr="007A01F1">
        <w:rPr>
          <w:lang w:val="en-US"/>
        </w:rPr>
        <w:t xml:space="preserve"> </w:t>
      </w:r>
      <w:proofErr w:type="spellStart"/>
      <w:r w:rsidRPr="007A01F1">
        <w:rPr>
          <w:lang w:val="en-US"/>
        </w:rPr>
        <w:t>heterocycles</w:t>
      </w:r>
      <w:proofErr w:type="spellEnd"/>
      <w:r w:rsidRPr="007A01F1">
        <w:rPr>
          <w:lang w:val="en-US"/>
        </w:rPr>
        <w:t xml:space="preserve"> (</w:t>
      </w:r>
      <w:r w:rsidRPr="007A01F1">
        <w:rPr>
          <w:b/>
          <w:lang w:val="en-US"/>
        </w:rPr>
        <w:t>III</w:t>
      </w:r>
      <w:r w:rsidRPr="007A01F1">
        <w:rPr>
          <w:lang w:val="en-US"/>
        </w:rPr>
        <w:t xml:space="preserve">) with the same </w:t>
      </w:r>
      <w:proofErr w:type="spellStart"/>
      <w:r w:rsidRPr="007A01F1">
        <w:rPr>
          <w:lang w:val="en-US"/>
        </w:rPr>
        <w:t>ligands</w:t>
      </w:r>
      <w:proofErr w:type="spellEnd"/>
      <w:r w:rsidRPr="007A01F1">
        <w:rPr>
          <w:lang w:val="en-US"/>
        </w:rPr>
        <w:t xml:space="preserve"> against several cancer cell lines did not reveal a clear correlation between the ring size and </w:t>
      </w:r>
      <w:proofErr w:type="spellStart"/>
      <w:r w:rsidRPr="007A01F1">
        <w:rPr>
          <w:lang w:val="en-US"/>
        </w:rPr>
        <w:t>cytotoxicity</w:t>
      </w:r>
      <w:proofErr w:type="spellEnd"/>
      <w:r w:rsidRPr="007A01F1">
        <w:rPr>
          <w:lang w:val="en-US"/>
        </w:rPr>
        <w:t>.</w:t>
      </w:r>
    </w:p>
    <w:p w:rsidR="002B5C79" w:rsidRPr="007A01F1" w:rsidRDefault="002B5C79" w:rsidP="002B5C79">
      <w:pPr>
        <w:pStyle w:val="MainHeader"/>
      </w:pPr>
      <w:r w:rsidRPr="007A01F1">
        <w:t>References</w:t>
      </w:r>
    </w:p>
    <w:p w:rsidR="002B5C79" w:rsidRPr="002B5C79" w:rsidRDefault="002B5C79" w:rsidP="002B5C79">
      <w:pPr>
        <w:spacing w:after="0" w:line="240" w:lineRule="auto"/>
        <w:jc w:val="both"/>
        <w:rPr>
          <w:rFonts w:ascii="Arial" w:hAnsi="Arial" w:cs="Arial"/>
          <w:color w:val="263238"/>
          <w:szCs w:val="16"/>
          <w:lang w:val="en-US"/>
        </w:rPr>
      </w:pPr>
      <w:r w:rsidRPr="002B5C79">
        <w:rPr>
          <w:rFonts w:ascii="Arial" w:hAnsi="Arial" w:cs="Arial"/>
          <w:color w:val="263238"/>
          <w:szCs w:val="16"/>
          <w:lang w:val="en-US"/>
        </w:rPr>
        <w:t xml:space="preserve">P. A. </w:t>
      </w:r>
      <w:proofErr w:type="spellStart"/>
      <w:r w:rsidRPr="002B5C79">
        <w:rPr>
          <w:rFonts w:ascii="Arial" w:hAnsi="Arial" w:cs="Arial"/>
          <w:color w:val="263238"/>
          <w:szCs w:val="16"/>
          <w:lang w:val="en-US"/>
        </w:rPr>
        <w:t>Storozhenko</w:t>
      </w:r>
      <w:proofErr w:type="spellEnd"/>
      <w:r w:rsidRPr="002B5C79">
        <w:rPr>
          <w:rFonts w:ascii="Arial" w:hAnsi="Arial" w:cs="Arial"/>
          <w:color w:val="263238"/>
          <w:szCs w:val="16"/>
          <w:lang w:val="en-US"/>
        </w:rPr>
        <w:t xml:space="preserve">, I. S. </w:t>
      </w:r>
      <w:proofErr w:type="spellStart"/>
      <w:r w:rsidRPr="002B5C79">
        <w:rPr>
          <w:rFonts w:ascii="Arial" w:hAnsi="Arial" w:cs="Arial"/>
          <w:color w:val="263238"/>
          <w:szCs w:val="16"/>
          <w:lang w:val="en-US"/>
        </w:rPr>
        <w:t>Veselova</w:t>
      </w:r>
      <w:proofErr w:type="spellEnd"/>
      <w:r w:rsidRPr="002B5C79">
        <w:rPr>
          <w:rFonts w:ascii="Arial" w:hAnsi="Arial" w:cs="Arial"/>
          <w:color w:val="263238"/>
          <w:szCs w:val="16"/>
          <w:lang w:val="en-US"/>
        </w:rPr>
        <w:t xml:space="preserve">, E. V. </w:t>
      </w:r>
      <w:proofErr w:type="spellStart"/>
      <w:r w:rsidRPr="002B5C79">
        <w:rPr>
          <w:rFonts w:ascii="Arial" w:hAnsi="Arial" w:cs="Arial"/>
          <w:color w:val="263238"/>
          <w:szCs w:val="16"/>
          <w:lang w:val="en-US"/>
        </w:rPr>
        <w:t>Ovechkina</w:t>
      </w:r>
      <w:proofErr w:type="spellEnd"/>
      <w:r w:rsidRPr="002B5C79">
        <w:rPr>
          <w:rFonts w:ascii="Arial" w:hAnsi="Arial" w:cs="Arial"/>
          <w:color w:val="263238"/>
          <w:szCs w:val="16"/>
          <w:lang w:val="en-US"/>
        </w:rPr>
        <w:t xml:space="preserve">, A. A. </w:t>
      </w:r>
      <w:proofErr w:type="spellStart"/>
      <w:r w:rsidRPr="002B5C79">
        <w:rPr>
          <w:rFonts w:ascii="Arial" w:hAnsi="Arial" w:cs="Arial"/>
          <w:color w:val="263238"/>
          <w:szCs w:val="16"/>
          <w:lang w:val="en-US"/>
        </w:rPr>
        <w:t>Grachev</w:t>
      </w:r>
      <w:proofErr w:type="spellEnd"/>
      <w:r w:rsidRPr="002B5C79">
        <w:rPr>
          <w:rFonts w:ascii="Arial" w:hAnsi="Arial" w:cs="Arial"/>
          <w:color w:val="263238"/>
          <w:szCs w:val="16"/>
          <w:lang w:val="en-US"/>
        </w:rPr>
        <w:t xml:space="preserve">, A. A. </w:t>
      </w:r>
      <w:proofErr w:type="spellStart"/>
      <w:r w:rsidRPr="002B5C79">
        <w:rPr>
          <w:rFonts w:ascii="Arial" w:hAnsi="Arial" w:cs="Arial"/>
          <w:color w:val="263238"/>
          <w:szCs w:val="16"/>
          <w:lang w:val="en-US"/>
        </w:rPr>
        <w:t>Korlyukov</w:t>
      </w:r>
      <w:proofErr w:type="spellEnd"/>
      <w:r w:rsidRPr="002B5C79">
        <w:rPr>
          <w:rFonts w:ascii="Arial" w:hAnsi="Arial" w:cs="Arial"/>
          <w:color w:val="263238"/>
          <w:szCs w:val="16"/>
          <w:lang w:val="en-US"/>
        </w:rPr>
        <w:t xml:space="preserve">, A. D. </w:t>
      </w:r>
      <w:proofErr w:type="spellStart"/>
      <w:r w:rsidRPr="002B5C79">
        <w:rPr>
          <w:rFonts w:ascii="Arial" w:hAnsi="Arial" w:cs="Arial"/>
          <w:color w:val="263238"/>
          <w:szCs w:val="16"/>
          <w:lang w:val="en-US"/>
        </w:rPr>
        <w:t>Volodin</w:t>
      </w:r>
      <w:proofErr w:type="spellEnd"/>
      <w:r w:rsidRPr="002B5C79">
        <w:rPr>
          <w:rFonts w:ascii="Arial" w:hAnsi="Arial" w:cs="Arial"/>
          <w:color w:val="263238"/>
          <w:szCs w:val="16"/>
          <w:lang w:val="en-US"/>
        </w:rPr>
        <w:t xml:space="preserve">, E. Yu. </w:t>
      </w:r>
      <w:proofErr w:type="spellStart"/>
      <w:r w:rsidRPr="002B5C79">
        <w:rPr>
          <w:rFonts w:ascii="Arial" w:hAnsi="Arial" w:cs="Arial"/>
          <w:color w:val="263238"/>
          <w:szCs w:val="16"/>
          <w:lang w:val="en-US"/>
        </w:rPr>
        <w:t>Rybalkina</w:t>
      </w:r>
      <w:proofErr w:type="spellEnd"/>
      <w:r w:rsidRPr="002B5C79">
        <w:rPr>
          <w:rFonts w:ascii="Arial" w:hAnsi="Arial" w:cs="Arial"/>
          <w:color w:val="263238"/>
          <w:szCs w:val="16"/>
          <w:lang w:val="en-US"/>
        </w:rPr>
        <w:t xml:space="preserve">, A. K. </w:t>
      </w:r>
      <w:proofErr w:type="spellStart"/>
      <w:r w:rsidRPr="002B5C79">
        <w:rPr>
          <w:rFonts w:ascii="Arial" w:hAnsi="Arial" w:cs="Arial"/>
          <w:color w:val="263238"/>
          <w:szCs w:val="16"/>
          <w:lang w:val="en-US"/>
        </w:rPr>
        <w:t>Shestakova</w:t>
      </w:r>
      <w:proofErr w:type="spellEnd"/>
      <w:r w:rsidRPr="002B5C79">
        <w:rPr>
          <w:rFonts w:ascii="Arial" w:hAnsi="Arial" w:cs="Arial"/>
          <w:color w:val="263238"/>
          <w:szCs w:val="16"/>
          <w:lang w:val="en-US"/>
        </w:rPr>
        <w:t xml:space="preserve">, V. I. </w:t>
      </w:r>
      <w:proofErr w:type="spellStart"/>
      <w:r w:rsidRPr="002B5C79">
        <w:rPr>
          <w:rFonts w:ascii="Arial" w:hAnsi="Arial" w:cs="Arial"/>
          <w:color w:val="263238"/>
          <w:szCs w:val="16"/>
          <w:lang w:val="en-US"/>
        </w:rPr>
        <w:t>Shiryaev</w:t>
      </w:r>
      <w:proofErr w:type="spellEnd"/>
      <w:r w:rsidRPr="002B5C79">
        <w:rPr>
          <w:rFonts w:ascii="Arial" w:hAnsi="Arial" w:cs="Arial"/>
          <w:color w:val="263238"/>
          <w:szCs w:val="16"/>
          <w:lang w:val="en-US"/>
        </w:rPr>
        <w:t xml:space="preserve">, </w:t>
      </w:r>
      <w:proofErr w:type="spellStart"/>
      <w:r w:rsidRPr="002B5C79">
        <w:rPr>
          <w:rFonts w:ascii="Arial" w:hAnsi="Arial" w:cs="Arial"/>
          <w:i/>
          <w:color w:val="263238"/>
          <w:szCs w:val="16"/>
          <w:lang w:val="en-US"/>
        </w:rPr>
        <w:t>Biochem</w:t>
      </w:r>
      <w:proofErr w:type="spellEnd"/>
      <w:r w:rsidRPr="002B5C79">
        <w:rPr>
          <w:rFonts w:ascii="Arial" w:hAnsi="Arial" w:cs="Arial"/>
          <w:i/>
          <w:color w:val="263238"/>
          <w:szCs w:val="16"/>
          <w:lang w:val="en-US"/>
        </w:rPr>
        <w:t>.</w:t>
      </w:r>
      <w:r w:rsidRPr="002B5C79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2B5C79">
        <w:rPr>
          <w:rFonts w:ascii="Arial" w:hAnsi="Arial" w:cs="Arial"/>
          <w:i/>
          <w:color w:val="263238"/>
          <w:szCs w:val="16"/>
          <w:lang w:val="en-US"/>
        </w:rPr>
        <w:t>(Moscow)</w:t>
      </w:r>
      <w:r w:rsidRPr="002B5C79">
        <w:rPr>
          <w:rFonts w:ascii="Arial" w:hAnsi="Arial" w:cs="Arial"/>
          <w:color w:val="263238"/>
          <w:szCs w:val="16"/>
          <w:lang w:val="en-US"/>
        </w:rPr>
        <w:t xml:space="preserve">, </w:t>
      </w:r>
      <w:r w:rsidRPr="002B5C79">
        <w:rPr>
          <w:rFonts w:ascii="Arial" w:hAnsi="Arial" w:cs="Arial"/>
          <w:i/>
          <w:color w:val="263238"/>
          <w:szCs w:val="16"/>
          <w:lang w:val="en-US"/>
        </w:rPr>
        <w:t>Suppl. Ser. B</w:t>
      </w:r>
      <w:r w:rsidRPr="002B5C79">
        <w:rPr>
          <w:rFonts w:ascii="Arial" w:hAnsi="Arial" w:cs="Arial"/>
          <w:color w:val="263238"/>
          <w:szCs w:val="16"/>
          <w:lang w:val="en-US"/>
        </w:rPr>
        <w:t xml:space="preserve">, </w:t>
      </w:r>
      <w:r w:rsidRPr="002B5C79">
        <w:rPr>
          <w:rFonts w:ascii="Arial" w:hAnsi="Arial" w:cs="Arial"/>
          <w:b/>
          <w:bCs/>
          <w:color w:val="263238"/>
          <w:szCs w:val="16"/>
          <w:lang w:val="en-US"/>
        </w:rPr>
        <w:t>2024</w:t>
      </w:r>
      <w:r w:rsidRPr="002B5C79">
        <w:rPr>
          <w:rFonts w:ascii="Arial" w:hAnsi="Arial" w:cs="Arial"/>
          <w:color w:val="263238"/>
          <w:szCs w:val="16"/>
          <w:lang w:val="en-US"/>
        </w:rPr>
        <w:t xml:space="preserve">, 18, 46–58. DOI: </w:t>
      </w:r>
      <w:r w:rsidRPr="002B5C79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>10.1134/S1990750824600109</w:t>
      </w:r>
    </w:p>
    <w:p w:rsidR="002B5C79" w:rsidRPr="002B5C79" w:rsidRDefault="002B5C79" w:rsidP="002B5C79">
      <w:pPr>
        <w:spacing w:after="0" w:line="240" w:lineRule="auto"/>
        <w:jc w:val="both"/>
        <w:rPr>
          <w:rFonts w:ascii="Arial" w:hAnsi="Arial" w:cs="Arial"/>
          <w:color w:val="263238"/>
          <w:szCs w:val="16"/>
          <w:lang w:val="en-US"/>
        </w:rPr>
      </w:pPr>
      <w:r w:rsidRPr="002B5C79">
        <w:rPr>
          <w:rFonts w:ascii="Arial" w:hAnsi="Arial" w:cs="Arial"/>
          <w:color w:val="263238"/>
          <w:szCs w:val="16"/>
          <w:lang w:val="en-US"/>
        </w:rPr>
        <w:t xml:space="preserve">V. F. </w:t>
      </w:r>
      <w:proofErr w:type="spellStart"/>
      <w:r w:rsidRPr="002B5C79">
        <w:rPr>
          <w:rFonts w:ascii="Arial" w:hAnsi="Arial" w:cs="Arial"/>
          <w:color w:val="263238"/>
          <w:szCs w:val="16"/>
          <w:lang w:val="en-US"/>
        </w:rPr>
        <w:t>Mironov</w:t>
      </w:r>
      <w:proofErr w:type="spellEnd"/>
      <w:r w:rsidRPr="002B5C79">
        <w:rPr>
          <w:rFonts w:ascii="Arial" w:hAnsi="Arial" w:cs="Arial"/>
          <w:color w:val="263238"/>
          <w:szCs w:val="16"/>
          <w:lang w:val="en-US"/>
        </w:rPr>
        <w:t xml:space="preserve">, T. K. Gar, V. I. </w:t>
      </w:r>
      <w:proofErr w:type="spellStart"/>
      <w:r w:rsidRPr="002B5C79">
        <w:rPr>
          <w:rFonts w:ascii="Arial" w:hAnsi="Arial" w:cs="Arial"/>
          <w:color w:val="263238"/>
          <w:szCs w:val="16"/>
          <w:lang w:val="en-US"/>
        </w:rPr>
        <w:t>Shiryaev</w:t>
      </w:r>
      <w:proofErr w:type="spellEnd"/>
      <w:r w:rsidRPr="002B5C79">
        <w:rPr>
          <w:rFonts w:ascii="Arial" w:hAnsi="Arial" w:cs="Arial"/>
          <w:color w:val="263238"/>
          <w:szCs w:val="16"/>
          <w:lang w:val="en-US"/>
        </w:rPr>
        <w:t xml:space="preserve">, USSR Inventor's Certificate no. 385971, </w:t>
      </w:r>
      <w:proofErr w:type="spellStart"/>
      <w:r w:rsidRPr="002B5C79">
        <w:rPr>
          <w:rFonts w:ascii="Arial" w:hAnsi="Arial" w:cs="Arial"/>
          <w:i/>
          <w:iCs/>
          <w:color w:val="263238"/>
          <w:szCs w:val="16"/>
          <w:lang w:val="en-US"/>
        </w:rPr>
        <w:t>Byull</w:t>
      </w:r>
      <w:proofErr w:type="spellEnd"/>
      <w:r w:rsidRPr="002B5C79">
        <w:rPr>
          <w:rFonts w:ascii="Arial" w:hAnsi="Arial" w:cs="Arial"/>
          <w:i/>
          <w:iCs/>
          <w:color w:val="263238"/>
          <w:szCs w:val="16"/>
          <w:lang w:val="en-US"/>
        </w:rPr>
        <w:t xml:space="preserve">. </w:t>
      </w:r>
      <w:proofErr w:type="spellStart"/>
      <w:proofErr w:type="gramStart"/>
      <w:r w:rsidRPr="002B5C79">
        <w:rPr>
          <w:rFonts w:ascii="Arial" w:hAnsi="Arial" w:cs="Arial"/>
          <w:i/>
          <w:iCs/>
          <w:color w:val="263238"/>
          <w:szCs w:val="16"/>
          <w:lang w:val="en-US"/>
        </w:rPr>
        <w:t>Izobret</w:t>
      </w:r>
      <w:proofErr w:type="spellEnd"/>
      <w:r w:rsidRPr="002B5C79">
        <w:rPr>
          <w:rFonts w:ascii="Arial" w:hAnsi="Arial" w:cs="Arial"/>
          <w:i/>
          <w:iCs/>
          <w:color w:val="263238"/>
          <w:szCs w:val="16"/>
          <w:lang w:val="en-US"/>
        </w:rPr>
        <w:t>.</w:t>
      </w:r>
      <w:r w:rsidRPr="002B5C79">
        <w:rPr>
          <w:rFonts w:ascii="Arial" w:hAnsi="Arial" w:cs="Arial"/>
          <w:color w:val="263238"/>
          <w:szCs w:val="16"/>
          <w:lang w:val="en-US"/>
        </w:rPr>
        <w:t>,</w:t>
      </w:r>
      <w:proofErr w:type="gramEnd"/>
      <w:r w:rsidRPr="002B5C79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2B5C79">
        <w:rPr>
          <w:rFonts w:ascii="Arial" w:hAnsi="Arial" w:cs="Arial"/>
          <w:b/>
          <w:color w:val="263238"/>
          <w:szCs w:val="16"/>
          <w:lang w:val="en-US"/>
        </w:rPr>
        <w:t>1973</w:t>
      </w:r>
      <w:r w:rsidRPr="002B5C79">
        <w:rPr>
          <w:rFonts w:ascii="Arial" w:hAnsi="Arial" w:cs="Arial"/>
          <w:color w:val="263238"/>
          <w:szCs w:val="16"/>
          <w:lang w:val="en-US"/>
        </w:rPr>
        <w:t>, no. 26.</w:t>
      </w:r>
    </w:p>
    <w:p w:rsidR="001704B0" w:rsidRPr="002B5C79" w:rsidRDefault="002B5C79" w:rsidP="002B5C79">
      <w:pPr>
        <w:pStyle w:val="htmlparentstyle"/>
        <w:spacing w:line="240" w:lineRule="auto"/>
        <w:rPr>
          <w:rFonts w:cs="Arial"/>
          <w:sz w:val="32"/>
          <w:lang w:val="en-US"/>
        </w:rPr>
      </w:pPr>
      <w:r w:rsidRPr="002B5C79">
        <w:rPr>
          <w:rFonts w:cs="Arial"/>
          <w:szCs w:val="16"/>
          <w:lang w:val="en-US"/>
        </w:rPr>
        <w:t xml:space="preserve">V. F. </w:t>
      </w:r>
      <w:proofErr w:type="spellStart"/>
      <w:r w:rsidRPr="002B5C79">
        <w:rPr>
          <w:rFonts w:cs="Arial"/>
          <w:szCs w:val="16"/>
          <w:lang w:val="en-US"/>
        </w:rPr>
        <w:t>Mironov</w:t>
      </w:r>
      <w:proofErr w:type="spellEnd"/>
      <w:r w:rsidRPr="002B5C79">
        <w:rPr>
          <w:rFonts w:cs="Arial"/>
          <w:szCs w:val="16"/>
          <w:lang w:val="en-US"/>
        </w:rPr>
        <w:t xml:space="preserve">, V. I. </w:t>
      </w:r>
      <w:proofErr w:type="spellStart"/>
      <w:r w:rsidRPr="002B5C79">
        <w:rPr>
          <w:rFonts w:cs="Arial"/>
          <w:szCs w:val="16"/>
          <w:lang w:val="en-US"/>
        </w:rPr>
        <w:t>Shiryaev</w:t>
      </w:r>
      <w:proofErr w:type="spellEnd"/>
      <w:r w:rsidRPr="002B5C79">
        <w:rPr>
          <w:rFonts w:cs="Arial"/>
          <w:szCs w:val="16"/>
          <w:lang w:val="en-US"/>
        </w:rPr>
        <w:t xml:space="preserve">, E. M. </w:t>
      </w:r>
      <w:proofErr w:type="spellStart"/>
      <w:r w:rsidRPr="002B5C79">
        <w:rPr>
          <w:rFonts w:cs="Arial"/>
          <w:szCs w:val="16"/>
          <w:lang w:val="en-US"/>
        </w:rPr>
        <w:t>Stepina</w:t>
      </w:r>
      <w:proofErr w:type="spellEnd"/>
      <w:r w:rsidRPr="002B5C79">
        <w:rPr>
          <w:rFonts w:cs="Arial"/>
          <w:szCs w:val="16"/>
          <w:lang w:val="en-US"/>
        </w:rPr>
        <w:t xml:space="preserve">, L. V. </w:t>
      </w:r>
      <w:proofErr w:type="spellStart"/>
      <w:r w:rsidRPr="002B5C79">
        <w:rPr>
          <w:rFonts w:cs="Arial"/>
          <w:szCs w:val="16"/>
          <w:lang w:val="en-US"/>
        </w:rPr>
        <w:t>Makhalkina</w:t>
      </w:r>
      <w:proofErr w:type="spellEnd"/>
      <w:r w:rsidRPr="002B5C79">
        <w:rPr>
          <w:rFonts w:cs="Arial"/>
          <w:szCs w:val="16"/>
          <w:lang w:val="en-US"/>
        </w:rPr>
        <w:t xml:space="preserve">, A. I. </w:t>
      </w:r>
      <w:proofErr w:type="spellStart"/>
      <w:r w:rsidRPr="002B5C79">
        <w:rPr>
          <w:rFonts w:cs="Arial"/>
          <w:szCs w:val="16"/>
          <w:lang w:val="en-US"/>
        </w:rPr>
        <w:t>Lapina</w:t>
      </w:r>
      <w:proofErr w:type="spellEnd"/>
      <w:r w:rsidRPr="002B5C79">
        <w:rPr>
          <w:rFonts w:cs="Arial"/>
          <w:szCs w:val="16"/>
          <w:lang w:val="en-US"/>
        </w:rPr>
        <w:t xml:space="preserve">, V. N. </w:t>
      </w:r>
      <w:proofErr w:type="spellStart"/>
      <w:r w:rsidRPr="002B5C79">
        <w:rPr>
          <w:rFonts w:cs="Arial"/>
          <w:szCs w:val="16"/>
          <w:lang w:val="en-US"/>
        </w:rPr>
        <w:t>Bochkarev</w:t>
      </w:r>
      <w:proofErr w:type="spellEnd"/>
      <w:r w:rsidRPr="002B5C79">
        <w:rPr>
          <w:rFonts w:cs="Arial"/>
          <w:szCs w:val="16"/>
          <w:lang w:val="en-US"/>
        </w:rPr>
        <w:t xml:space="preserve">, A. I. </w:t>
      </w:r>
      <w:proofErr w:type="spellStart"/>
      <w:r w:rsidRPr="002B5C79">
        <w:rPr>
          <w:rFonts w:cs="Arial"/>
          <w:szCs w:val="16"/>
          <w:lang w:val="en-US"/>
        </w:rPr>
        <w:t>Nechaeva</w:t>
      </w:r>
      <w:proofErr w:type="spellEnd"/>
      <w:r w:rsidRPr="002B5C79">
        <w:rPr>
          <w:rFonts w:cs="Arial"/>
          <w:szCs w:val="16"/>
          <w:lang w:val="en-US"/>
        </w:rPr>
        <w:t xml:space="preserve">, </w:t>
      </w:r>
      <w:proofErr w:type="spellStart"/>
      <w:r w:rsidRPr="002B5C79">
        <w:rPr>
          <w:rFonts w:cs="Arial"/>
          <w:i/>
          <w:szCs w:val="16"/>
          <w:lang w:val="en-US"/>
        </w:rPr>
        <w:t>Zh</w:t>
      </w:r>
      <w:proofErr w:type="spellEnd"/>
      <w:r w:rsidRPr="002B5C79">
        <w:rPr>
          <w:rFonts w:cs="Arial"/>
          <w:i/>
          <w:szCs w:val="16"/>
          <w:lang w:val="en-US"/>
        </w:rPr>
        <w:t xml:space="preserve">. </w:t>
      </w:r>
      <w:proofErr w:type="spellStart"/>
      <w:r w:rsidRPr="002B5C79">
        <w:rPr>
          <w:rFonts w:cs="Arial"/>
          <w:i/>
          <w:szCs w:val="16"/>
          <w:lang w:val="en-US"/>
        </w:rPr>
        <w:t>Obshch</w:t>
      </w:r>
      <w:proofErr w:type="spellEnd"/>
      <w:r w:rsidRPr="002B5C79">
        <w:rPr>
          <w:rFonts w:cs="Arial"/>
          <w:i/>
          <w:szCs w:val="16"/>
          <w:lang w:val="en-US"/>
        </w:rPr>
        <w:t xml:space="preserve">. </w:t>
      </w:r>
      <w:proofErr w:type="spellStart"/>
      <w:proofErr w:type="gramStart"/>
      <w:r w:rsidRPr="002B5C79">
        <w:rPr>
          <w:rFonts w:cs="Arial"/>
          <w:i/>
          <w:szCs w:val="16"/>
          <w:lang w:val="en-US"/>
        </w:rPr>
        <w:t>Khim</w:t>
      </w:r>
      <w:proofErr w:type="spellEnd"/>
      <w:r w:rsidRPr="002B5C79">
        <w:rPr>
          <w:rFonts w:cs="Arial"/>
          <w:i/>
          <w:szCs w:val="16"/>
          <w:lang w:val="en-US"/>
        </w:rPr>
        <w:t>.</w:t>
      </w:r>
      <w:r w:rsidRPr="002B5C79">
        <w:rPr>
          <w:rFonts w:cs="Arial"/>
          <w:szCs w:val="16"/>
          <w:lang w:val="en-US"/>
        </w:rPr>
        <w:t>,</w:t>
      </w:r>
      <w:proofErr w:type="gramEnd"/>
      <w:r w:rsidRPr="002B5C79">
        <w:rPr>
          <w:rFonts w:cs="Arial"/>
          <w:szCs w:val="16"/>
          <w:lang w:val="en-US"/>
        </w:rPr>
        <w:t xml:space="preserve"> </w:t>
      </w:r>
      <w:r w:rsidRPr="002B5C79">
        <w:rPr>
          <w:rFonts w:cs="Arial"/>
          <w:b/>
          <w:szCs w:val="16"/>
          <w:lang w:val="en-US"/>
        </w:rPr>
        <w:t>1976</w:t>
      </w:r>
      <w:r w:rsidRPr="002B5C79">
        <w:rPr>
          <w:rFonts w:cs="Arial"/>
          <w:szCs w:val="16"/>
          <w:lang w:val="en-US"/>
        </w:rPr>
        <w:t xml:space="preserve">, </w:t>
      </w:r>
      <w:r w:rsidRPr="002B5C79">
        <w:rPr>
          <w:rFonts w:cs="Arial"/>
          <w:i/>
          <w:szCs w:val="16"/>
          <w:lang w:val="en-US"/>
        </w:rPr>
        <w:t>46</w:t>
      </w:r>
      <w:r w:rsidRPr="002B5C79">
        <w:rPr>
          <w:rFonts w:cs="Arial"/>
          <w:szCs w:val="16"/>
          <w:lang w:val="en-US"/>
        </w:rPr>
        <w:t>, 1043–1048.</w:t>
      </w:r>
    </w:p>
    <w:sectPr w:rsidR="001704B0" w:rsidRPr="002B5C79" w:rsidSect="007A0833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8D5" w:rsidRDefault="008B28D5" w:rsidP="00427E5A">
      <w:pPr>
        <w:spacing w:after="0" w:line="240" w:lineRule="auto"/>
      </w:pPr>
      <w:r>
        <w:separator/>
      </w:r>
    </w:p>
    <w:p w:rsidR="008B28D5" w:rsidRDefault="008B28D5"/>
  </w:endnote>
  <w:endnote w:type="continuationSeparator" w:id="0">
    <w:p w:rsidR="008B28D5" w:rsidRDefault="008B28D5" w:rsidP="00427E5A">
      <w:pPr>
        <w:spacing w:after="0" w:line="240" w:lineRule="auto"/>
      </w:pPr>
      <w:r>
        <w:continuationSeparator/>
      </w:r>
    </w:p>
    <w:p w:rsidR="008B28D5" w:rsidRDefault="008B28D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8D5" w:rsidRDefault="008B28D5" w:rsidP="00427E5A">
      <w:pPr>
        <w:spacing w:after="0" w:line="240" w:lineRule="auto"/>
      </w:pPr>
      <w:r>
        <w:separator/>
      </w:r>
    </w:p>
    <w:p w:rsidR="008B28D5" w:rsidRDefault="008B28D5"/>
  </w:footnote>
  <w:footnote w:type="continuationSeparator" w:id="0">
    <w:p w:rsidR="008B28D5" w:rsidRDefault="008B28D5" w:rsidP="00427E5A">
      <w:pPr>
        <w:spacing w:after="0" w:line="240" w:lineRule="auto"/>
      </w:pPr>
      <w:r>
        <w:continuationSeparator/>
      </w:r>
    </w:p>
    <w:p w:rsidR="008B28D5" w:rsidRDefault="008B28D5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7763"/>
    <w:multiLevelType w:val="hybridMultilevel"/>
    <w:tmpl w:val="9F2492F6"/>
    <w:lvl w:ilvl="0" w:tplc="7E74975E">
      <w:start w:val="1"/>
      <w:numFmt w:val="decimal"/>
      <w:lvlText w:val="%1."/>
      <w:lvlJc w:val="left"/>
      <w:pPr>
        <w:ind w:left="2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4" w:hanging="360"/>
      </w:pPr>
    </w:lvl>
    <w:lvl w:ilvl="2" w:tplc="0419001B" w:tentative="1">
      <w:start w:val="1"/>
      <w:numFmt w:val="lowerRoman"/>
      <w:lvlText w:val="%3."/>
      <w:lvlJc w:val="right"/>
      <w:pPr>
        <w:ind w:left="1674" w:hanging="180"/>
      </w:pPr>
    </w:lvl>
    <w:lvl w:ilvl="3" w:tplc="0419000F" w:tentative="1">
      <w:start w:val="1"/>
      <w:numFmt w:val="decimal"/>
      <w:lvlText w:val="%4."/>
      <w:lvlJc w:val="left"/>
      <w:pPr>
        <w:ind w:left="2394" w:hanging="360"/>
      </w:pPr>
    </w:lvl>
    <w:lvl w:ilvl="4" w:tplc="04190019" w:tentative="1">
      <w:start w:val="1"/>
      <w:numFmt w:val="lowerLetter"/>
      <w:lvlText w:val="%5."/>
      <w:lvlJc w:val="left"/>
      <w:pPr>
        <w:ind w:left="3114" w:hanging="360"/>
      </w:pPr>
    </w:lvl>
    <w:lvl w:ilvl="5" w:tplc="0419001B" w:tentative="1">
      <w:start w:val="1"/>
      <w:numFmt w:val="lowerRoman"/>
      <w:lvlText w:val="%6."/>
      <w:lvlJc w:val="right"/>
      <w:pPr>
        <w:ind w:left="3834" w:hanging="180"/>
      </w:pPr>
    </w:lvl>
    <w:lvl w:ilvl="6" w:tplc="0419000F" w:tentative="1">
      <w:start w:val="1"/>
      <w:numFmt w:val="decimal"/>
      <w:lvlText w:val="%7."/>
      <w:lvlJc w:val="left"/>
      <w:pPr>
        <w:ind w:left="4554" w:hanging="360"/>
      </w:pPr>
    </w:lvl>
    <w:lvl w:ilvl="7" w:tplc="04190019" w:tentative="1">
      <w:start w:val="1"/>
      <w:numFmt w:val="lowerLetter"/>
      <w:lvlText w:val="%8."/>
      <w:lvlJc w:val="left"/>
      <w:pPr>
        <w:ind w:left="5274" w:hanging="360"/>
      </w:pPr>
    </w:lvl>
    <w:lvl w:ilvl="8" w:tplc="0419001B" w:tentative="1">
      <w:start w:val="1"/>
      <w:numFmt w:val="lowerRoman"/>
      <w:lvlText w:val="%9."/>
      <w:lvlJc w:val="right"/>
      <w:pPr>
        <w:ind w:left="5994" w:hanging="180"/>
      </w:pPr>
    </w:lvl>
  </w:abstractNum>
  <w:abstractNum w:abstractNumId="1">
    <w:nsid w:val="0D69189E"/>
    <w:multiLevelType w:val="hybridMultilevel"/>
    <w:tmpl w:val="410A7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40240"/>
    <w:multiLevelType w:val="hybridMultilevel"/>
    <w:tmpl w:val="0D4EC560"/>
    <w:lvl w:ilvl="0" w:tplc="0419000F">
      <w:start w:val="1"/>
      <w:numFmt w:val="decimal"/>
      <w:lvlText w:val="%1."/>
      <w:lvlJc w:val="left"/>
      <w:pPr>
        <w:ind w:left="594" w:hanging="360"/>
      </w:pPr>
    </w:lvl>
    <w:lvl w:ilvl="1" w:tplc="04190019" w:tentative="1">
      <w:start w:val="1"/>
      <w:numFmt w:val="lowerLetter"/>
      <w:lvlText w:val="%2."/>
      <w:lvlJc w:val="left"/>
      <w:pPr>
        <w:ind w:left="1314" w:hanging="360"/>
      </w:pPr>
    </w:lvl>
    <w:lvl w:ilvl="2" w:tplc="0419001B" w:tentative="1">
      <w:start w:val="1"/>
      <w:numFmt w:val="lowerRoman"/>
      <w:lvlText w:val="%3."/>
      <w:lvlJc w:val="right"/>
      <w:pPr>
        <w:ind w:left="2034" w:hanging="180"/>
      </w:pPr>
    </w:lvl>
    <w:lvl w:ilvl="3" w:tplc="0419000F" w:tentative="1">
      <w:start w:val="1"/>
      <w:numFmt w:val="decimal"/>
      <w:lvlText w:val="%4."/>
      <w:lvlJc w:val="left"/>
      <w:pPr>
        <w:ind w:left="2754" w:hanging="360"/>
      </w:pPr>
    </w:lvl>
    <w:lvl w:ilvl="4" w:tplc="04190019" w:tentative="1">
      <w:start w:val="1"/>
      <w:numFmt w:val="lowerLetter"/>
      <w:lvlText w:val="%5."/>
      <w:lvlJc w:val="left"/>
      <w:pPr>
        <w:ind w:left="3474" w:hanging="360"/>
      </w:pPr>
    </w:lvl>
    <w:lvl w:ilvl="5" w:tplc="0419001B" w:tentative="1">
      <w:start w:val="1"/>
      <w:numFmt w:val="lowerRoman"/>
      <w:lvlText w:val="%6."/>
      <w:lvlJc w:val="right"/>
      <w:pPr>
        <w:ind w:left="4194" w:hanging="180"/>
      </w:pPr>
    </w:lvl>
    <w:lvl w:ilvl="6" w:tplc="0419000F" w:tentative="1">
      <w:start w:val="1"/>
      <w:numFmt w:val="decimal"/>
      <w:lvlText w:val="%7."/>
      <w:lvlJc w:val="left"/>
      <w:pPr>
        <w:ind w:left="4914" w:hanging="360"/>
      </w:pPr>
    </w:lvl>
    <w:lvl w:ilvl="7" w:tplc="04190019" w:tentative="1">
      <w:start w:val="1"/>
      <w:numFmt w:val="lowerLetter"/>
      <w:lvlText w:val="%8."/>
      <w:lvlJc w:val="left"/>
      <w:pPr>
        <w:ind w:left="5634" w:hanging="360"/>
      </w:pPr>
    </w:lvl>
    <w:lvl w:ilvl="8" w:tplc="0419001B" w:tentative="1">
      <w:start w:val="1"/>
      <w:numFmt w:val="lowerRoman"/>
      <w:lvlText w:val="%9."/>
      <w:lvlJc w:val="right"/>
      <w:pPr>
        <w:ind w:left="6354" w:hanging="180"/>
      </w:pPr>
    </w:lvl>
  </w:abstractNum>
  <w:abstractNum w:abstractNumId="4">
    <w:nsid w:val="1FBB0EEB"/>
    <w:multiLevelType w:val="hybridMultilevel"/>
    <w:tmpl w:val="9F46C84E"/>
    <w:lvl w:ilvl="0" w:tplc="1EC00852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D0037"/>
    <w:multiLevelType w:val="hybridMultilevel"/>
    <w:tmpl w:val="29FAE5D4"/>
    <w:lvl w:ilvl="0" w:tplc="951264B6">
      <w:start w:val="1"/>
      <w:numFmt w:val="decimal"/>
      <w:lvlText w:val="%1."/>
      <w:lvlJc w:val="left"/>
      <w:pPr>
        <w:ind w:left="786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5C753BA6"/>
    <w:multiLevelType w:val="hybridMultilevel"/>
    <w:tmpl w:val="14F8C202"/>
    <w:lvl w:ilvl="0" w:tplc="6236129C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2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4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63FFD"/>
    <w:multiLevelType w:val="hybridMultilevel"/>
    <w:tmpl w:val="4274D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2"/>
  </w:num>
  <w:num w:numId="5">
    <w:abstractNumId w:val="13"/>
  </w:num>
  <w:num w:numId="6">
    <w:abstractNumId w:val="14"/>
  </w:num>
  <w:num w:numId="7">
    <w:abstractNumId w:val="2"/>
  </w:num>
  <w:num w:numId="8">
    <w:abstractNumId w:val="8"/>
  </w:num>
  <w:num w:numId="9">
    <w:abstractNumId w:val="11"/>
  </w:num>
  <w:num w:numId="10">
    <w:abstractNumId w:val="3"/>
  </w:num>
  <w:num w:numId="11">
    <w:abstractNumId w:val="0"/>
  </w:num>
  <w:num w:numId="12">
    <w:abstractNumId w:val="5"/>
  </w:num>
  <w:num w:numId="13">
    <w:abstractNumId w:val="4"/>
  </w:num>
  <w:num w:numId="14">
    <w:abstractNumId w:val="1"/>
  </w:num>
  <w:num w:numId="15">
    <w:abstractNumId w:val="15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SortMethod w:val="0003"/>
  <w:styleLockTheme/>
  <w:styleLockQFSet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0951"/>
    <w:rsid w:val="00016637"/>
    <w:rsid w:val="00021E9C"/>
    <w:rsid w:val="00025448"/>
    <w:rsid w:val="00025D9C"/>
    <w:rsid w:val="00031445"/>
    <w:rsid w:val="000510F7"/>
    <w:rsid w:val="00052C07"/>
    <w:rsid w:val="00064622"/>
    <w:rsid w:val="00067EC7"/>
    <w:rsid w:val="00070E50"/>
    <w:rsid w:val="00071D12"/>
    <w:rsid w:val="00080691"/>
    <w:rsid w:val="0008088D"/>
    <w:rsid w:val="0008238E"/>
    <w:rsid w:val="000843DF"/>
    <w:rsid w:val="00085A7C"/>
    <w:rsid w:val="000A0FBD"/>
    <w:rsid w:val="000B0164"/>
    <w:rsid w:val="000B1B42"/>
    <w:rsid w:val="000B5E27"/>
    <w:rsid w:val="000C6B71"/>
    <w:rsid w:val="000E1B06"/>
    <w:rsid w:val="000E1CFB"/>
    <w:rsid w:val="00100102"/>
    <w:rsid w:val="0010033A"/>
    <w:rsid w:val="0010088C"/>
    <w:rsid w:val="00104620"/>
    <w:rsid w:val="001405F2"/>
    <w:rsid w:val="00143103"/>
    <w:rsid w:val="00145EA6"/>
    <w:rsid w:val="00150D6A"/>
    <w:rsid w:val="00156A07"/>
    <w:rsid w:val="00161894"/>
    <w:rsid w:val="00165A36"/>
    <w:rsid w:val="00166162"/>
    <w:rsid w:val="001704B0"/>
    <w:rsid w:val="00174607"/>
    <w:rsid w:val="00176C59"/>
    <w:rsid w:val="00192FF9"/>
    <w:rsid w:val="00194288"/>
    <w:rsid w:val="001A28BF"/>
    <w:rsid w:val="001B0919"/>
    <w:rsid w:val="001B26FF"/>
    <w:rsid w:val="001B6750"/>
    <w:rsid w:val="001C0B33"/>
    <w:rsid w:val="001C1CCE"/>
    <w:rsid w:val="001C2A6B"/>
    <w:rsid w:val="001C706F"/>
    <w:rsid w:val="001E1F3B"/>
    <w:rsid w:val="001E22EC"/>
    <w:rsid w:val="001E7945"/>
    <w:rsid w:val="0021589A"/>
    <w:rsid w:val="0022057B"/>
    <w:rsid w:val="002222B6"/>
    <w:rsid w:val="002235A5"/>
    <w:rsid w:val="00224F4E"/>
    <w:rsid w:val="00227BCD"/>
    <w:rsid w:val="00247ECE"/>
    <w:rsid w:val="002500A5"/>
    <w:rsid w:val="00250F37"/>
    <w:rsid w:val="00263CDC"/>
    <w:rsid w:val="00267EF3"/>
    <w:rsid w:val="002801B8"/>
    <w:rsid w:val="00285F5A"/>
    <w:rsid w:val="00293275"/>
    <w:rsid w:val="00297AA7"/>
    <w:rsid w:val="002A0BC1"/>
    <w:rsid w:val="002B5C79"/>
    <w:rsid w:val="002B5D6A"/>
    <w:rsid w:val="002B7F69"/>
    <w:rsid w:val="002C295A"/>
    <w:rsid w:val="002C3AF3"/>
    <w:rsid w:val="002C64E7"/>
    <w:rsid w:val="002D3769"/>
    <w:rsid w:val="002D6411"/>
    <w:rsid w:val="002F424B"/>
    <w:rsid w:val="0031578F"/>
    <w:rsid w:val="00315C19"/>
    <w:rsid w:val="003163D8"/>
    <w:rsid w:val="00321C31"/>
    <w:rsid w:val="00335163"/>
    <w:rsid w:val="0034072D"/>
    <w:rsid w:val="0034176A"/>
    <w:rsid w:val="00346ED7"/>
    <w:rsid w:val="003604C3"/>
    <w:rsid w:val="00362760"/>
    <w:rsid w:val="003647E7"/>
    <w:rsid w:val="00375D10"/>
    <w:rsid w:val="00387F46"/>
    <w:rsid w:val="003A3ACE"/>
    <w:rsid w:val="003A5611"/>
    <w:rsid w:val="003B067D"/>
    <w:rsid w:val="003B0BD4"/>
    <w:rsid w:val="003C25F2"/>
    <w:rsid w:val="003D2A22"/>
    <w:rsid w:val="003E2893"/>
    <w:rsid w:val="003E3EF7"/>
    <w:rsid w:val="003E6BD0"/>
    <w:rsid w:val="004030ED"/>
    <w:rsid w:val="00406F12"/>
    <w:rsid w:val="004279D0"/>
    <w:rsid w:val="00427E5A"/>
    <w:rsid w:val="0043078B"/>
    <w:rsid w:val="00436D4B"/>
    <w:rsid w:val="00440577"/>
    <w:rsid w:val="004409A4"/>
    <w:rsid w:val="00456125"/>
    <w:rsid w:val="00460F8A"/>
    <w:rsid w:val="00463737"/>
    <w:rsid w:val="00473AC6"/>
    <w:rsid w:val="00475910"/>
    <w:rsid w:val="004A44BC"/>
    <w:rsid w:val="004A51C9"/>
    <w:rsid w:val="004A5676"/>
    <w:rsid w:val="004B6C91"/>
    <w:rsid w:val="004C00C5"/>
    <w:rsid w:val="004C0411"/>
    <w:rsid w:val="004C141B"/>
    <w:rsid w:val="004C2362"/>
    <w:rsid w:val="004C5EA0"/>
    <w:rsid w:val="004D0021"/>
    <w:rsid w:val="004D2E6D"/>
    <w:rsid w:val="004E4B36"/>
    <w:rsid w:val="004F3EB8"/>
    <w:rsid w:val="004F7D17"/>
    <w:rsid w:val="00502741"/>
    <w:rsid w:val="00502985"/>
    <w:rsid w:val="00511255"/>
    <w:rsid w:val="00512380"/>
    <w:rsid w:val="0052362C"/>
    <w:rsid w:val="005241EE"/>
    <w:rsid w:val="00524995"/>
    <w:rsid w:val="00527C5A"/>
    <w:rsid w:val="00533D73"/>
    <w:rsid w:val="00534762"/>
    <w:rsid w:val="00551A9B"/>
    <w:rsid w:val="00565D0F"/>
    <w:rsid w:val="00566E1F"/>
    <w:rsid w:val="00571D62"/>
    <w:rsid w:val="00574E8C"/>
    <w:rsid w:val="005827E1"/>
    <w:rsid w:val="00592A1A"/>
    <w:rsid w:val="0059560E"/>
    <w:rsid w:val="005C6C8E"/>
    <w:rsid w:val="005C7369"/>
    <w:rsid w:val="005D5E3B"/>
    <w:rsid w:val="005E76C3"/>
    <w:rsid w:val="005F5908"/>
    <w:rsid w:val="00605F7B"/>
    <w:rsid w:val="00607EA3"/>
    <w:rsid w:val="006118F4"/>
    <w:rsid w:val="00615AB2"/>
    <w:rsid w:val="00616518"/>
    <w:rsid w:val="00622DF1"/>
    <w:rsid w:val="0062694E"/>
    <w:rsid w:val="006416C1"/>
    <w:rsid w:val="0064267C"/>
    <w:rsid w:val="0065245B"/>
    <w:rsid w:val="00665B7C"/>
    <w:rsid w:val="0066642B"/>
    <w:rsid w:val="00676DA8"/>
    <w:rsid w:val="00683408"/>
    <w:rsid w:val="0068399D"/>
    <w:rsid w:val="0068614A"/>
    <w:rsid w:val="006A366E"/>
    <w:rsid w:val="006A515C"/>
    <w:rsid w:val="006B267D"/>
    <w:rsid w:val="006B7ED3"/>
    <w:rsid w:val="006C3F54"/>
    <w:rsid w:val="006D0F0C"/>
    <w:rsid w:val="006D75C2"/>
    <w:rsid w:val="006D7CF9"/>
    <w:rsid w:val="006E0C73"/>
    <w:rsid w:val="006E1AB7"/>
    <w:rsid w:val="006E2344"/>
    <w:rsid w:val="006E3D6B"/>
    <w:rsid w:val="006F4B94"/>
    <w:rsid w:val="006F72DF"/>
    <w:rsid w:val="00704BD0"/>
    <w:rsid w:val="00706F05"/>
    <w:rsid w:val="0072037E"/>
    <w:rsid w:val="00720F8E"/>
    <w:rsid w:val="00736EEC"/>
    <w:rsid w:val="007516EA"/>
    <w:rsid w:val="00756335"/>
    <w:rsid w:val="00762718"/>
    <w:rsid w:val="007659A9"/>
    <w:rsid w:val="00771D6B"/>
    <w:rsid w:val="007762ED"/>
    <w:rsid w:val="00790C2E"/>
    <w:rsid w:val="00793C84"/>
    <w:rsid w:val="00795BDC"/>
    <w:rsid w:val="00795F22"/>
    <w:rsid w:val="007A0833"/>
    <w:rsid w:val="007A3351"/>
    <w:rsid w:val="007A5771"/>
    <w:rsid w:val="007B0653"/>
    <w:rsid w:val="007B2B65"/>
    <w:rsid w:val="007B3CB6"/>
    <w:rsid w:val="007B67DA"/>
    <w:rsid w:val="007D23E1"/>
    <w:rsid w:val="007D3F5F"/>
    <w:rsid w:val="007E04CF"/>
    <w:rsid w:val="007E11A6"/>
    <w:rsid w:val="007F093C"/>
    <w:rsid w:val="008035F0"/>
    <w:rsid w:val="008114FB"/>
    <w:rsid w:val="008120E9"/>
    <w:rsid w:val="00813DE4"/>
    <w:rsid w:val="00820A77"/>
    <w:rsid w:val="00823733"/>
    <w:rsid w:val="008257A1"/>
    <w:rsid w:val="008276AE"/>
    <w:rsid w:val="0083487B"/>
    <w:rsid w:val="00834DA4"/>
    <w:rsid w:val="008354BA"/>
    <w:rsid w:val="00842E5C"/>
    <w:rsid w:val="008444DA"/>
    <w:rsid w:val="008451A3"/>
    <w:rsid w:val="008453AB"/>
    <w:rsid w:val="008518EA"/>
    <w:rsid w:val="0085553A"/>
    <w:rsid w:val="008622A1"/>
    <w:rsid w:val="00863A30"/>
    <w:rsid w:val="0087284A"/>
    <w:rsid w:val="0087300D"/>
    <w:rsid w:val="00875175"/>
    <w:rsid w:val="008771F5"/>
    <w:rsid w:val="008827F7"/>
    <w:rsid w:val="00890614"/>
    <w:rsid w:val="00890BCA"/>
    <w:rsid w:val="0089304F"/>
    <w:rsid w:val="00894EE2"/>
    <w:rsid w:val="008A02BF"/>
    <w:rsid w:val="008A6A35"/>
    <w:rsid w:val="008B1966"/>
    <w:rsid w:val="008B28D5"/>
    <w:rsid w:val="008B6FF6"/>
    <w:rsid w:val="008C6630"/>
    <w:rsid w:val="008C68C0"/>
    <w:rsid w:val="008D1D43"/>
    <w:rsid w:val="008D2BCF"/>
    <w:rsid w:val="008E062B"/>
    <w:rsid w:val="008E392F"/>
    <w:rsid w:val="008E65E4"/>
    <w:rsid w:val="009018B1"/>
    <w:rsid w:val="00903EC7"/>
    <w:rsid w:val="00904B7F"/>
    <w:rsid w:val="0090673F"/>
    <w:rsid w:val="0091038C"/>
    <w:rsid w:val="0091084F"/>
    <w:rsid w:val="009118FE"/>
    <w:rsid w:val="00916E1F"/>
    <w:rsid w:val="00922AD7"/>
    <w:rsid w:val="00930DA8"/>
    <w:rsid w:val="00955EDB"/>
    <w:rsid w:val="00961CE4"/>
    <w:rsid w:val="009667F3"/>
    <w:rsid w:val="0096783D"/>
    <w:rsid w:val="009A6DAE"/>
    <w:rsid w:val="009B17A7"/>
    <w:rsid w:val="009B1ECD"/>
    <w:rsid w:val="009B4E07"/>
    <w:rsid w:val="009B5B8E"/>
    <w:rsid w:val="009C0FDC"/>
    <w:rsid w:val="009C2387"/>
    <w:rsid w:val="009D3902"/>
    <w:rsid w:val="009E0172"/>
    <w:rsid w:val="009E3720"/>
    <w:rsid w:val="009F226B"/>
    <w:rsid w:val="00A05076"/>
    <w:rsid w:val="00A0672F"/>
    <w:rsid w:val="00A231BA"/>
    <w:rsid w:val="00A263EF"/>
    <w:rsid w:val="00A27245"/>
    <w:rsid w:val="00A32E5C"/>
    <w:rsid w:val="00A33939"/>
    <w:rsid w:val="00A56EFC"/>
    <w:rsid w:val="00A6442F"/>
    <w:rsid w:val="00A66EE2"/>
    <w:rsid w:val="00A76F33"/>
    <w:rsid w:val="00AC3F69"/>
    <w:rsid w:val="00AC3FD8"/>
    <w:rsid w:val="00AC4C4E"/>
    <w:rsid w:val="00AD01DF"/>
    <w:rsid w:val="00AE376B"/>
    <w:rsid w:val="00AE39E3"/>
    <w:rsid w:val="00AE4947"/>
    <w:rsid w:val="00AF635D"/>
    <w:rsid w:val="00B0046C"/>
    <w:rsid w:val="00B02B82"/>
    <w:rsid w:val="00B116CC"/>
    <w:rsid w:val="00B23601"/>
    <w:rsid w:val="00B354FD"/>
    <w:rsid w:val="00B3671D"/>
    <w:rsid w:val="00B41C56"/>
    <w:rsid w:val="00B5202A"/>
    <w:rsid w:val="00B571B2"/>
    <w:rsid w:val="00B73FF6"/>
    <w:rsid w:val="00B7532E"/>
    <w:rsid w:val="00B83D1D"/>
    <w:rsid w:val="00B9104A"/>
    <w:rsid w:val="00BA025A"/>
    <w:rsid w:val="00BB1D07"/>
    <w:rsid w:val="00BB2DF9"/>
    <w:rsid w:val="00BD0F8C"/>
    <w:rsid w:val="00BD3D91"/>
    <w:rsid w:val="00BE4FEF"/>
    <w:rsid w:val="00BE5CFB"/>
    <w:rsid w:val="00BF27CD"/>
    <w:rsid w:val="00C01303"/>
    <w:rsid w:val="00C25E43"/>
    <w:rsid w:val="00C33584"/>
    <w:rsid w:val="00C3565E"/>
    <w:rsid w:val="00C3671B"/>
    <w:rsid w:val="00C57C43"/>
    <w:rsid w:val="00C75351"/>
    <w:rsid w:val="00C810AE"/>
    <w:rsid w:val="00C927EB"/>
    <w:rsid w:val="00C97078"/>
    <w:rsid w:val="00CA605E"/>
    <w:rsid w:val="00CB0173"/>
    <w:rsid w:val="00CD08DC"/>
    <w:rsid w:val="00CD128C"/>
    <w:rsid w:val="00CD6FAC"/>
    <w:rsid w:val="00CF0323"/>
    <w:rsid w:val="00CF22D5"/>
    <w:rsid w:val="00D118AB"/>
    <w:rsid w:val="00D12AFB"/>
    <w:rsid w:val="00D22C36"/>
    <w:rsid w:val="00D27A8E"/>
    <w:rsid w:val="00D31C2D"/>
    <w:rsid w:val="00D33D37"/>
    <w:rsid w:val="00D36C9F"/>
    <w:rsid w:val="00D47C05"/>
    <w:rsid w:val="00D535D0"/>
    <w:rsid w:val="00D622BA"/>
    <w:rsid w:val="00D71473"/>
    <w:rsid w:val="00D90692"/>
    <w:rsid w:val="00D919F1"/>
    <w:rsid w:val="00DA0A72"/>
    <w:rsid w:val="00DA3AF4"/>
    <w:rsid w:val="00DA3C85"/>
    <w:rsid w:val="00DA3E8D"/>
    <w:rsid w:val="00DB33FB"/>
    <w:rsid w:val="00DD10FA"/>
    <w:rsid w:val="00DF1FCB"/>
    <w:rsid w:val="00DF4999"/>
    <w:rsid w:val="00E01CC0"/>
    <w:rsid w:val="00E32CFF"/>
    <w:rsid w:val="00E5003A"/>
    <w:rsid w:val="00E50186"/>
    <w:rsid w:val="00E502D9"/>
    <w:rsid w:val="00E60451"/>
    <w:rsid w:val="00E76E65"/>
    <w:rsid w:val="00E81EDE"/>
    <w:rsid w:val="00E86508"/>
    <w:rsid w:val="00E92E67"/>
    <w:rsid w:val="00E95346"/>
    <w:rsid w:val="00E95888"/>
    <w:rsid w:val="00EA6C3B"/>
    <w:rsid w:val="00EB2FCC"/>
    <w:rsid w:val="00EB6228"/>
    <w:rsid w:val="00EE0429"/>
    <w:rsid w:val="00EE4066"/>
    <w:rsid w:val="00EE5CC8"/>
    <w:rsid w:val="00EE7A60"/>
    <w:rsid w:val="00EF625A"/>
    <w:rsid w:val="00EF6BD4"/>
    <w:rsid w:val="00EF70D8"/>
    <w:rsid w:val="00F01C7B"/>
    <w:rsid w:val="00F24736"/>
    <w:rsid w:val="00F279E2"/>
    <w:rsid w:val="00F27BF3"/>
    <w:rsid w:val="00F376FB"/>
    <w:rsid w:val="00F44BBC"/>
    <w:rsid w:val="00F46F0E"/>
    <w:rsid w:val="00F51584"/>
    <w:rsid w:val="00F63502"/>
    <w:rsid w:val="00F6796A"/>
    <w:rsid w:val="00F679F8"/>
    <w:rsid w:val="00F8114B"/>
    <w:rsid w:val="00F86864"/>
    <w:rsid w:val="00F94740"/>
    <w:rsid w:val="00F95280"/>
    <w:rsid w:val="00FA0CD1"/>
    <w:rsid w:val="00FA707E"/>
    <w:rsid w:val="00FB4DBE"/>
    <w:rsid w:val="00FB689E"/>
    <w:rsid w:val="00FD0D30"/>
    <w:rsid w:val="00FD2F8B"/>
    <w:rsid w:val="00FE45D6"/>
    <w:rsid w:val="00FF1493"/>
    <w:rsid w:val="00FF34BD"/>
    <w:rsid w:val="00FF6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/>
    <w:lsdException w:name="Default Paragraph Font" w:uiPriority="1"/>
    <w:lsdException w:name="Body Text Indent" w:uiPriority="0"/>
    <w:lsdException w:name="Subtitle" w:uiPriority="11" w:unhideWhenUsed="0"/>
    <w:lsdException w:name="Strong" w:uiPriority="22" w:unhideWhenUsed="0" w:qFormat="1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semiHidden/>
    <w:rsid w:val="00AE39E3"/>
  </w:style>
  <w:style w:type="paragraph" w:styleId="1">
    <w:name w:val="heading 1"/>
    <w:basedOn w:val="a"/>
    <w:next w:val="a"/>
    <w:link w:val="10"/>
    <w:uiPriority w:val="9"/>
    <w:semiHidden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customStyle="1" w:styleId="MainHeader">
    <w:name w:val="Main_Header"/>
    <w:basedOn w:val="htmlparentstyle"/>
    <w:link w:val="MainHeader0"/>
    <w:qFormat/>
    <w:rsid w:val="0068614A"/>
    <w:pPr>
      <w:spacing w:before="240" w:after="240"/>
    </w:pPr>
    <w:rPr>
      <w:rFonts w:cs="Arial"/>
      <w:b/>
      <w:sz w:val="28"/>
      <w:szCs w:val="26"/>
      <w:lang w:val="en-US"/>
    </w:rPr>
  </w:style>
  <w:style w:type="paragraph" w:customStyle="1" w:styleId="Affelations">
    <w:name w:val="Affelations"/>
    <w:basedOn w:val="htmlparentstyle"/>
    <w:link w:val="Affelations0"/>
    <w:qFormat/>
    <w:rsid w:val="005827E1"/>
    <w:pPr>
      <w:spacing w:line="240" w:lineRule="auto"/>
      <w:jc w:val="left"/>
    </w:pPr>
    <w:rPr>
      <w:rFonts w:cs="Arial"/>
      <w:i/>
      <w:iCs/>
      <w:lang w:val="en-GB"/>
    </w:rPr>
  </w:style>
  <w:style w:type="character" w:customStyle="1" w:styleId="MainHeader0">
    <w:name w:val="Main_Header Знак"/>
    <w:basedOn w:val="a0"/>
    <w:link w:val="MainHeader"/>
    <w:rsid w:val="005827E1"/>
    <w:rPr>
      <w:rFonts w:ascii="Arial" w:hAnsi="Arial" w:cs="Arial"/>
      <w:b/>
      <w:sz w:val="28"/>
      <w:szCs w:val="26"/>
      <w:lang w:val="en-US"/>
    </w:rPr>
  </w:style>
  <w:style w:type="paragraph" w:customStyle="1" w:styleId="CorrespondingAuthor">
    <w:name w:val="CorrespondingAuthor"/>
    <w:basedOn w:val="htmlparentstyle"/>
    <w:link w:val="CorrespondingAuthor0"/>
    <w:qFormat/>
    <w:rsid w:val="005827E1"/>
    <w:pPr>
      <w:spacing w:after="200"/>
      <w:jc w:val="left"/>
    </w:pPr>
    <w:rPr>
      <w:rFonts w:ascii="Times New Roman" w:hAnsi="Times New Roman" w:cs="Times New Roman"/>
      <w:i/>
      <w:lang w:val="en-US"/>
    </w:rPr>
  </w:style>
  <w:style w:type="character" w:styleId="ab">
    <w:name w:val="line number"/>
    <w:basedOn w:val="a0"/>
    <w:uiPriority w:val="99"/>
    <w:semiHidden/>
    <w:unhideWhenUsed/>
    <w:rsid w:val="007A3351"/>
  </w:style>
  <w:style w:type="character" w:customStyle="1" w:styleId="Affelations0">
    <w:name w:val="Affelations Знак"/>
    <w:basedOn w:val="a0"/>
    <w:link w:val="Affelations"/>
    <w:rsid w:val="005827E1"/>
    <w:rPr>
      <w:rFonts w:ascii="Arial" w:hAnsi="Arial" w:cs="Arial"/>
      <w:i/>
      <w:iCs/>
      <w:lang w:val="en-GB"/>
    </w:rPr>
  </w:style>
  <w:style w:type="paragraph" w:customStyle="1" w:styleId="Text">
    <w:name w:val="Text"/>
    <w:basedOn w:val="htmlparentstyle"/>
    <w:link w:val="Text0"/>
    <w:qFormat/>
    <w:rsid w:val="0068614A"/>
    <w:rPr>
      <w:rFonts w:cs="Arial"/>
    </w:rPr>
  </w:style>
  <w:style w:type="paragraph" w:customStyle="1" w:styleId="ArticleTitle">
    <w:name w:val="ArticleTitle"/>
    <w:basedOn w:val="htmlparentstyle"/>
    <w:link w:val="ArticleTitle0"/>
    <w:qFormat/>
    <w:rsid w:val="00406F12"/>
    <w:pPr>
      <w:spacing w:after="380"/>
      <w:jc w:val="center"/>
    </w:pPr>
    <w:rPr>
      <w:rFonts w:ascii="Times New Roman" w:hAnsi="Times New Roman" w:cs="Times New Roman"/>
      <w:b/>
      <w:i/>
      <w:color w:val="0000FF"/>
      <w:sz w:val="36"/>
      <w:szCs w:val="36"/>
      <w:lang w:val="en-US"/>
    </w:rPr>
  </w:style>
  <w:style w:type="character" w:customStyle="1" w:styleId="CorrespondingAuthor0">
    <w:name w:val="CorrespondingAuthor Знак"/>
    <w:basedOn w:val="a0"/>
    <w:link w:val="CorrespondingAuthor"/>
    <w:rsid w:val="005827E1"/>
    <w:rPr>
      <w:rFonts w:ascii="Times New Roman" w:hAnsi="Times New Roman" w:cs="Times New Roman"/>
      <w:i/>
      <w:lang w:val="en-US"/>
    </w:rPr>
  </w:style>
  <w:style w:type="paragraph" w:customStyle="1" w:styleId="Authors">
    <w:name w:val="Authors"/>
    <w:basedOn w:val="htmlparentstyle"/>
    <w:link w:val="Authors0"/>
    <w:qFormat/>
    <w:rsid w:val="00756335"/>
    <w:pPr>
      <w:spacing w:line="240" w:lineRule="auto"/>
      <w:jc w:val="center"/>
    </w:pPr>
    <w:rPr>
      <w:rFonts w:ascii="Times New Roman" w:hAnsi="Times New Roman" w:cs="Times New Roman"/>
      <w:b/>
      <w:noProof/>
      <w:color w:val="000066"/>
      <w:sz w:val="26"/>
      <w:szCs w:val="26"/>
      <w:lang w:val="en-US"/>
    </w:rPr>
  </w:style>
  <w:style w:type="paragraph" w:customStyle="1" w:styleId="IllustrationDescription">
    <w:name w:val="IllustrationDescription"/>
    <w:basedOn w:val="htmlparentstyle"/>
    <w:link w:val="IllustrationDescription0"/>
    <w:qFormat/>
    <w:rsid w:val="005827E1"/>
    <w:pPr>
      <w:spacing w:before="120" w:after="200"/>
      <w:jc w:val="center"/>
    </w:pPr>
    <w:rPr>
      <w:rFonts w:cs="Arial"/>
      <w:bCs/>
      <w:sz w:val="20"/>
      <w:szCs w:val="16"/>
      <w:lang w:val="en-US"/>
    </w:rPr>
  </w:style>
  <w:style w:type="character" w:customStyle="1" w:styleId="Text0">
    <w:name w:val="Text Знак"/>
    <w:basedOn w:val="a0"/>
    <w:link w:val="Text"/>
    <w:rsid w:val="005827E1"/>
    <w:rPr>
      <w:rFonts w:ascii="Arial" w:hAnsi="Arial" w:cs="Arial"/>
    </w:rPr>
  </w:style>
  <w:style w:type="paragraph" w:customStyle="1" w:styleId="Illustration">
    <w:name w:val="Illustration"/>
    <w:basedOn w:val="htmlparentstyle"/>
    <w:link w:val="Illustration0"/>
    <w:qFormat/>
    <w:rsid w:val="005827E1"/>
    <w:pPr>
      <w:widowControl w:val="0"/>
      <w:spacing w:before="200" w:after="120"/>
      <w:jc w:val="center"/>
    </w:pPr>
    <w:rPr>
      <w:rFonts w:cs="Arial"/>
      <w:noProof/>
      <w:szCs w:val="18"/>
      <w:lang w:eastAsia="ru-RU"/>
    </w:rPr>
  </w:style>
  <w:style w:type="character" w:customStyle="1" w:styleId="IllustrationDescription0">
    <w:name w:val="IllustrationDescription Знак"/>
    <w:basedOn w:val="a0"/>
    <w:link w:val="IllustrationDescription"/>
    <w:rsid w:val="005827E1"/>
    <w:rPr>
      <w:rFonts w:ascii="Arial" w:hAnsi="Arial" w:cs="Arial"/>
      <w:bCs/>
      <w:sz w:val="20"/>
      <w:szCs w:val="16"/>
      <w:lang w:val="en-US"/>
    </w:rPr>
  </w:style>
  <w:style w:type="paragraph" w:customStyle="1" w:styleId="References">
    <w:name w:val="References"/>
    <w:basedOn w:val="htmlparentstyle"/>
    <w:link w:val="References0"/>
    <w:qFormat/>
    <w:rsid w:val="00A0672F"/>
    <w:pPr>
      <w:spacing w:line="240" w:lineRule="auto"/>
    </w:pPr>
    <w:rPr>
      <w:rFonts w:cs="Arial"/>
    </w:rPr>
  </w:style>
  <w:style w:type="character" w:customStyle="1" w:styleId="Illustration0">
    <w:name w:val="Illustration Знак"/>
    <w:basedOn w:val="a0"/>
    <w:link w:val="Illustration"/>
    <w:rsid w:val="005827E1"/>
    <w:rPr>
      <w:rFonts w:ascii="Arial" w:hAnsi="Arial" w:cs="Arial"/>
      <w:noProof/>
      <w:szCs w:val="18"/>
      <w:lang w:eastAsia="ru-RU"/>
    </w:rPr>
  </w:style>
  <w:style w:type="character" w:customStyle="1" w:styleId="References0">
    <w:name w:val="References Знак"/>
    <w:basedOn w:val="a0"/>
    <w:link w:val="References"/>
    <w:rsid w:val="00AE39E3"/>
    <w:rPr>
      <w:rFonts w:ascii="Arial" w:hAnsi="Arial" w:cs="Arial"/>
    </w:rPr>
  </w:style>
  <w:style w:type="table" w:styleId="ac">
    <w:name w:val="Table Grid"/>
    <w:basedOn w:val="a1"/>
    <w:uiPriority w:val="5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10">
    <w:name w:val="Заголовок 1 Знак"/>
    <w:basedOn w:val="a0"/>
    <w:link w:val="1"/>
    <w:uiPriority w:val="9"/>
    <w:semiHidden/>
    <w:rsid w:val="00AE39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rticleTitle0">
    <w:name w:val="ArticleTitle Знак"/>
    <w:basedOn w:val="a0"/>
    <w:link w:val="ArticleTitle"/>
    <w:rsid w:val="005827E1"/>
    <w:rPr>
      <w:rFonts w:ascii="Times New Roman" w:hAnsi="Times New Roman" w:cs="Times New Roman"/>
      <w:b/>
      <w:i/>
      <w:color w:val="0000FF"/>
      <w:sz w:val="36"/>
      <w:szCs w:val="36"/>
      <w:lang w:val="en-US"/>
    </w:rPr>
  </w:style>
  <w:style w:type="table" w:customStyle="1" w:styleId="12">
    <w:name w:val="Сетка таблицы1"/>
    <w:basedOn w:val="a1"/>
    <w:next w:val="a1"/>
    <w:uiPriority w:val="59"/>
    <w:rsid w:val="002C295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 Indent"/>
    <w:basedOn w:val="a"/>
    <w:link w:val="ae"/>
    <w:semiHidden/>
    <w:rsid w:val="00165A36"/>
    <w:pPr>
      <w:spacing w:after="0" w:line="240" w:lineRule="auto"/>
      <w:ind w:left="5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semiHidden/>
    <w:rsid w:val="00165A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sFig">
    <w:name w:val="AbsFig"/>
    <w:basedOn w:val="htmlparentstyle"/>
    <w:link w:val="AbsFig0"/>
    <w:qFormat/>
    <w:rsid w:val="001704B0"/>
    <w:pPr>
      <w:spacing w:before="200" w:after="200"/>
      <w:ind w:left="147"/>
      <w:jc w:val="center"/>
    </w:pPr>
    <w:rPr>
      <w:rFonts w:cs="Arial"/>
      <w:noProof/>
      <w:spacing w:val="-2"/>
      <w:szCs w:val="20"/>
      <w:lang w:eastAsia="ru-RU"/>
    </w:rPr>
  </w:style>
  <w:style w:type="paragraph" w:customStyle="1" w:styleId="AbsText">
    <w:name w:val="AbsText"/>
    <w:basedOn w:val="htmlparentstyle"/>
    <w:link w:val="AbsText0"/>
    <w:qFormat/>
    <w:rsid w:val="001704B0"/>
    <w:pPr>
      <w:ind w:left="147"/>
    </w:pPr>
    <w:rPr>
      <w:rFonts w:cs="Arial"/>
      <w:szCs w:val="18"/>
      <w:lang w:val="en-US"/>
    </w:rPr>
  </w:style>
  <w:style w:type="character" w:customStyle="1" w:styleId="AbsFig0">
    <w:name w:val="AbsFig Знак"/>
    <w:basedOn w:val="a0"/>
    <w:link w:val="AbsFig"/>
    <w:rsid w:val="001704B0"/>
    <w:rPr>
      <w:rFonts w:ascii="Arial" w:hAnsi="Arial" w:cs="Arial"/>
      <w:noProof/>
      <w:spacing w:val="-2"/>
      <w:szCs w:val="20"/>
      <w:lang w:eastAsia="ru-RU"/>
    </w:rPr>
  </w:style>
  <w:style w:type="paragraph" w:customStyle="1" w:styleId="Keywords">
    <w:name w:val="Keywords"/>
    <w:basedOn w:val="htmlparentstyle"/>
    <w:link w:val="Keywords0"/>
    <w:qFormat/>
    <w:rsid w:val="00EF6BD4"/>
    <w:pPr>
      <w:spacing w:before="120"/>
      <w:ind w:left="147"/>
    </w:pPr>
    <w:rPr>
      <w:rFonts w:cs="Arial"/>
      <w:lang w:val="en-US"/>
    </w:rPr>
  </w:style>
  <w:style w:type="character" w:customStyle="1" w:styleId="AbsText0">
    <w:name w:val="AbsText Знак"/>
    <w:basedOn w:val="a0"/>
    <w:link w:val="AbsText"/>
    <w:rsid w:val="001704B0"/>
    <w:rPr>
      <w:rFonts w:ascii="Arial" w:hAnsi="Arial" w:cs="Arial"/>
      <w:szCs w:val="18"/>
      <w:lang w:val="en-US"/>
    </w:rPr>
  </w:style>
  <w:style w:type="character" w:customStyle="1" w:styleId="Keywords0">
    <w:name w:val="Keywords Знак"/>
    <w:basedOn w:val="a0"/>
    <w:link w:val="Keywords"/>
    <w:rsid w:val="001704B0"/>
    <w:rPr>
      <w:rFonts w:ascii="Arial" w:hAnsi="Arial" w:cs="Arial"/>
      <w:lang w:val="en-US"/>
    </w:rPr>
  </w:style>
  <w:style w:type="character" w:customStyle="1" w:styleId="Authors0">
    <w:name w:val="Authors Знак"/>
    <w:basedOn w:val="a0"/>
    <w:link w:val="Authors"/>
    <w:rsid w:val="005827E1"/>
    <w:rPr>
      <w:rFonts w:ascii="Times New Roman" w:hAnsi="Times New Roman" w:cs="Times New Roman"/>
      <w:b/>
      <w:noProof/>
      <w:color w:val="000066"/>
      <w:sz w:val="26"/>
      <w:szCs w:val="26"/>
      <w:lang w:val="en-US"/>
    </w:rPr>
  </w:style>
  <w:style w:type="character" w:styleId="af">
    <w:name w:val="FollowedHyperlink"/>
    <w:basedOn w:val="a0"/>
    <w:uiPriority w:val="99"/>
    <w:semiHidden/>
    <w:unhideWhenUsed/>
    <w:rsid w:val="00FD0D30"/>
    <w:rPr>
      <w:color w:val="800080" w:themeColor="followedHyperlink"/>
      <w:u w:val="single"/>
    </w:rPr>
  </w:style>
  <w:style w:type="table" w:customStyle="1" w:styleId="21">
    <w:name w:val="Таблица простая 21"/>
    <w:basedOn w:val="a1"/>
    <w:uiPriority w:val="42"/>
    <w:rsid w:val="007659A9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Description">
    <w:name w:val="TableDescription"/>
    <w:basedOn w:val="htmlparentstyle"/>
    <w:link w:val="TableDescription0"/>
    <w:qFormat/>
    <w:rsid w:val="005827E1"/>
    <w:pPr>
      <w:spacing w:before="200" w:after="120"/>
      <w:jc w:val="center"/>
    </w:pPr>
    <w:rPr>
      <w:sz w:val="20"/>
    </w:rPr>
  </w:style>
  <w:style w:type="character" w:customStyle="1" w:styleId="TableDescription0">
    <w:name w:val="TableDescription Знак"/>
    <w:basedOn w:val="IllustrationDescription0"/>
    <w:link w:val="TableDescription"/>
    <w:rsid w:val="005827E1"/>
  </w:style>
  <w:style w:type="table" w:customStyle="1" w:styleId="ArticleDefaultTable">
    <w:name w:val="ArticleDefaultTable"/>
    <w:basedOn w:val="a1"/>
    <w:uiPriority w:val="99"/>
    <w:qFormat/>
    <w:rsid w:val="00025448"/>
    <w:pPr>
      <w:spacing w:after="0" w:line="240" w:lineRule="auto"/>
      <w:jc w:val="center"/>
    </w:pPr>
    <w:rPr>
      <w:rFonts w:ascii="Arial" w:hAnsi="Arial"/>
      <w:sz w:val="20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rticleTable">
    <w:name w:val="ArticleTable"/>
    <w:basedOn w:val="htmlparentstyle"/>
    <w:link w:val="ArticleTable0"/>
    <w:qFormat/>
    <w:rsid w:val="00D90692"/>
    <w:pPr>
      <w:autoSpaceDE w:val="0"/>
      <w:autoSpaceDN w:val="0"/>
      <w:adjustRightInd w:val="0"/>
      <w:spacing w:line="240" w:lineRule="auto"/>
      <w:jc w:val="center"/>
    </w:pPr>
    <w:rPr>
      <w:rFonts w:cs="Arial"/>
      <w:sz w:val="20"/>
      <w:szCs w:val="16"/>
      <w:lang w:val="en-US"/>
    </w:rPr>
  </w:style>
  <w:style w:type="character" w:customStyle="1" w:styleId="ArticleTable0">
    <w:name w:val="ArticleTable Знак"/>
    <w:basedOn w:val="a0"/>
    <w:link w:val="ArticleTable"/>
    <w:rsid w:val="00D90692"/>
    <w:rPr>
      <w:rFonts w:ascii="Arial" w:hAnsi="Arial" w:cs="Arial"/>
      <w:color w:val="263238"/>
      <w:sz w:val="20"/>
      <w:szCs w:val="16"/>
      <w:lang w:val="en-US"/>
    </w:rPr>
  </w:style>
  <w:style w:type="paragraph" w:customStyle="1" w:styleId="htmlparentstyle">
    <w:name w:val="html_parent_style"/>
    <w:basedOn w:val="a"/>
    <w:rsid w:val="00F24736"/>
    <w:pPr>
      <w:spacing w:after="0"/>
      <w:jc w:val="both"/>
    </w:pPr>
    <w:rPr>
      <w:rFonts w:ascii="Arial" w:hAnsi="Arial"/>
      <w:color w:val="263238"/>
    </w:rPr>
  </w:style>
  <w:style w:type="paragraph" w:customStyle="1" w:styleId="ArticleTableLegend">
    <w:name w:val="ArticleTableLegend"/>
    <w:basedOn w:val="htmlparentstyle"/>
    <w:next w:val="htmlparentstyle"/>
    <w:link w:val="ArticleTableLegend0"/>
    <w:qFormat/>
    <w:rsid w:val="005827E1"/>
    <w:pPr>
      <w:spacing w:before="60"/>
    </w:pPr>
    <w:rPr>
      <w:rFonts w:cs="Times New Roman"/>
      <w:bCs/>
      <w:iCs/>
      <w:sz w:val="20"/>
      <w:szCs w:val="16"/>
      <w:lang w:val="en-US"/>
    </w:rPr>
  </w:style>
  <w:style w:type="character" w:customStyle="1" w:styleId="ArticleTableLegend0">
    <w:name w:val="ArticleTableLegend Знак"/>
    <w:basedOn w:val="a0"/>
    <w:link w:val="ArticleTableLegend"/>
    <w:rsid w:val="00D90692"/>
    <w:rPr>
      <w:rFonts w:ascii="Arial" w:hAnsi="Arial" w:cs="Times New Roman"/>
      <w:bCs/>
      <w:iCs/>
      <w:color w:val="263238"/>
      <w:sz w:val="20"/>
      <w:szCs w:val="16"/>
      <w:lang w:val="en-US"/>
    </w:rPr>
  </w:style>
  <w:style w:type="paragraph" w:styleId="af0">
    <w:name w:val="header"/>
    <w:basedOn w:val="a"/>
    <w:link w:val="af1"/>
    <w:uiPriority w:val="99"/>
    <w:unhideWhenUsed/>
    <w:rsid w:val="002B5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B5C79"/>
  </w:style>
  <w:style w:type="paragraph" w:customStyle="1" w:styleId="Affiliations">
    <w:name w:val="Affiliations"/>
    <w:basedOn w:val="a"/>
    <w:link w:val="Affiliations0"/>
    <w:qFormat/>
    <w:rsid w:val="002B5C79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ffiliations0">
    <w:name w:val="Affiliations Знак"/>
    <w:basedOn w:val="a0"/>
    <w:link w:val="Affiliations"/>
    <w:rsid w:val="002B5C79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Header1">
    <w:name w:val="Header 1"/>
    <w:basedOn w:val="a"/>
    <w:link w:val="Header10"/>
    <w:qFormat/>
    <w:rsid w:val="002B5C79"/>
    <w:pPr>
      <w:spacing w:before="200"/>
    </w:pPr>
    <w:rPr>
      <w:rFonts w:ascii="Arial" w:hAnsi="Arial" w:cs="Arial"/>
      <w:b/>
      <w:lang w:val="en-US"/>
    </w:rPr>
  </w:style>
  <w:style w:type="paragraph" w:customStyle="1" w:styleId="MainText">
    <w:name w:val="Main Text"/>
    <w:basedOn w:val="a"/>
    <w:link w:val="MainText0"/>
    <w:qFormat/>
    <w:rsid w:val="002B5C79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2B5C79"/>
    <w:rPr>
      <w:rFonts w:ascii="Arial" w:hAnsi="Arial" w:cs="Arial"/>
      <w:b/>
      <w:lang w:val="en-US"/>
    </w:rPr>
  </w:style>
  <w:style w:type="character" w:customStyle="1" w:styleId="MainText0">
    <w:name w:val="Main Text Знак"/>
    <w:basedOn w:val="a0"/>
    <w:link w:val="MainText"/>
    <w:rsid w:val="002B5C79"/>
    <w:rPr>
      <w:rFonts w:ascii="Times New Roman" w:hAnsi="Times New Roman" w:cs="Times New Roman"/>
      <w:sz w:val="18"/>
      <w:szCs w:val="18"/>
      <w:lang w:val="en-US"/>
    </w:rPr>
  </w:style>
  <w:style w:type="paragraph" w:styleId="af2">
    <w:name w:val="No Spacing"/>
    <w:uiPriority w:val="1"/>
    <w:qFormat/>
    <w:rsid w:val="002B5C79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i.org/10.32931/io2507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71BA3-C1CF-444C-9289-31E820589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VIP_Kafa</cp:lastModifiedBy>
  <cp:revision>31</cp:revision>
  <dcterms:created xsi:type="dcterms:W3CDTF">2025-07-01T17:14:00Z</dcterms:created>
  <dcterms:modified xsi:type="dcterms:W3CDTF">2025-08-03T10:48:00Z</dcterms:modified>
</cp:coreProperties>
</file>