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8"/>
        <w:gridCol w:w="2522"/>
        <w:gridCol w:w="4663"/>
      </w:tblGrid>
      <w:tr w:rsidR="008622A1" w:rsidRPr="005D7DFD" w14:paraId="7DDCB7AD" w14:textId="77777777" w:rsidTr="00780AA3">
        <w:trPr>
          <w:trHeight w:val="516"/>
        </w:trPr>
        <w:tc>
          <w:tcPr>
            <w:tcW w:w="1242" w:type="dxa"/>
            <w:vAlign w:val="center"/>
          </w:tcPr>
          <w:p w14:paraId="15927019" w14:textId="77777777" w:rsidR="008622A1" w:rsidRPr="00822A0B" w:rsidRDefault="001B0919" w:rsidP="005846F1">
            <w:pPr>
              <w:pStyle w:val="MainText"/>
              <w:spacing w:after="60"/>
              <w:ind w:firstLine="6"/>
              <w:jc w:val="left"/>
            </w:pPr>
            <w:r w:rsidRPr="00822A0B">
              <w:rPr>
                <w:noProof/>
                <w:lang w:val="ru-RU" w:eastAsia="ru-RU"/>
              </w:rPr>
              <w:drawing>
                <wp:inline distT="0" distB="0" distL="0" distR="0" wp14:anchorId="34856029" wp14:editId="7BC6D54A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DE323AF" w14:textId="77777777" w:rsidR="008622A1" w:rsidRPr="00822A0B" w:rsidRDefault="00780AA3" w:rsidP="00780AA3">
            <w:pPr>
              <w:pStyle w:val="11"/>
            </w:pPr>
            <w:r w:rsidRPr="00822A0B">
              <w:rPr>
                <w:bCs/>
                <w:color w:val="000000"/>
              </w:rPr>
              <w:t>SYNTHESIS OF POLYSILOXANE</w:t>
            </w:r>
            <w:proofErr w:type="gramStart"/>
            <w:r w:rsidRPr="00822A0B">
              <w:rPr>
                <w:bCs/>
                <w:color w:val="000000"/>
              </w:rPr>
              <w:t>–(</w:t>
            </w:r>
            <w:proofErr w:type="gramEnd"/>
            <w:r w:rsidRPr="00822A0B">
              <w:rPr>
                <w:bCs/>
                <w:color w:val="000000"/>
              </w:rPr>
              <w:t>BUTYLENE OXIDE)–URETHANE–UREAS IN THE PRESENCE OF</w:t>
            </w:r>
            <w:r w:rsidRPr="00822A0B">
              <w:rPr>
                <w:bCs/>
                <w:color w:val="000000"/>
              </w:rPr>
              <w:br/>
              <w:t>BISMUTH(III) NEODECANOATE</w:t>
            </w:r>
          </w:p>
        </w:tc>
      </w:tr>
      <w:tr w:rsidR="00D71473" w:rsidRPr="005D7DFD" w14:paraId="3D2002C7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177F7684" w14:textId="77777777" w:rsidR="000E1B06" w:rsidRPr="00822A0B" w:rsidRDefault="00D71473" w:rsidP="007516EA">
            <w:pPr>
              <w:pStyle w:val="MainText"/>
              <w:ind w:firstLine="0"/>
              <w:jc w:val="left"/>
            </w:pPr>
            <w:r w:rsidRPr="00822A0B">
              <w:t xml:space="preserve">Cite this: </w:t>
            </w:r>
            <w:r w:rsidR="00DF4999" w:rsidRPr="00822A0B">
              <w:rPr>
                <w:i/>
              </w:rPr>
              <w:t>INEOS</w:t>
            </w:r>
            <w:r w:rsidR="00DF4999" w:rsidRPr="00822A0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822A0B">
              <w:t>,</w:t>
            </w:r>
          </w:p>
          <w:p w14:paraId="0FF25370" w14:textId="2812EADC" w:rsidR="00D71473" w:rsidRPr="00822A0B" w:rsidRDefault="00DF4999" w:rsidP="007516EA">
            <w:pPr>
              <w:pStyle w:val="MainText"/>
              <w:ind w:firstLine="0"/>
              <w:jc w:val="left"/>
            </w:pPr>
            <w:r w:rsidRPr="00822A0B">
              <w:rPr>
                <w:b/>
              </w:rPr>
              <w:t>20</w:t>
            </w:r>
            <w:r w:rsidR="00780AA3" w:rsidRPr="00822A0B">
              <w:rPr>
                <w:b/>
              </w:rPr>
              <w:t>25</w:t>
            </w:r>
            <w:r w:rsidRPr="00822A0B">
              <w:t xml:space="preserve">, </w:t>
            </w:r>
            <w:r w:rsidR="00780AA3" w:rsidRPr="00822A0B">
              <w:rPr>
                <w:i/>
                <w:iCs/>
              </w:rPr>
              <w:t>8</w:t>
            </w:r>
            <w:r w:rsidRPr="00822A0B">
              <w:rPr>
                <w:i/>
                <w:iCs/>
              </w:rPr>
              <w:t xml:space="preserve"> (</w:t>
            </w:r>
            <w:r w:rsidR="00780AA3" w:rsidRPr="00822A0B">
              <w:rPr>
                <w:i/>
                <w:iCs/>
              </w:rPr>
              <w:t>1–3</w:t>
            </w:r>
            <w:r w:rsidRPr="00822A0B">
              <w:rPr>
                <w:i/>
                <w:iCs/>
              </w:rPr>
              <w:t>)</w:t>
            </w:r>
            <w:r w:rsidRPr="00822A0B">
              <w:t xml:space="preserve">, </w:t>
            </w:r>
            <w:r w:rsidR="004E5991" w:rsidRPr="00822A0B">
              <w:t>106</w:t>
            </w:r>
            <w:r w:rsidRPr="00822A0B">
              <w:t>–</w:t>
            </w:r>
            <w:r w:rsidR="004E5991" w:rsidRPr="00822A0B">
              <w:t>107</w:t>
            </w:r>
          </w:p>
          <w:p w14:paraId="5E77ACFA" w14:textId="111ED77B" w:rsidR="007516EA" w:rsidRPr="00822A0B" w:rsidRDefault="007516EA" w:rsidP="007516EA">
            <w:pPr>
              <w:pStyle w:val="MainText"/>
              <w:ind w:firstLine="0"/>
              <w:jc w:val="left"/>
            </w:pPr>
            <w:r w:rsidRPr="00822A0B">
              <w:t>DOI: 10.32931/io</w:t>
            </w:r>
            <w:r w:rsidR="004E5991" w:rsidRPr="00822A0B">
              <w:t>2539a</w:t>
            </w:r>
          </w:p>
          <w:p w14:paraId="3033E2FD" w14:textId="77777777" w:rsidR="00BE4FEF" w:rsidRPr="00822A0B" w:rsidRDefault="00BE4FEF" w:rsidP="007516EA">
            <w:pPr>
              <w:pStyle w:val="MainText"/>
              <w:ind w:firstLine="0"/>
              <w:jc w:val="left"/>
            </w:pPr>
          </w:p>
          <w:p w14:paraId="5197DA87" w14:textId="4C45736B" w:rsidR="00D71473" w:rsidRPr="00822A0B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822A0B">
              <w:rPr>
                <w:i/>
                <w:szCs w:val="14"/>
              </w:rPr>
              <w:t xml:space="preserve">Received </w:t>
            </w:r>
            <w:r w:rsidR="00275E79" w:rsidRPr="00822A0B">
              <w:rPr>
                <w:i/>
                <w:szCs w:val="14"/>
              </w:rPr>
              <w:t>10</w:t>
            </w:r>
            <w:r w:rsidRPr="00822A0B">
              <w:rPr>
                <w:i/>
                <w:szCs w:val="14"/>
              </w:rPr>
              <w:t xml:space="preserve"> </w:t>
            </w:r>
            <w:r w:rsidR="00275E79" w:rsidRPr="00822A0B">
              <w:rPr>
                <w:i/>
                <w:szCs w:val="14"/>
              </w:rPr>
              <w:t xml:space="preserve">November </w:t>
            </w:r>
            <w:r w:rsidRPr="00822A0B">
              <w:rPr>
                <w:i/>
                <w:szCs w:val="14"/>
              </w:rPr>
              <w:t>2</w:t>
            </w:r>
            <w:r w:rsidR="008E062B" w:rsidRPr="00822A0B">
              <w:rPr>
                <w:i/>
                <w:szCs w:val="14"/>
              </w:rPr>
              <w:t>0</w:t>
            </w:r>
            <w:r w:rsidR="00275E79" w:rsidRPr="00822A0B">
              <w:rPr>
                <w:i/>
                <w:szCs w:val="14"/>
              </w:rPr>
              <w:t>24</w:t>
            </w:r>
            <w:r w:rsidRPr="00822A0B">
              <w:rPr>
                <w:i/>
                <w:szCs w:val="14"/>
              </w:rPr>
              <w:t>,</w:t>
            </w:r>
          </w:p>
          <w:p w14:paraId="49A745FC" w14:textId="77777777" w:rsidR="00D71473" w:rsidRPr="00822A0B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822A0B">
              <w:rPr>
                <w:i/>
                <w:szCs w:val="14"/>
              </w:rPr>
              <w:t xml:space="preserve">Accepted </w:t>
            </w:r>
            <w:r w:rsidR="00780AA3" w:rsidRPr="00822A0B">
              <w:rPr>
                <w:i/>
                <w:szCs w:val="14"/>
              </w:rPr>
              <w:t xml:space="preserve">17 January </w:t>
            </w:r>
            <w:r w:rsidR="008E062B" w:rsidRPr="00822A0B">
              <w:rPr>
                <w:i/>
                <w:szCs w:val="14"/>
              </w:rPr>
              <w:t>20</w:t>
            </w:r>
            <w:r w:rsidR="00780AA3" w:rsidRPr="00822A0B">
              <w:rPr>
                <w:i/>
                <w:szCs w:val="14"/>
              </w:rPr>
              <w:t>25</w:t>
            </w:r>
          </w:p>
          <w:p w14:paraId="31349F54" w14:textId="77777777" w:rsidR="00820A77" w:rsidRPr="00822A0B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4AD117A1" w14:textId="77777777" w:rsidR="00D71473" w:rsidRPr="00822A0B" w:rsidRDefault="00440577" w:rsidP="007516EA">
            <w:pPr>
              <w:pStyle w:val="MainText"/>
              <w:ind w:firstLine="0"/>
            </w:pPr>
            <w:r w:rsidRPr="00822A0B">
              <w:rPr>
                <w:szCs w:val="14"/>
              </w:rPr>
              <w:t>http://</w:t>
            </w:r>
            <w:r w:rsidR="00D71473" w:rsidRPr="00822A0B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52846B95" w14:textId="60BE2AB6" w:rsidR="00D71473" w:rsidRPr="00822A0B" w:rsidRDefault="00780AA3" w:rsidP="007516EA">
            <w:pPr>
              <w:pStyle w:val="AuthorNames"/>
              <w:ind w:left="0"/>
              <w:contextualSpacing w:val="0"/>
            </w:pPr>
            <w:r w:rsidRPr="00822A0B">
              <w:rPr>
                <w:color w:val="000000"/>
              </w:rPr>
              <w:t>L. V. Filimonova,*</w:t>
            </w:r>
            <w:r w:rsidR="00275E79" w:rsidRPr="00822A0B">
              <w:rPr>
                <w:i/>
                <w:iCs/>
                <w:color w:val="000000"/>
                <w:vertAlign w:val="superscript"/>
              </w:rPr>
              <w:t>a</w:t>
            </w:r>
            <w:r w:rsidRPr="00822A0B">
              <w:rPr>
                <w:color w:val="000000"/>
              </w:rPr>
              <w:t xml:space="preserve"> M. I. Buzin,</w:t>
            </w:r>
            <w:r w:rsidR="00275E79" w:rsidRPr="00822A0B">
              <w:rPr>
                <w:i/>
                <w:iCs/>
                <w:color w:val="000000"/>
                <w:vertAlign w:val="superscript"/>
              </w:rPr>
              <w:t>a</w:t>
            </w:r>
            <w:r w:rsidRPr="00822A0B">
              <w:rPr>
                <w:color w:val="000000"/>
              </w:rPr>
              <w:t xml:space="preserve"> G. G. Nikiforova,</w:t>
            </w:r>
            <w:r w:rsidR="00506ADB" w:rsidRPr="00822A0B">
              <w:rPr>
                <w:i/>
                <w:iCs/>
                <w:color w:val="000000"/>
                <w:vertAlign w:val="superscript"/>
              </w:rPr>
              <w:t>a</w:t>
            </w:r>
            <w:r w:rsidRPr="00822A0B">
              <w:rPr>
                <w:color w:val="000000"/>
              </w:rPr>
              <w:t xml:space="preserve"> I. O. Volkov,</w:t>
            </w:r>
            <w:r w:rsidR="00506ADB" w:rsidRPr="00822A0B">
              <w:rPr>
                <w:i/>
                <w:iCs/>
                <w:color w:val="000000"/>
                <w:vertAlign w:val="superscript"/>
              </w:rPr>
              <w:t>a</w:t>
            </w:r>
            <w:r w:rsidRPr="00822A0B">
              <w:rPr>
                <w:color w:val="000000"/>
              </w:rPr>
              <w:br/>
              <w:t>E. S. Afanasyev,</w:t>
            </w:r>
            <w:r w:rsidR="00506ADB" w:rsidRPr="00822A0B">
              <w:rPr>
                <w:i/>
                <w:iCs/>
                <w:color w:val="000000"/>
                <w:vertAlign w:val="superscript"/>
              </w:rPr>
              <w:t>a</w:t>
            </w:r>
            <w:r w:rsidRPr="00822A0B">
              <w:rPr>
                <w:color w:val="000000"/>
              </w:rPr>
              <w:t xml:space="preserve"> K. L. Boldyrev,</w:t>
            </w:r>
            <w:r w:rsidR="00506ADB" w:rsidRPr="00822A0B">
              <w:rPr>
                <w:i/>
                <w:iCs/>
                <w:color w:val="000000"/>
                <w:vertAlign w:val="superscript"/>
              </w:rPr>
              <w:t>a</w:t>
            </w:r>
            <w:r w:rsidRPr="00822A0B">
              <w:rPr>
                <w:color w:val="000000"/>
              </w:rPr>
              <w:t xml:space="preserve"> D. A. Khanin,</w:t>
            </w:r>
            <w:r w:rsidR="00506ADB" w:rsidRPr="00822A0B">
              <w:rPr>
                <w:i/>
                <w:iCs/>
                <w:color w:val="000000"/>
                <w:vertAlign w:val="superscript"/>
              </w:rPr>
              <w:t>a</w:t>
            </w:r>
            <w:r w:rsidRPr="00822A0B">
              <w:rPr>
                <w:color w:val="000000"/>
              </w:rPr>
              <w:t xml:space="preserve"> Z. S. Klemenkova,</w:t>
            </w:r>
            <w:r w:rsidR="00506ADB" w:rsidRPr="00822A0B">
              <w:rPr>
                <w:i/>
                <w:iCs/>
                <w:color w:val="000000"/>
                <w:vertAlign w:val="superscript"/>
              </w:rPr>
              <w:t>a</w:t>
            </w:r>
            <w:r w:rsidRPr="00822A0B">
              <w:rPr>
                <w:color w:val="000000"/>
              </w:rPr>
              <w:br/>
              <w:t>R. U. Takazova,</w:t>
            </w:r>
            <w:r w:rsidR="00506ADB" w:rsidRPr="00822A0B">
              <w:rPr>
                <w:i/>
                <w:iCs/>
                <w:color w:val="000000"/>
                <w:vertAlign w:val="superscript"/>
              </w:rPr>
              <w:t>a</w:t>
            </w:r>
            <w:r w:rsidRPr="00822A0B">
              <w:rPr>
                <w:color w:val="000000"/>
              </w:rPr>
              <w:t xml:space="preserve"> E. S. Trankina,</w:t>
            </w:r>
            <w:r w:rsidR="00506ADB" w:rsidRPr="00822A0B">
              <w:rPr>
                <w:i/>
                <w:iCs/>
                <w:color w:val="000000"/>
                <w:vertAlign w:val="superscript"/>
              </w:rPr>
              <w:t>a</w:t>
            </w:r>
            <w:r w:rsidRPr="00822A0B">
              <w:rPr>
                <w:color w:val="000000"/>
              </w:rPr>
              <w:t xml:space="preserve"> V. S. Papkov,</w:t>
            </w:r>
            <w:r w:rsidR="00506ADB" w:rsidRPr="00822A0B">
              <w:rPr>
                <w:i/>
                <w:iCs/>
                <w:color w:val="000000"/>
                <w:vertAlign w:val="superscript"/>
              </w:rPr>
              <w:t>a</w:t>
            </w:r>
            <w:r w:rsidRPr="00822A0B">
              <w:rPr>
                <w:color w:val="000000"/>
              </w:rPr>
              <w:t xml:space="preserve"> and A. M. Muzafarov</w:t>
            </w:r>
            <w:r w:rsidR="00275E79" w:rsidRPr="00822A0B">
              <w:rPr>
                <w:i/>
                <w:iCs/>
                <w:color w:val="000000"/>
                <w:vertAlign w:val="superscript"/>
              </w:rPr>
              <w:t>a,b</w:t>
            </w:r>
          </w:p>
        </w:tc>
      </w:tr>
      <w:tr w:rsidR="00D71473" w:rsidRPr="00822A0B" w14:paraId="21CCA0DF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1017695B" w14:textId="77777777" w:rsidR="00D71473" w:rsidRPr="00822A0B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39771D36" w14:textId="7389CBC8" w:rsidR="00D71473" w:rsidRPr="00822A0B" w:rsidRDefault="00275E79" w:rsidP="00780AA3">
            <w:pPr>
              <w:pStyle w:val="Affiliations"/>
              <w:widowControl w:val="0"/>
              <w:spacing w:before="120"/>
              <w:ind w:left="0"/>
              <w:rPr>
                <w:rFonts w:cs="Times New Roman"/>
              </w:rPr>
            </w:pPr>
            <w:r w:rsidRPr="00822A0B">
              <w:rPr>
                <w:rFonts w:cs="Times New Roman"/>
                <w:vertAlign w:val="superscript"/>
              </w:rPr>
              <w:t>a</w:t>
            </w:r>
            <w:r w:rsidRPr="00822A0B">
              <w:rPr>
                <w:rFonts w:cs="Times New Roman"/>
              </w:rPr>
              <w:t xml:space="preserve"> </w:t>
            </w:r>
            <w:r w:rsidR="00780AA3" w:rsidRPr="00822A0B">
              <w:rPr>
                <w:rFonts w:cs="Times New Roman"/>
              </w:rPr>
              <w:t>Nesmeyanov Institute of Organoelement Compounds, Russian Academy of Sciences, ul. Vavilova 28, str. 1, Moscow, 119334 Russia</w:t>
            </w:r>
          </w:p>
          <w:p w14:paraId="07EFD45E" w14:textId="2C11B98E" w:rsidR="00275E79" w:rsidRPr="00822A0B" w:rsidRDefault="00275E79" w:rsidP="00275E79">
            <w:pPr>
              <w:pStyle w:val="Affiliations"/>
              <w:widowControl w:val="0"/>
              <w:ind w:left="0"/>
              <w:rPr>
                <w:iCs/>
                <w:lang w:val="en-US"/>
              </w:rPr>
            </w:pPr>
            <w:r w:rsidRPr="00822A0B">
              <w:rPr>
                <w:iCs/>
                <w:vertAlign w:val="superscript"/>
                <w:lang w:val="en-US"/>
              </w:rPr>
              <w:t>b</w:t>
            </w:r>
            <w:r w:rsidRPr="00822A0B">
              <w:rPr>
                <w:iCs/>
                <w:lang w:val="en-US"/>
              </w:rPr>
              <w:t xml:space="preserve"> Enikolopov Institute of Synthetic Polymeric Materials, Russian Academy of Sciences,</w:t>
            </w:r>
          </w:p>
          <w:p w14:paraId="6D319276" w14:textId="35D5E5A0" w:rsidR="00275E79" w:rsidRPr="00822A0B" w:rsidRDefault="00275E79" w:rsidP="00275E79">
            <w:pPr>
              <w:pStyle w:val="Affiliations"/>
              <w:widowControl w:val="0"/>
              <w:ind w:left="0"/>
            </w:pPr>
            <w:r w:rsidRPr="00822A0B">
              <w:rPr>
                <w:lang w:val="en-US"/>
              </w:rPr>
              <w:t xml:space="preserve">ul. </w:t>
            </w:r>
            <w:proofErr w:type="spellStart"/>
            <w:r w:rsidRPr="00822A0B">
              <w:rPr>
                <w:lang w:val="en-US"/>
              </w:rPr>
              <w:t>Profsoyuznaya</w:t>
            </w:r>
            <w:proofErr w:type="spellEnd"/>
            <w:r w:rsidRPr="00822A0B">
              <w:rPr>
                <w:lang w:val="en-US"/>
              </w:rPr>
              <w:t xml:space="preserve"> 70, Moscow, 117393 Russia</w:t>
            </w:r>
          </w:p>
        </w:tc>
      </w:tr>
      <w:tr w:rsidR="00CD6FAC" w:rsidRPr="00822A0B" w14:paraId="153DE836" w14:textId="77777777" w:rsidTr="00DF4999">
        <w:tc>
          <w:tcPr>
            <w:tcW w:w="4962" w:type="dxa"/>
            <w:gridSpan w:val="3"/>
          </w:tcPr>
          <w:p w14:paraId="424442FC" w14:textId="77777777" w:rsidR="00D71473" w:rsidRPr="00822A0B" w:rsidRDefault="00D71473" w:rsidP="009667F3">
            <w:pPr>
              <w:pStyle w:val="Header1"/>
            </w:pPr>
            <w:r w:rsidRPr="00822A0B">
              <w:t>Abstract</w:t>
            </w:r>
          </w:p>
          <w:p w14:paraId="4FCA8B52" w14:textId="77777777" w:rsidR="00CD6FAC" w:rsidRPr="00822A0B" w:rsidRDefault="00780AA3" w:rsidP="00AF30C1">
            <w:pPr>
              <w:pStyle w:val="MainText"/>
              <w:ind w:firstLine="284"/>
            </w:pPr>
            <w:r w:rsidRPr="00822A0B">
              <w:t>Polysiloxane</w:t>
            </w:r>
            <w:proofErr w:type="gramStart"/>
            <w:r w:rsidR="00AF30C1" w:rsidRPr="00822A0B">
              <w:t>–</w:t>
            </w:r>
            <w:r w:rsidRPr="00822A0B">
              <w:t>(</w:t>
            </w:r>
            <w:proofErr w:type="gramEnd"/>
            <w:r w:rsidRPr="00822A0B">
              <w:t>butylene oxide)</w:t>
            </w:r>
            <w:r w:rsidR="00AF30C1" w:rsidRPr="00822A0B">
              <w:t>–</w:t>
            </w:r>
            <w:r w:rsidRPr="00822A0B">
              <w:t>urethane</w:t>
            </w:r>
            <w:r w:rsidR="00AF30C1" w:rsidRPr="00822A0B">
              <w:t>–</w:t>
            </w:r>
            <w:proofErr w:type="spellStart"/>
            <w:r w:rsidRPr="00822A0B">
              <w:t>urea</w:t>
            </w:r>
            <w:r w:rsidR="00AF30C1" w:rsidRPr="00822A0B">
              <w:t>s</w:t>
            </w:r>
            <w:proofErr w:type="spellEnd"/>
            <w:r w:rsidRPr="00822A0B">
              <w:t xml:space="preserve"> w</w:t>
            </w:r>
            <w:r w:rsidR="00AF30C1" w:rsidRPr="00822A0B">
              <w:t>ere</w:t>
            </w:r>
            <w:r w:rsidRPr="00822A0B">
              <w:t xml:space="preserve"> synthes</w:t>
            </w:r>
            <w:r w:rsidR="00AF30C1" w:rsidRPr="00822A0B">
              <w:t xml:space="preserve">ized in the presence of </w:t>
            </w:r>
            <w:proofErr w:type="gramStart"/>
            <w:r w:rsidR="00AF30C1" w:rsidRPr="00822A0B">
              <w:t>bismuth</w:t>
            </w:r>
            <w:r w:rsidRPr="00822A0B">
              <w:t>(</w:t>
            </w:r>
            <w:proofErr w:type="gramEnd"/>
            <w:r w:rsidRPr="00822A0B">
              <w:t xml:space="preserve">III) </w:t>
            </w:r>
            <w:proofErr w:type="spellStart"/>
            <w:r w:rsidRPr="00822A0B">
              <w:t>neodecanoate</w:t>
            </w:r>
            <w:proofErr w:type="spellEnd"/>
            <w:r w:rsidRPr="00822A0B">
              <w:t>. The resulting polymers were studied by differential scanning calorimetry (DSC), thermomechanical analysis (TMA), optical and atomic force microscopy (AFM)</w:t>
            </w:r>
            <w:r w:rsidR="00AF30C1" w:rsidRPr="00822A0B">
              <w:t>; t</w:t>
            </w:r>
            <w:r w:rsidRPr="00822A0B">
              <w:t xml:space="preserve">heir deformation and strength characteristics were determined. It was found that the polymers </w:t>
            </w:r>
            <w:r w:rsidR="00AF30C1" w:rsidRPr="00822A0B">
              <w:t xml:space="preserve">obtained </w:t>
            </w:r>
            <w:r w:rsidRPr="00822A0B">
              <w:t>are characterized by two glass transition temperatures, indicating the formation of two phases</w:t>
            </w:r>
            <w:r w:rsidR="00F94740" w:rsidRPr="00822A0B">
              <w:t>.</w:t>
            </w:r>
          </w:p>
        </w:tc>
        <w:tc>
          <w:tcPr>
            <w:tcW w:w="4677" w:type="dxa"/>
            <w:vAlign w:val="center"/>
          </w:tcPr>
          <w:p w14:paraId="284FB776" w14:textId="77777777" w:rsidR="00CD6FAC" w:rsidRPr="00822A0B" w:rsidRDefault="005D7DFD" w:rsidP="005C7369">
            <w:pPr>
              <w:pStyle w:val="MainText"/>
              <w:ind w:firstLine="0"/>
              <w:jc w:val="center"/>
            </w:pPr>
            <w:r>
              <w:pict w14:anchorId="15F174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65pt;height:82.35pt">
                  <v:imagedata r:id="rId9" o:title="io39NC_abs_fig"/>
                </v:shape>
              </w:pict>
            </w:r>
          </w:p>
        </w:tc>
      </w:tr>
      <w:tr w:rsidR="0065245B" w:rsidRPr="005D7DFD" w14:paraId="025B491E" w14:textId="77777777" w:rsidTr="00DF4999">
        <w:tc>
          <w:tcPr>
            <w:tcW w:w="9639" w:type="dxa"/>
            <w:gridSpan w:val="4"/>
          </w:tcPr>
          <w:p w14:paraId="030217E4" w14:textId="77777777" w:rsidR="0065245B" w:rsidRPr="00822A0B" w:rsidRDefault="0065245B" w:rsidP="00930DA8">
            <w:pPr>
              <w:pStyle w:val="MainText"/>
              <w:spacing w:before="120" w:after="120"/>
              <w:ind w:firstLine="284"/>
            </w:pPr>
            <w:r w:rsidRPr="00822A0B">
              <w:rPr>
                <w:b/>
              </w:rPr>
              <w:t>Key words:</w:t>
            </w:r>
            <w:r w:rsidRPr="00822A0B">
              <w:t xml:space="preserve"> </w:t>
            </w:r>
            <w:r w:rsidR="00780AA3" w:rsidRPr="00822A0B">
              <w:t>polysiloxanes, polyurethanes, microphase separation, catalyst, atomic force microscopy</w:t>
            </w:r>
            <w:r w:rsidRPr="00822A0B">
              <w:t>.</w:t>
            </w:r>
          </w:p>
        </w:tc>
      </w:tr>
    </w:tbl>
    <w:p w14:paraId="0310BBBA" w14:textId="77777777" w:rsidR="00166162" w:rsidRPr="00822A0B" w:rsidRDefault="00166162" w:rsidP="00427E5A">
      <w:pPr>
        <w:rPr>
          <w:sz w:val="20"/>
          <w:szCs w:val="20"/>
          <w:lang w:val="en-US"/>
        </w:rPr>
        <w:sectPr w:rsidR="00166162" w:rsidRPr="00822A0B" w:rsidSect="004E599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106"/>
          <w:cols w:space="282"/>
          <w:docGrid w:linePitch="360"/>
        </w:sectPr>
      </w:pPr>
    </w:p>
    <w:p w14:paraId="33FE7F0C" w14:textId="77777777" w:rsidR="00166162" w:rsidRPr="00822A0B" w:rsidRDefault="00166162" w:rsidP="00427E5A">
      <w:pPr>
        <w:rPr>
          <w:sz w:val="20"/>
          <w:szCs w:val="20"/>
          <w:lang w:val="en-US"/>
        </w:rPr>
        <w:sectPr w:rsidR="00166162" w:rsidRPr="00822A0B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455CAF37" w14:textId="77777777" w:rsidR="00875175" w:rsidRPr="00822A0B" w:rsidRDefault="00427E5A" w:rsidP="00780AA3">
      <w:pPr>
        <w:spacing w:after="240"/>
        <w:rPr>
          <w:rFonts w:ascii="Arial" w:hAnsi="Arial" w:cs="Arial"/>
          <w:b/>
          <w:lang w:val="en-US"/>
        </w:rPr>
      </w:pPr>
      <w:r w:rsidRPr="00822A0B">
        <w:rPr>
          <w:rFonts w:ascii="Arial" w:hAnsi="Arial" w:cs="Arial"/>
          <w:b/>
          <w:lang w:val="en-US"/>
        </w:rPr>
        <w:t>Introduction</w:t>
      </w:r>
    </w:p>
    <w:p w14:paraId="3EEC2A16" w14:textId="77777777" w:rsidR="00B0007B" w:rsidRPr="00822A0B" w:rsidRDefault="00780AA3" w:rsidP="00780AA3">
      <w:pPr>
        <w:pStyle w:val="MainText"/>
        <w:ind w:firstLine="284"/>
      </w:pPr>
      <w:r w:rsidRPr="00822A0B">
        <w:t>Polysiloxane</w:t>
      </w:r>
      <w:r w:rsidR="004B5970" w:rsidRPr="00822A0B">
        <w:t>–</w:t>
      </w:r>
      <w:r w:rsidRPr="00822A0B">
        <w:t xml:space="preserve">urethanes (PSUs) are of great interest </w:t>
      </w:r>
      <w:r w:rsidR="00AF30C1" w:rsidRPr="00822A0B">
        <w:t>since</w:t>
      </w:r>
      <w:r w:rsidRPr="00822A0B">
        <w:t xml:space="preserve"> they </w:t>
      </w:r>
      <w:r w:rsidR="00AF30C1" w:rsidRPr="00822A0B">
        <w:t xml:space="preserve">can </w:t>
      </w:r>
      <w:r w:rsidRPr="00822A0B">
        <w:t xml:space="preserve">combine the unique properties of polysiloxanes (low glass transition temperature, low surface energy, hydrophobicity, high gas permeability, biological inertness) and polyurethanes (high mechanical strength) </w:t>
      </w:r>
      <w:r w:rsidR="00AF30C1" w:rsidRPr="00822A0B">
        <w:t>[1, 2]</w:t>
      </w:r>
      <w:r w:rsidRPr="00822A0B">
        <w:t xml:space="preserve">. Toxic organotin catalysts are widely used in the synthesis of polyurethanes. Bismuth-based catalysts have lower toxicity and can also be used in the synthesis </w:t>
      </w:r>
      <w:r w:rsidR="00AF30C1" w:rsidRPr="00822A0B">
        <w:t>[1, 3, 4]</w:t>
      </w:r>
      <w:r w:rsidRPr="00822A0B">
        <w:t>.</w:t>
      </w:r>
    </w:p>
    <w:p w14:paraId="0FBAA910" w14:textId="403FECC0" w:rsidR="00780AA3" w:rsidRPr="00822A0B" w:rsidRDefault="00780AA3" w:rsidP="00780AA3">
      <w:pPr>
        <w:pStyle w:val="MainText"/>
        <w:ind w:firstLine="284"/>
      </w:pPr>
      <w:r w:rsidRPr="00822A0B">
        <w:t>In th</w:t>
      </w:r>
      <w:r w:rsidR="00AF30C1" w:rsidRPr="00822A0B">
        <w:t>i</w:t>
      </w:r>
      <w:r w:rsidRPr="00822A0B">
        <w:t xml:space="preserve">s </w:t>
      </w:r>
      <w:r w:rsidR="00AF30C1" w:rsidRPr="00822A0B">
        <w:t>work, cross-linked polysiloxane–</w:t>
      </w:r>
      <w:r w:rsidRPr="00822A0B">
        <w:t>(butylene oxide)</w:t>
      </w:r>
      <w:r w:rsidR="00AF30C1" w:rsidRPr="00822A0B">
        <w:t>–</w:t>
      </w:r>
      <w:r w:rsidRPr="00822A0B">
        <w:t xml:space="preserve">urethane </w:t>
      </w:r>
      <w:proofErr w:type="spellStart"/>
      <w:r w:rsidRPr="00822A0B">
        <w:t>ur</w:t>
      </w:r>
      <w:r w:rsidR="00AF30C1" w:rsidRPr="00822A0B">
        <w:t>eas</w:t>
      </w:r>
      <w:proofErr w:type="spellEnd"/>
      <w:r w:rsidR="00AF30C1" w:rsidRPr="00822A0B">
        <w:t xml:space="preserve"> (</w:t>
      </w:r>
      <w:proofErr w:type="spellStart"/>
      <w:r w:rsidR="00AF30C1" w:rsidRPr="00822A0B">
        <w:t>PSBOUUrs</w:t>
      </w:r>
      <w:proofErr w:type="spellEnd"/>
      <w:r w:rsidR="00AF30C1" w:rsidRPr="00822A0B">
        <w:t xml:space="preserve">) </w:t>
      </w:r>
      <w:r w:rsidR="007D62C8" w:rsidRPr="00822A0B">
        <w:t xml:space="preserve">were synthesized </w:t>
      </w:r>
      <w:r w:rsidR="00AF30C1" w:rsidRPr="00822A0B">
        <w:t>based on α,ω-bis[(3-aminopropyl)diethoxy]-</w:t>
      </w:r>
      <w:proofErr w:type="spellStart"/>
      <w:r w:rsidRPr="00822A0B">
        <w:t>oligodimethylsiloxanes</w:t>
      </w:r>
      <w:proofErr w:type="spellEnd"/>
      <w:r w:rsidRPr="00822A0B">
        <w:t xml:space="preserve"> (DASs) and </w:t>
      </w:r>
      <w:proofErr w:type="spellStart"/>
      <w:r w:rsidRPr="00822A0B">
        <w:t>oligobutylene</w:t>
      </w:r>
      <w:proofErr w:type="spellEnd"/>
      <w:r w:rsidRPr="00822A0B">
        <w:t xml:space="preserve"> oxides (OBOs), 4,4'-dicyclohexylmethane diisocyanate (H</w:t>
      </w:r>
      <w:r w:rsidRPr="00822A0B">
        <w:rPr>
          <w:vertAlign w:val="subscript"/>
        </w:rPr>
        <w:t>12</w:t>
      </w:r>
      <w:r w:rsidRPr="00822A0B">
        <w:t xml:space="preserve">-MDI) or </w:t>
      </w:r>
      <w:proofErr w:type="spellStart"/>
      <w:r w:rsidRPr="00822A0B">
        <w:t>isophorone</w:t>
      </w:r>
      <w:proofErr w:type="spellEnd"/>
      <w:r w:rsidRPr="00822A0B">
        <w:t xml:space="preserve"> diisocyanate (I</w:t>
      </w:r>
      <w:r w:rsidR="00AF30C1" w:rsidRPr="00822A0B">
        <w:t>PDI) in the presence of bismuth</w:t>
      </w:r>
      <w:r w:rsidRPr="00822A0B">
        <w:t xml:space="preserve">(III) </w:t>
      </w:r>
      <w:proofErr w:type="spellStart"/>
      <w:r w:rsidRPr="00822A0B">
        <w:t>neodecanoate</w:t>
      </w:r>
      <w:proofErr w:type="spellEnd"/>
      <w:r w:rsidRPr="00822A0B">
        <w:t xml:space="preserve"> </w:t>
      </w:r>
      <w:r w:rsidR="009F476B" w:rsidRPr="00822A0B">
        <w:t xml:space="preserve">used </w:t>
      </w:r>
      <w:r w:rsidRPr="00822A0B">
        <w:t>as a catalyst, as well as model polybutylene oxide</w:t>
      </w:r>
      <w:r w:rsidR="00AF30C1" w:rsidRPr="00822A0B">
        <w:t>–urethanes and polysiloxane–</w:t>
      </w:r>
      <w:proofErr w:type="spellStart"/>
      <w:r w:rsidRPr="00822A0B">
        <w:t>ureas</w:t>
      </w:r>
      <w:proofErr w:type="spellEnd"/>
      <w:r w:rsidRPr="00822A0B">
        <w:t xml:space="preserve"> were </w:t>
      </w:r>
      <w:r w:rsidR="009F476B" w:rsidRPr="00822A0B">
        <w:t xml:space="preserve">obtained by </w:t>
      </w:r>
      <w:r w:rsidRPr="00822A0B">
        <w:t xml:space="preserve">the </w:t>
      </w:r>
      <w:r w:rsidR="00AF30C1" w:rsidRPr="00822A0B">
        <w:t>earlier published</w:t>
      </w:r>
      <w:r w:rsidRPr="00822A0B">
        <w:t xml:space="preserve"> method [5], and their properties were studied.</w:t>
      </w:r>
    </w:p>
    <w:p w14:paraId="06F47EF7" w14:textId="77777777" w:rsidR="00875175" w:rsidRPr="00822A0B" w:rsidRDefault="00875175" w:rsidP="00B23601">
      <w:pPr>
        <w:pStyle w:val="Header1"/>
        <w:spacing w:before="240" w:after="240"/>
      </w:pPr>
      <w:r w:rsidRPr="00822A0B">
        <w:t>Results and discussion</w:t>
      </w:r>
    </w:p>
    <w:p w14:paraId="6CB78D63" w14:textId="77777777" w:rsidR="00780AA3" w:rsidRPr="00822A0B" w:rsidRDefault="00780AA3" w:rsidP="007F4F7F">
      <w:pPr>
        <w:pStyle w:val="MainText"/>
        <w:ind w:firstLine="284"/>
      </w:pPr>
      <w:proofErr w:type="spellStart"/>
      <w:r w:rsidRPr="00822A0B">
        <w:t>PSBOUUrs</w:t>
      </w:r>
      <w:proofErr w:type="spellEnd"/>
      <w:r w:rsidRPr="00822A0B">
        <w:t xml:space="preserve"> were synthesized according to the general scheme (Scheme 1).</w:t>
      </w:r>
      <w:r w:rsidR="00AF30C1" w:rsidRPr="00822A0B">
        <w:t xml:space="preserve"> At</w:t>
      </w:r>
      <w:r w:rsidRPr="00822A0B">
        <w:t xml:space="preserve"> the first stage (I), prepolymer </w:t>
      </w:r>
      <w:r w:rsidR="00AF30C1" w:rsidRPr="00822A0B">
        <w:rPr>
          <w:b/>
        </w:rPr>
        <w:t>A</w:t>
      </w:r>
      <w:r w:rsidRPr="00822A0B">
        <w:t xml:space="preserve"> was obtained from diisocyanate and </w:t>
      </w:r>
      <w:proofErr w:type="spellStart"/>
      <w:r w:rsidRPr="00822A0B">
        <w:t>oligobutylene</w:t>
      </w:r>
      <w:proofErr w:type="spellEnd"/>
      <w:r w:rsidRPr="00822A0B">
        <w:t xml:space="preserve"> oxide. The reaction </w:t>
      </w:r>
      <w:r w:rsidR="005B450B" w:rsidRPr="00822A0B">
        <w:t xml:space="preserve">course </w:t>
      </w:r>
      <w:r w:rsidRPr="00822A0B">
        <w:t xml:space="preserve">was monitored by back titration </w:t>
      </w:r>
      <w:r w:rsidR="005B450B" w:rsidRPr="00822A0B">
        <w:t>of free isocyanate groups and by</w:t>
      </w:r>
      <w:r w:rsidRPr="00822A0B">
        <w:t xml:space="preserve"> IR spectroscopy (</w:t>
      </w:r>
      <w:r w:rsidR="005B450B" w:rsidRPr="00822A0B">
        <w:t>see Table S5 and</w:t>
      </w:r>
      <w:r w:rsidRPr="00822A0B">
        <w:t xml:space="preserve"> Fig. S2</w:t>
      </w:r>
      <w:r w:rsidR="005B450B" w:rsidRPr="00822A0B">
        <w:t xml:space="preserve"> in the Electronic supplementary information (ESI)</w:t>
      </w:r>
      <w:r w:rsidRPr="00822A0B">
        <w:t xml:space="preserve">). The second stage (II) was carried out by combining solutions of the prepolymer and DAS, which resulted in the formation of soluble </w:t>
      </w:r>
      <w:proofErr w:type="spellStart"/>
      <w:r w:rsidRPr="00822A0B">
        <w:t>PSBOUUr</w:t>
      </w:r>
      <w:proofErr w:type="spellEnd"/>
      <w:r w:rsidRPr="00822A0B">
        <w:t xml:space="preserve"> </w:t>
      </w:r>
      <w:r w:rsidR="005B450B" w:rsidRPr="00822A0B">
        <w:rPr>
          <w:b/>
        </w:rPr>
        <w:t>B</w:t>
      </w:r>
      <w:r w:rsidR="005B450B" w:rsidRPr="00822A0B">
        <w:t>. At</w:t>
      </w:r>
      <w:r w:rsidRPr="00822A0B">
        <w:t xml:space="preserve"> the third stage (III), the evaporatio</w:t>
      </w:r>
      <w:r w:rsidR="005B450B" w:rsidRPr="00822A0B">
        <w:t xml:space="preserve">n of the solvents resulted in the cleavage </w:t>
      </w:r>
      <w:r w:rsidRPr="00822A0B">
        <w:t xml:space="preserve">of hydrolytically unstable ethoxy groups, followed by </w:t>
      </w:r>
      <w:r w:rsidR="005B450B" w:rsidRPr="00822A0B">
        <w:t xml:space="preserve">the </w:t>
      </w:r>
      <w:r w:rsidRPr="00822A0B">
        <w:t xml:space="preserve">condensation of the resulting </w:t>
      </w:r>
      <w:proofErr w:type="spellStart"/>
      <w:r w:rsidRPr="00822A0B">
        <w:t>SiOH</w:t>
      </w:r>
      <w:proofErr w:type="spellEnd"/>
      <w:r w:rsidRPr="00822A0B">
        <w:t xml:space="preserve"> groups and the formation of cross-linked polymer </w:t>
      </w:r>
      <w:r w:rsidR="005B450B" w:rsidRPr="00822A0B">
        <w:rPr>
          <w:b/>
        </w:rPr>
        <w:t>C</w:t>
      </w:r>
      <w:r w:rsidRPr="00822A0B">
        <w:t>.</w:t>
      </w:r>
    </w:p>
    <w:p w14:paraId="58B80FFD" w14:textId="38746553" w:rsidR="009C6A52" w:rsidRPr="00822A0B" w:rsidRDefault="00C337D6" w:rsidP="00C337D6">
      <w:pPr>
        <w:spacing w:after="120"/>
        <w:jc w:val="center"/>
        <w:rPr>
          <w:lang w:val="en-US"/>
        </w:rPr>
      </w:pPr>
      <w:r w:rsidRPr="00822A0B">
        <w:object w:dxaOrig="7207" w:dyaOrig="5380" w14:anchorId="79471EC5">
          <v:shape id="_x0000_i1026" type="#_x0000_t75" style="width:226.35pt;height:169.65pt" o:ole="">
            <v:imagedata r:id="rId12" o:title=""/>
          </v:shape>
          <o:OLEObject Type="Embed" ProgID="ChemDraw.Document.6.0" ShapeID="_x0000_i1026" DrawAspect="Content" ObjectID="_1815684933" r:id="rId13"/>
        </w:object>
      </w:r>
    </w:p>
    <w:p w14:paraId="284A5506" w14:textId="77777777" w:rsidR="00780AA3" w:rsidRPr="00822A0B" w:rsidRDefault="00780AA3" w:rsidP="009C6A52">
      <w:pPr>
        <w:spacing w:before="120"/>
        <w:jc w:val="both"/>
        <w:rPr>
          <w:lang w:val="en-US"/>
        </w:rPr>
      </w:pPr>
      <w:r w:rsidRPr="00822A0B">
        <w:rPr>
          <w:rFonts w:ascii="Times New Roman" w:hAnsi="Times New Roman" w:cs="Times New Roman"/>
          <w:b/>
          <w:sz w:val="16"/>
          <w:szCs w:val="16"/>
          <w:lang w:val="en-US"/>
        </w:rPr>
        <w:t>Scheme 1.</w:t>
      </w:r>
      <w:r w:rsidR="005B450B"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 Synthesis of polysiloxane</w:t>
      </w:r>
      <w:proofErr w:type="gramStart"/>
      <w:r w:rsidR="005B450B" w:rsidRPr="00822A0B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822A0B">
        <w:rPr>
          <w:rFonts w:ascii="Times New Roman" w:hAnsi="Times New Roman" w:cs="Times New Roman"/>
          <w:sz w:val="16"/>
          <w:szCs w:val="16"/>
          <w:lang w:val="en-US"/>
        </w:rPr>
        <w:t>butylene oxide)</w:t>
      </w:r>
      <w:r w:rsidR="005B450B" w:rsidRPr="00822A0B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>urethane</w:t>
      </w:r>
      <w:r w:rsidR="005B450B" w:rsidRPr="00822A0B">
        <w:rPr>
          <w:rFonts w:ascii="Times New Roman" w:hAnsi="Times New Roman" w:cs="Times New Roman"/>
          <w:sz w:val="16"/>
          <w:szCs w:val="16"/>
          <w:lang w:val="en-US"/>
        </w:rPr>
        <w:t>–</w:t>
      </w:r>
      <w:proofErr w:type="spellStart"/>
      <w:r w:rsidRPr="00822A0B">
        <w:rPr>
          <w:rFonts w:ascii="Times New Roman" w:hAnsi="Times New Roman" w:cs="Times New Roman"/>
          <w:sz w:val="16"/>
          <w:szCs w:val="16"/>
          <w:lang w:val="en-US"/>
        </w:rPr>
        <w:t>ureas</w:t>
      </w:r>
      <w:proofErr w:type="spellEnd"/>
      <w:r w:rsidRPr="00822A0B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14:paraId="46AC812D" w14:textId="77777777" w:rsidR="00780AA3" w:rsidRPr="00822A0B" w:rsidRDefault="009C6A52" w:rsidP="009C6A52">
      <w:pPr>
        <w:pStyle w:val="MainText"/>
        <w:ind w:firstLine="284"/>
      </w:pPr>
      <w:r w:rsidRPr="00822A0B">
        <w:t xml:space="preserve">The resulting polymers were studied by DSC, TMA, AFM, </w:t>
      </w:r>
      <w:r w:rsidR="007F4F7F" w:rsidRPr="00822A0B">
        <w:t xml:space="preserve">and optical microscopy. The main properties of </w:t>
      </w:r>
      <w:proofErr w:type="spellStart"/>
      <w:r w:rsidR="007F4F7F" w:rsidRPr="00822A0B">
        <w:t>PSBOUUrs</w:t>
      </w:r>
      <w:proofErr w:type="spellEnd"/>
      <w:r w:rsidR="007F4F7F" w:rsidRPr="00822A0B">
        <w:t xml:space="preserve">, as </w:t>
      </w:r>
      <w:r w:rsidR="00780AA3" w:rsidRPr="00822A0B">
        <w:t xml:space="preserve">well as </w:t>
      </w:r>
      <w:r w:rsidR="00400742" w:rsidRPr="00822A0B">
        <w:t xml:space="preserve">those of </w:t>
      </w:r>
      <w:r w:rsidR="005B450B" w:rsidRPr="00822A0B">
        <w:t xml:space="preserve">the </w:t>
      </w:r>
      <w:r w:rsidR="00780AA3" w:rsidRPr="00822A0B">
        <w:t>model polyurethanes and polysiloxane</w:t>
      </w:r>
      <w:r w:rsidR="005B450B" w:rsidRPr="00822A0B">
        <w:t>–</w:t>
      </w:r>
      <w:proofErr w:type="spellStart"/>
      <w:r w:rsidR="005B450B" w:rsidRPr="00822A0B">
        <w:t>ureas</w:t>
      </w:r>
      <w:proofErr w:type="spellEnd"/>
      <w:r w:rsidR="005B450B" w:rsidRPr="00822A0B">
        <w:t xml:space="preserve"> are given in Table</w:t>
      </w:r>
      <w:r w:rsidR="00780AA3" w:rsidRPr="00822A0B">
        <w:t xml:space="preserve"> 1</w:t>
      </w:r>
      <w:r w:rsidR="005B450B" w:rsidRPr="00822A0B">
        <w:t xml:space="preserve"> and Tables </w:t>
      </w:r>
      <w:r w:rsidR="00780AA3" w:rsidRPr="00822A0B">
        <w:t>S3, S4</w:t>
      </w:r>
      <w:r w:rsidR="005B450B" w:rsidRPr="00822A0B">
        <w:t xml:space="preserve"> in the ESI</w:t>
      </w:r>
      <w:r w:rsidR="00780AA3" w:rsidRPr="00822A0B">
        <w:t>.</w:t>
      </w:r>
    </w:p>
    <w:p w14:paraId="62E46573" w14:textId="77777777" w:rsidR="00780AA3" w:rsidRPr="00822A0B" w:rsidRDefault="005B450B" w:rsidP="009C6A5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22A0B">
        <w:rPr>
          <w:rFonts w:ascii="Times New Roman" w:hAnsi="Times New Roman" w:cs="Times New Roman"/>
          <w:sz w:val="18"/>
          <w:szCs w:val="18"/>
          <w:lang w:val="en-US"/>
        </w:rPr>
        <w:t>As can be seen from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Tables 1 and S4</w:t>
      </w:r>
      <w:r w:rsidR="005C483C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in the ESI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the introduction of an organic block improves the mechanical properties and significantly increases 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relative elongation at break of </w:t>
      </w:r>
      <w:proofErr w:type="spellStart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PSBOUUrs</w:t>
      </w:r>
      <w:proofErr w:type="spellEnd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compared to 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model polysiloxane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–</w:t>
      </w:r>
      <w:proofErr w:type="spellStart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ureas</w:t>
      </w:r>
      <w:proofErr w:type="spellEnd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0EC62287" w14:textId="775E8D31" w:rsidR="007F4F7F" w:rsidRPr="00822A0B" w:rsidRDefault="00780AA3" w:rsidP="0005514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All </w:t>
      </w:r>
      <w:proofErr w:type="spellStart"/>
      <w:r w:rsidRPr="00822A0B">
        <w:rPr>
          <w:rFonts w:ascii="Times New Roman" w:hAnsi="Times New Roman" w:cs="Times New Roman"/>
          <w:sz w:val="18"/>
          <w:szCs w:val="18"/>
          <w:lang w:val="en-US"/>
        </w:rPr>
        <w:t>PSBOUUrs</w:t>
      </w:r>
      <w:proofErr w:type="spellEnd"/>
      <w:r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B450B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obtained 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had a high content of gel fraction, which characterizes the degree of completion of the cross</w:t>
      </w:r>
      <w:r w:rsidR="005B450B" w:rsidRPr="00822A0B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linking process. The content of the siloxane component in all samples was ~50%, but </w:t>
      </w:r>
      <w:proofErr w:type="spellStart"/>
      <w:r w:rsidRPr="00822A0B">
        <w:rPr>
          <w:rFonts w:ascii="Times New Roman" w:hAnsi="Times New Roman" w:cs="Times New Roman"/>
          <w:sz w:val="18"/>
          <w:szCs w:val="18"/>
          <w:lang w:val="en-US"/>
        </w:rPr>
        <w:t>PSBOUUr</w:t>
      </w:r>
      <w:proofErr w:type="spellEnd"/>
      <w:r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1 and </w:t>
      </w:r>
      <w:proofErr w:type="spellStart"/>
      <w:r w:rsidRPr="00822A0B">
        <w:rPr>
          <w:rFonts w:ascii="Times New Roman" w:hAnsi="Times New Roman" w:cs="Times New Roman"/>
          <w:sz w:val="18"/>
          <w:szCs w:val="18"/>
          <w:lang w:val="en-US"/>
        </w:rPr>
        <w:t>PSBOUUr</w:t>
      </w:r>
      <w:proofErr w:type="spellEnd"/>
      <w:r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2 had much higher tensile strength, which is probably due to the increased concentration of urethane </w:t>
      </w:r>
      <w:r w:rsidR="005C483C" w:rsidRPr="00822A0B">
        <w:rPr>
          <w:rFonts w:ascii="Times New Roman" w:hAnsi="Times New Roman" w:cs="Times New Roman"/>
          <w:sz w:val="18"/>
          <w:szCs w:val="18"/>
          <w:lang w:val="en-US"/>
        </w:rPr>
        <w:t>unit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s and hydrogen bonds in this case.</w:t>
      </w:r>
      <w:r w:rsidR="00055141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7F4F7F" w:rsidRPr="00822A0B">
        <w:rPr>
          <w:rFonts w:ascii="Times New Roman" w:hAnsi="Times New Roman" w:cs="Times New Roman"/>
          <w:sz w:val="18"/>
          <w:szCs w:val="18"/>
          <w:lang w:val="en-US"/>
        </w:rPr>
        <w:t>A characteristic feature of PSUs is their tendency to micro</w:t>
      </w:r>
      <w:r w:rsidR="00E23725" w:rsidRPr="00822A0B">
        <w:rPr>
          <w:rFonts w:ascii="Times New Roman" w:hAnsi="Times New Roman" w:cs="Times New Roman"/>
          <w:sz w:val="18"/>
          <w:szCs w:val="18"/>
          <w:lang w:val="en-US"/>
        </w:rPr>
        <w:t>phase separation caused by the thermodynamic incompatibility</w:t>
      </w:r>
      <w:r w:rsidR="005C483C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of the components, which can be judged, in </w:t>
      </w:r>
      <w:r w:rsidR="009C6A52" w:rsidRPr="00822A0B">
        <w:rPr>
          <w:rFonts w:ascii="Times New Roman" w:hAnsi="Times New Roman" w:cs="Times New Roman"/>
          <w:sz w:val="18"/>
          <w:szCs w:val="18"/>
          <w:lang w:val="en-US"/>
        </w:rPr>
        <w:t>particular, by the difference in their solubility parameters (</w:t>
      </w:r>
      <w:proofErr w:type="spellStart"/>
      <w:r w:rsidR="009C6A52" w:rsidRPr="00822A0B">
        <w:rPr>
          <w:rFonts w:ascii="Times New Roman" w:hAnsi="Times New Roman" w:cs="Times New Roman"/>
          <w:sz w:val="18"/>
          <w:szCs w:val="18"/>
          <w:lang w:val="en-US"/>
        </w:rPr>
        <w:t>oligobutylene</w:t>
      </w:r>
      <w:proofErr w:type="spellEnd"/>
      <w:r w:rsidR="009C6A52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oxide:</w:t>
      </w:r>
      <w:r w:rsidR="009C6A52" w:rsidRPr="00822A0B">
        <w:rPr>
          <w:rFonts w:ascii="Times New Roman" w:hAnsi="Times New Roman" w:cs="Times New Roman"/>
          <w:sz w:val="18"/>
          <w:szCs w:val="18"/>
          <w:lang w:val="en-US"/>
        </w:rPr>
        <w:br w:type="page"/>
      </w:r>
    </w:p>
    <w:p w14:paraId="62273B08" w14:textId="77777777" w:rsidR="00AF30C1" w:rsidRPr="00822A0B" w:rsidRDefault="00AF30C1" w:rsidP="00780AA3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  <w:sectPr w:rsidR="00AF30C1" w:rsidRPr="00822A0B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num="2" w:space="282"/>
          <w:docGrid w:linePitch="360"/>
        </w:sectPr>
      </w:pPr>
    </w:p>
    <w:p w14:paraId="16107F45" w14:textId="77777777" w:rsidR="00AF30C1" w:rsidRPr="00822A0B" w:rsidRDefault="00AF30C1" w:rsidP="005C28E3">
      <w:pPr>
        <w:spacing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22A0B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lastRenderedPageBreak/>
        <w:t xml:space="preserve">Table 1. </w:t>
      </w:r>
      <w:r w:rsidRPr="00822A0B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Effect of the synthesis conditions on the thermal and mechanical properties of </w:t>
      </w:r>
      <w:r w:rsidR="005B450B" w:rsidRPr="00822A0B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 xml:space="preserve">the resulting </w:t>
      </w:r>
      <w:r w:rsidRPr="00822A0B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polysiloxane</w:t>
      </w:r>
      <w:proofErr w:type="gramStart"/>
      <w:r w:rsidRPr="00822A0B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–(</w:t>
      </w:r>
      <w:proofErr w:type="gramEnd"/>
      <w:r w:rsidRPr="00822A0B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butylene oxide)–urethane–</w:t>
      </w:r>
      <w:proofErr w:type="spellStart"/>
      <w:r w:rsidRPr="00822A0B">
        <w:rPr>
          <w:rFonts w:ascii="Times New Roman" w:hAnsi="Times New Roman" w:cs="Times New Roman"/>
          <w:bCs/>
          <w:color w:val="000000"/>
          <w:sz w:val="16"/>
          <w:szCs w:val="16"/>
          <w:lang w:val="en-US"/>
        </w:rPr>
        <w:t>ureas</w:t>
      </w:r>
      <w:proofErr w:type="spellEnd"/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7"/>
        <w:gridCol w:w="1078"/>
        <w:gridCol w:w="1134"/>
        <w:gridCol w:w="850"/>
        <w:gridCol w:w="862"/>
        <w:gridCol w:w="1265"/>
        <w:gridCol w:w="1275"/>
        <w:gridCol w:w="851"/>
        <w:gridCol w:w="567"/>
        <w:gridCol w:w="850"/>
      </w:tblGrid>
      <w:tr w:rsidR="00AF30C1" w:rsidRPr="00822A0B" w14:paraId="6F5874CC" w14:textId="77777777" w:rsidTr="0072397F">
        <w:trPr>
          <w:trHeight w:val="339"/>
        </w:trPr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39FC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bookmarkStart w:id="0" w:name="_Hlk187332995"/>
            <w:r w:rsidRPr="00822A0B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PS</w:t>
            </w:r>
            <w:r w:rsidRPr="00822A0B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B</w:t>
            </w:r>
            <w:proofErr w:type="spellStart"/>
            <w:r w:rsidRPr="00822A0B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OUUr</w:t>
            </w:r>
            <w:bookmarkEnd w:id="0"/>
            <w:proofErr w:type="spellEnd"/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029B4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DAS</w:t>
            </w:r>
            <w:r w:rsidR="005B450B"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m:oMath>
              <m:f>
                <m:fPr>
                  <m:type m:val="lin"/>
                  <m:ctrlPr>
                    <w:rPr>
                      <w:rFonts w:ascii="Cambria Math" w:hAnsi="Times New Roman" w:cs="Times New Roman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n</m:t>
                  </m:r>
                </m:num>
                <m:den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Mn</m:t>
                  </m:r>
                </m:den>
              </m:f>
            </m:oMath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C97DD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OBO</w:t>
            </w:r>
            <w:r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</w:t>
            </w:r>
            <w:r w:rsidR="005B450B"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m:oMath>
              <m:f>
                <m:fPr>
                  <m:type m:val="lin"/>
                  <m:ctrlPr>
                    <w:rPr>
                      <w:rFonts w:ascii="Cambria Math" w:hAnsi="Times New Roman" w:cs="Times New Roman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n</m:t>
                  </m:r>
                </m:den>
              </m:f>
            </m:oMath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AB8FA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DI</w:t>
            </w: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7116E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22A0B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W</w:t>
            </w:r>
            <w:r w:rsidR="003F0970"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US" w:eastAsia="ru-RU"/>
              </w:rPr>
              <w:t>s</w:t>
            </w:r>
            <w:r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US" w:eastAsia="ru-RU"/>
              </w:rPr>
              <w:t>il</w:t>
            </w:r>
            <w:proofErr w:type="spellEnd"/>
            <w:r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</w:t>
            </w:r>
            <w:r w:rsidR="005B450B"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="005B450B"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wt</w:t>
            </w:r>
            <w:proofErr w:type="spellEnd"/>
            <w:r w:rsidR="005B450B"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49528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822A0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Solvent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DB0475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Gel</w:t>
            </w:r>
            <w:r w:rsidR="005B450B"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fraction</w:t>
            </w:r>
            <w:r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%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46F00B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22A0B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  <w:t>Т</w:t>
            </w:r>
            <w:r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US" w:eastAsia="ru-RU"/>
              </w:rPr>
              <w:t>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73B36E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22A0B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  <w:t>ε</w:t>
            </w:r>
            <w:r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р</w:t>
            </w:r>
            <w:proofErr w:type="spellEnd"/>
            <w:r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%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B77035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822A0B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RU"/>
              </w:rPr>
              <w:t>σ</w:t>
            </w:r>
            <w:r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р</w:t>
            </w:r>
            <w:proofErr w:type="spellEnd"/>
            <w:r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</w:t>
            </w:r>
            <w:r w:rsidR="005B450B" w:rsidRPr="00822A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822A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MPa</w:t>
            </w:r>
          </w:p>
        </w:tc>
      </w:tr>
      <w:tr w:rsidR="00AF30C1" w:rsidRPr="00822A0B" w14:paraId="1D0AA77E" w14:textId="77777777" w:rsidTr="0072397F">
        <w:trPr>
          <w:trHeight w:val="227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2F85A441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1</w:t>
            </w:r>
            <w:r w:rsidR="005B450B" w:rsidRPr="00822A0B">
              <w:rPr>
                <w:rFonts w:ascii="Times New Roman" w:hAnsi="Times New Roman" w:cs="Times New Roman"/>
                <w:b/>
                <w:bCs/>
                <w:i/>
                <w:color w:val="000000"/>
                <w:sz w:val="16"/>
                <w:szCs w:val="16"/>
                <w:vertAlign w:val="superscript"/>
                <w:lang w:val="en-US"/>
              </w:rPr>
              <w:t>a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34FB2C0D" w14:textId="77777777" w:rsidR="00AF30C1" w:rsidRPr="00822A0B" w:rsidRDefault="005D7DFD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14</m:t>
                    </m:r>
                    <m:ctrlPr>
                      <w:rPr>
                        <w:rFonts w:ascii="Cambria Math" w:hAnsi="Times New Roman" w:cs="Times New Roman"/>
                        <w:i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1380</m:t>
                    </m:r>
                    <m:ctrlPr>
                      <w:rPr>
                        <w:rFonts w:ascii="Cambria Math" w:hAnsi="Times New Roman" w:cs="Times New Roman"/>
                        <w:i/>
                        <w:sz w:val="16"/>
                        <w:szCs w:val="16"/>
                      </w:rPr>
                    </m:ctrlPr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2D5D1C8" w14:textId="77777777" w:rsidR="00AF30C1" w:rsidRPr="00822A0B" w:rsidRDefault="005D7DFD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250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7FDD9E13" w14:textId="77777777" w:rsidR="00AF30C1" w:rsidRPr="00822A0B" w:rsidRDefault="00AF30C1" w:rsidP="007F4F7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12</w:t>
            </w:r>
            <w:r w:rsidR="007F4F7F"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MDI</w:t>
            </w:r>
          </w:p>
        </w:tc>
        <w:tc>
          <w:tcPr>
            <w:tcW w:w="862" w:type="dxa"/>
            <w:tcBorders>
              <w:top w:val="single" w:sz="4" w:space="0" w:color="auto"/>
            </w:tcBorders>
            <w:vAlign w:val="center"/>
          </w:tcPr>
          <w:p w14:paraId="7406367C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14:paraId="2D652F5B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MEK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1DD676B9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79567AE" w14:textId="77777777" w:rsidR="00AF30C1" w:rsidRPr="00822A0B" w:rsidRDefault="005B450B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–</w:t>
            </w:r>
            <w:r w:rsidR="00AF30C1"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113</w:t>
            </w:r>
            <w:r w:rsidR="00AF30C1"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/60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9B75B32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1A3276F7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</w:tr>
      <w:tr w:rsidR="00AF30C1" w:rsidRPr="00822A0B" w14:paraId="31CA8480" w14:textId="77777777" w:rsidTr="0072397F">
        <w:trPr>
          <w:trHeight w:val="227"/>
        </w:trPr>
        <w:tc>
          <w:tcPr>
            <w:tcW w:w="907" w:type="dxa"/>
            <w:vAlign w:val="center"/>
          </w:tcPr>
          <w:p w14:paraId="3CC8445F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822A0B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2</w:t>
            </w:r>
            <w:r w:rsidR="005B450B" w:rsidRPr="00822A0B">
              <w:rPr>
                <w:rFonts w:ascii="Times New Roman" w:hAnsi="Times New Roman" w:cs="Times New Roman"/>
                <w:b/>
                <w:bCs/>
                <w:i/>
                <w:color w:val="000000"/>
                <w:sz w:val="16"/>
                <w:szCs w:val="16"/>
                <w:vertAlign w:val="superscript"/>
                <w:lang w:val="en-US"/>
              </w:rPr>
              <w:t>a</w:t>
            </w:r>
          </w:p>
        </w:tc>
        <w:tc>
          <w:tcPr>
            <w:tcW w:w="1078" w:type="dxa"/>
            <w:vAlign w:val="center"/>
          </w:tcPr>
          <w:p w14:paraId="69F3C1CF" w14:textId="77777777" w:rsidR="00AF30C1" w:rsidRPr="00822A0B" w:rsidRDefault="005D7DFD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14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1380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475EFF1C" w14:textId="77777777" w:rsidR="00AF30C1" w:rsidRPr="00822A0B" w:rsidRDefault="005D7DFD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250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226DB801" w14:textId="77777777" w:rsidR="00AF30C1" w:rsidRPr="00822A0B" w:rsidRDefault="00AF30C1" w:rsidP="007F4F7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12</w:t>
            </w:r>
            <w:r w:rsidR="007F4F7F"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MDI</w:t>
            </w:r>
          </w:p>
        </w:tc>
        <w:tc>
          <w:tcPr>
            <w:tcW w:w="862" w:type="dxa"/>
            <w:vAlign w:val="center"/>
          </w:tcPr>
          <w:p w14:paraId="6638C83E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5" w:type="dxa"/>
            <w:vAlign w:val="center"/>
          </w:tcPr>
          <w:p w14:paraId="2B66D01C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22A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MEK</w:t>
            </w:r>
            <w:r w:rsidR="005B450B" w:rsidRPr="00822A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+ </w:t>
            </w:r>
            <w:r w:rsidR="005B450B"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h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exane</w:t>
            </w:r>
          </w:p>
        </w:tc>
        <w:tc>
          <w:tcPr>
            <w:tcW w:w="1275" w:type="dxa"/>
            <w:vAlign w:val="center"/>
          </w:tcPr>
          <w:p w14:paraId="224A96FE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851" w:type="dxa"/>
            <w:vAlign w:val="center"/>
          </w:tcPr>
          <w:p w14:paraId="228F596E" w14:textId="77777777" w:rsidR="00AF30C1" w:rsidRPr="00822A0B" w:rsidRDefault="005B450B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–</w:t>
            </w:r>
            <w:r w:rsidR="00AF30C1"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121/52</w:t>
            </w:r>
            <w:r w:rsidRPr="00822A0B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vertAlign w:val="superscript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14:paraId="70668B8D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850" w:type="dxa"/>
            <w:vAlign w:val="center"/>
          </w:tcPr>
          <w:p w14:paraId="2904A213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AF30C1" w:rsidRPr="00822A0B" w14:paraId="0F77B6B8" w14:textId="77777777" w:rsidTr="0072397F">
        <w:trPr>
          <w:trHeight w:val="227"/>
        </w:trPr>
        <w:tc>
          <w:tcPr>
            <w:tcW w:w="907" w:type="dxa"/>
            <w:vAlign w:val="center"/>
          </w:tcPr>
          <w:p w14:paraId="4149F4EC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822A0B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</w:t>
            </w:r>
            <w:r w:rsidR="005B450B" w:rsidRPr="00822A0B">
              <w:rPr>
                <w:rFonts w:ascii="Times New Roman" w:hAnsi="Times New Roman" w:cs="Times New Roman"/>
                <w:b/>
                <w:bCs/>
                <w:i/>
                <w:color w:val="000000"/>
                <w:sz w:val="16"/>
                <w:szCs w:val="16"/>
                <w:vertAlign w:val="superscript"/>
                <w:lang w:val="en-US"/>
              </w:rPr>
              <w:t>b</w:t>
            </w:r>
          </w:p>
        </w:tc>
        <w:tc>
          <w:tcPr>
            <w:tcW w:w="1078" w:type="dxa"/>
            <w:vAlign w:val="center"/>
          </w:tcPr>
          <w:p w14:paraId="4D45D415" w14:textId="77777777" w:rsidR="00AF30C1" w:rsidRPr="00822A0B" w:rsidRDefault="005D7DFD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2230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0AE5F503" w14:textId="77777777" w:rsidR="00AF30C1" w:rsidRPr="00822A0B" w:rsidRDefault="005D7DFD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18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1060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32F51D3A" w14:textId="77777777" w:rsidR="00AF30C1" w:rsidRPr="00822A0B" w:rsidRDefault="00AF30C1" w:rsidP="007F4F7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12</w:t>
            </w:r>
            <w:r w:rsidR="007F4F7F"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MDI</w:t>
            </w:r>
          </w:p>
        </w:tc>
        <w:tc>
          <w:tcPr>
            <w:tcW w:w="862" w:type="dxa"/>
            <w:vAlign w:val="center"/>
          </w:tcPr>
          <w:p w14:paraId="006F0933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65" w:type="dxa"/>
            <w:vAlign w:val="center"/>
          </w:tcPr>
          <w:p w14:paraId="3EC095CF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22A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MEK</w:t>
            </w:r>
            <w:r w:rsidR="005B450B" w:rsidRPr="00822A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</w:t>
            </w:r>
            <w:r w:rsidR="005B450B"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h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exane</w:t>
            </w:r>
          </w:p>
        </w:tc>
        <w:tc>
          <w:tcPr>
            <w:tcW w:w="1275" w:type="dxa"/>
            <w:vAlign w:val="center"/>
          </w:tcPr>
          <w:p w14:paraId="7D400D73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51" w:type="dxa"/>
            <w:vAlign w:val="center"/>
          </w:tcPr>
          <w:p w14:paraId="1D50E59F" w14:textId="77777777" w:rsidR="00AF30C1" w:rsidRPr="00822A0B" w:rsidRDefault="005B450B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–</w:t>
            </w:r>
            <w:r w:rsidR="00AF30C1"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18</w:t>
            </w:r>
            <w:r w:rsidR="00AF30C1"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–</w:t>
            </w:r>
            <w:r w:rsidR="00AF30C1"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63</w:t>
            </w:r>
          </w:p>
        </w:tc>
        <w:tc>
          <w:tcPr>
            <w:tcW w:w="567" w:type="dxa"/>
            <w:vAlign w:val="center"/>
          </w:tcPr>
          <w:p w14:paraId="4385CD84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850" w:type="dxa"/>
            <w:vAlign w:val="center"/>
          </w:tcPr>
          <w:p w14:paraId="7F2A291A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AF30C1" w:rsidRPr="00822A0B" w14:paraId="4924240C" w14:textId="77777777" w:rsidTr="0072397F">
        <w:trPr>
          <w:trHeight w:val="227"/>
        </w:trPr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7EA97673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822A0B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4</w:t>
            </w:r>
            <w:r w:rsidR="005B450B" w:rsidRPr="00822A0B">
              <w:rPr>
                <w:rFonts w:ascii="Times New Roman" w:hAnsi="Times New Roman" w:cs="Times New Roman"/>
                <w:b/>
                <w:bCs/>
                <w:i/>
                <w:color w:val="000000"/>
                <w:sz w:val="16"/>
                <w:szCs w:val="16"/>
                <w:vertAlign w:val="superscript"/>
                <w:lang w:val="en-US"/>
              </w:rPr>
              <w:t>b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14:paraId="4632102A" w14:textId="77777777" w:rsidR="00AF30C1" w:rsidRPr="00822A0B" w:rsidRDefault="005D7DFD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25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2230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9A2F4CD" w14:textId="77777777" w:rsidR="00AF30C1" w:rsidRPr="00822A0B" w:rsidRDefault="005D7DFD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18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1060</m:t>
                    </m:r>
                  </m:den>
                </m:f>
              </m:oMath>
            </m:oMathPara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B961245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IPDI</w:t>
            </w:r>
          </w:p>
        </w:tc>
        <w:tc>
          <w:tcPr>
            <w:tcW w:w="862" w:type="dxa"/>
            <w:tcBorders>
              <w:bottom w:val="single" w:sz="4" w:space="0" w:color="auto"/>
            </w:tcBorders>
            <w:vAlign w:val="center"/>
          </w:tcPr>
          <w:p w14:paraId="5747CAF0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14:paraId="78414C46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MEK</w:t>
            </w:r>
            <w:r w:rsidR="005B450B" w:rsidRPr="00822A0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+</w:t>
            </w:r>
            <w:r w:rsidR="005B450B"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h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exane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C1819A1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39C2D99" w14:textId="77777777" w:rsidR="00AF30C1" w:rsidRPr="00822A0B" w:rsidRDefault="005B450B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–</w:t>
            </w:r>
            <w:r w:rsidR="00AF30C1"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</w:t>
            </w:r>
            <w:r w:rsidR="00AF30C1"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/</w:t>
            </w: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–</w:t>
            </w:r>
            <w:r w:rsidR="00AF30C1"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98E2703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D7B9587" w14:textId="77777777" w:rsidR="00AF30C1" w:rsidRPr="00822A0B" w:rsidRDefault="00AF30C1" w:rsidP="003F097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2A0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1.5</w:t>
            </w:r>
          </w:p>
        </w:tc>
      </w:tr>
    </w:tbl>
    <w:p w14:paraId="0A87CF8E" w14:textId="1684F48B" w:rsidR="00AF30C1" w:rsidRPr="00822A0B" w:rsidRDefault="003F0970" w:rsidP="003F0970">
      <w:pPr>
        <w:spacing w:before="60"/>
        <w:jc w:val="both"/>
        <w:rPr>
          <w:rFonts w:ascii="Times New Roman" w:hAnsi="Times New Roman"/>
          <w:sz w:val="16"/>
          <w:szCs w:val="16"/>
          <w:lang w:val="en-US"/>
        </w:rPr>
      </w:pPr>
      <w:r w:rsidRPr="00822A0B">
        <w:rPr>
          <w:rFonts w:ascii="Times New Roman" w:hAnsi="Times New Roman" w:cs="Times New Roman"/>
          <w:b/>
          <w:i/>
          <w:sz w:val="16"/>
          <w:szCs w:val="16"/>
          <w:vertAlign w:val="superscript"/>
          <w:lang w:val="en-US"/>
        </w:rPr>
        <w:t>a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AF30C1" w:rsidRPr="00822A0B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 = 2; </w:t>
      </w:r>
      <w:r w:rsidRPr="00822A0B">
        <w:rPr>
          <w:rFonts w:ascii="Times New Roman" w:hAnsi="Times New Roman" w:cs="Times New Roman"/>
          <w:b/>
          <w:i/>
          <w:sz w:val="16"/>
          <w:szCs w:val="16"/>
          <w:vertAlign w:val="superscript"/>
          <w:lang w:val="en-US"/>
        </w:rPr>
        <w:t>b</w:t>
      </w:r>
      <w:r w:rsidR="00AF30C1"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 X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 =1; </w:t>
      </w:r>
      <w:r w:rsidRPr="00822A0B">
        <w:rPr>
          <w:rFonts w:ascii="Times New Roman" w:hAnsi="Times New Roman" w:cs="Times New Roman"/>
          <w:b/>
          <w:i/>
          <w:sz w:val="16"/>
          <w:szCs w:val="16"/>
          <w:vertAlign w:val="superscript"/>
          <w:lang w:val="en-US"/>
        </w:rPr>
        <w:t>c</w:t>
      </w:r>
      <w:r w:rsidR="00AF30C1"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the glass transition temperature was determined by TMA; </w:t>
      </w:r>
      <w:proofErr w:type="spellStart"/>
      <w:r w:rsidRPr="00822A0B">
        <w:rPr>
          <w:rFonts w:ascii="Times New Roman" w:hAnsi="Times New Roman" w:cs="Times New Roman"/>
          <w:i/>
          <w:sz w:val="16"/>
          <w:szCs w:val="16"/>
          <w:lang w:val="en-US"/>
        </w:rPr>
        <w:t>W</w:t>
      </w:r>
      <w:r w:rsidRPr="00822A0B">
        <w:rPr>
          <w:rFonts w:ascii="Times New Roman" w:eastAsia="Times New Roman" w:hAnsi="Times New Roman" w:cs="Times New Roman"/>
          <w:b/>
          <w:sz w:val="16"/>
          <w:szCs w:val="16"/>
          <w:vertAlign w:val="subscript"/>
          <w:lang w:val="en-US" w:eastAsia="ru-RU"/>
        </w:rPr>
        <w:t>s</w:t>
      </w:r>
      <w:r w:rsidR="00AF30C1" w:rsidRPr="00822A0B">
        <w:rPr>
          <w:rFonts w:ascii="Times New Roman" w:eastAsia="Times New Roman" w:hAnsi="Times New Roman" w:cs="Times New Roman"/>
          <w:b/>
          <w:sz w:val="16"/>
          <w:szCs w:val="16"/>
          <w:vertAlign w:val="subscript"/>
          <w:lang w:val="en-US" w:eastAsia="ru-RU"/>
        </w:rPr>
        <w:t>il</w:t>
      </w:r>
      <w:proofErr w:type="spellEnd"/>
      <w:r w:rsidRPr="00822A0B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is the t</w:t>
      </w:r>
      <w:r w:rsidR="00FA4385" w:rsidRPr="00822A0B">
        <w:rPr>
          <w:rFonts w:ascii="Times New Roman" w:hAnsi="Times New Roman" w:cs="Times New Roman"/>
          <w:bCs/>
          <w:sz w:val="16"/>
          <w:szCs w:val="16"/>
          <w:lang w:val="en-US"/>
        </w:rPr>
        <w:t>o</w:t>
      </w:r>
      <w:r w:rsidRPr="00822A0B">
        <w:rPr>
          <w:rFonts w:ascii="Times New Roman" w:hAnsi="Times New Roman" w:cs="Times New Roman"/>
          <w:bCs/>
          <w:sz w:val="16"/>
          <w:szCs w:val="16"/>
          <w:lang w:val="en-US"/>
        </w:rPr>
        <w:t>tal content of the siloxane, including terminal groups after the network formation.</w:t>
      </w:r>
    </w:p>
    <w:p w14:paraId="17324358" w14:textId="77777777" w:rsidR="00AF30C1" w:rsidRPr="00822A0B" w:rsidRDefault="00AF30C1" w:rsidP="00AF30C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  <w:sectPr w:rsidR="00AF30C1" w:rsidRPr="00822A0B" w:rsidSect="00AF30C1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7E4E48C1" w14:textId="77777777" w:rsidR="00780AA3" w:rsidRPr="00822A0B" w:rsidRDefault="009C6A52" w:rsidP="007F4F7F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22A0B">
        <w:rPr>
          <w:rFonts w:ascii="Times New Roman" w:hAnsi="Times New Roman" w:cs="Times New Roman"/>
          <w:i/>
          <w:sz w:val="18"/>
          <w:szCs w:val="18"/>
          <w:lang w:val="en-US"/>
        </w:rPr>
        <w:t>δ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= 19.2 (MPa)</w:t>
      </w:r>
      <w:r w:rsidRPr="00822A0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0.5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oligodimethylsiloxane</w:t>
      </w:r>
      <w:proofErr w:type="spellEnd"/>
      <w:r w:rsidR="00047672" w:rsidRPr="00822A0B">
        <w:rPr>
          <w:rFonts w:ascii="Times New Roman" w:hAnsi="Times New Roman" w:cs="Times New Roman"/>
          <w:sz w:val="18"/>
          <w:szCs w:val="18"/>
          <w:lang w:val="en-US"/>
        </w:rPr>
        <w:t>: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780AA3" w:rsidRPr="00822A0B">
        <w:rPr>
          <w:rFonts w:ascii="Times New Roman" w:hAnsi="Times New Roman" w:cs="Times New Roman"/>
          <w:i/>
          <w:sz w:val="18"/>
          <w:szCs w:val="18"/>
          <w:lang w:val="en-US"/>
        </w:rPr>
        <w:t>δ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= 14.6 (MPa)</w:t>
      </w:r>
      <w:r w:rsidR="00780AA3" w:rsidRPr="00822A0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0.5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[6]</w:t>
      </w:r>
      <w:r w:rsidR="00047672" w:rsidRPr="00822A0B">
        <w:rPr>
          <w:rFonts w:ascii="Times New Roman" w:hAnsi="Times New Roman" w:cs="Times New Roman"/>
          <w:sz w:val="18"/>
          <w:szCs w:val="18"/>
          <w:lang w:val="en-US"/>
        </w:rPr>
        <w:t>). For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all</w:t>
      </w:r>
      <w:r w:rsidR="00047672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the resulting </w:t>
      </w:r>
      <w:proofErr w:type="spellStart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PSBOUUrs</w:t>
      </w:r>
      <w:proofErr w:type="spellEnd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, two glass transition temperatures were observed, indicating the formation of two-phase systems. Some discrepancy between </w:t>
      </w:r>
      <w:r w:rsidR="001229EB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the values of </w:t>
      </w:r>
      <w:proofErr w:type="spellStart"/>
      <w:r w:rsidR="00780AA3" w:rsidRPr="00822A0B">
        <w:rPr>
          <w:rFonts w:ascii="Times New Roman" w:hAnsi="Times New Roman" w:cs="Times New Roman"/>
          <w:i/>
          <w:sz w:val="18"/>
          <w:szCs w:val="18"/>
          <w:lang w:val="en-US"/>
        </w:rPr>
        <w:t>T</w:t>
      </w:r>
      <w:r w:rsidR="00780AA3" w:rsidRPr="00822A0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g</w:t>
      </w:r>
      <w:proofErr w:type="spellEnd"/>
      <w:r w:rsidR="00047672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1229EB" w:rsidRPr="00822A0B">
        <w:rPr>
          <w:rFonts w:ascii="Times New Roman" w:hAnsi="Times New Roman" w:cs="Times New Roman"/>
          <w:sz w:val="18"/>
          <w:szCs w:val="18"/>
          <w:lang w:val="en-US"/>
        </w:rPr>
        <w:t>of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PSBOUUrs</w:t>
      </w:r>
      <w:proofErr w:type="spellEnd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and model polymers is </w:t>
      </w:r>
      <w:r w:rsidR="00047672" w:rsidRPr="00822A0B">
        <w:rPr>
          <w:rFonts w:ascii="Times New Roman" w:hAnsi="Times New Roman" w:cs="Times New Roman"/>
          <w:sz w:val="18"/>
          <w:szCs w:val="18"/>
          <w:lang w:val="en-US"/>
        </w:rPr>
        <w:t>likely to be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due to the </w:t>
      </w:r>
      <w:r w:rsidR="00047672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effect 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of several factors, which include </w:t>
      </w:r>
      <w:r w:rsidR="00047672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phase mixing and</w:t>
      </w:r>
      <w:r w:rsidR="00047672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presence of a chemical network.</w:t>
      </w:r>
    </w:p>
    <w:p w14:paraId="1C4A0063" w14:textId="409C7D81" w:rsidR="00047672" w:rsidRPr="00822A0B" w:rsidRDefault="00047672" w:rsidP="009C6A5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From the </w:t>
      </w:r>
      <w:r w:rsidR="00883BD1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results of </w:t>
      </w:r>
      <w:r w:rsidR="00212638" w:rsidRPr="00822A0B">
        <w:rPr>
          <w:rFonts w:ascii="Times New Roman" w:hAnsi="Times New Roman" w:cs="Times New Roman"/>
          <w:sz w:val="18"/>
          <w:szCs w:val="18"/>
          <w:lang w:val="en-US"/>
        </w:rPr>
        <w:t>atomic force and optical microscopy studies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(Fig</w:t>
      </w:r>
      <w:r w:rsidR="00883BD1" w:rsidRPr="00822A0B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. 1</w:t>
      </w:r>
      <w:r w:rsidR="00883BD1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S3</w:t>
      </w:r>
      <w:r w:rsidR="00883BD1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in the ESI</w:t>
      </w:r>
      <w:r w:rsidR="00212638" w:rsidRPr="00822A0B">
        <w:rPr>
          <w:rFonts w:ascii="Times New Roman" w:hAnsi="Times New Roman" w:cs="Times New Roman"/>
          <w:sz w:val="18"/>
          <w:szCs w:val="18"/>
          <w:lang w:val="en-US"/>
        </w:rPr>
        <w:t>, respectively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), it is evident that PSBOUUr1 obtained from a solution in methyl ethyl ketone (MEK) exhibits a large relief and aggregates, the sizes of which can reach several microns or more.</w:t>
      </w:r>
    </w:p>
    <w:p w14:paraId="5DFD9B92" w14:textId="77777777" w:rsidR="00780AA3" w:rsidRPr="00822A0B" w:rsidRDefault="00047672" w:rsidP="00780AA3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Vshivkov </w:t>
      </w:r>
      <w:r w:rsidRPr="00822A0B">
        <w:rPr>
          <w:rFonts w:ascii="Times New Roman" w:hAnsi="Times New Roman" w:cs="Times New Roman"/>
          <w:i/>
          <w:sz w:val="18"/>
          <w:szCs w:val="18"/>
          <w:lang w:val="en-US"/>
        </w:rPr>
        <w:t>et al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. [7]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found that polydimethylsiloxane forms </w:t>
      </w:r>
      <w:proofErr w:type="gramStart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associates</w:t>
      </w:r>
      <w:proofErr w:type="gramEnd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in MEK. This can promote gelation in solutions and lead to the formation of heterogeneous samples. To prevent gelation, hexane, which is a good solvent for polydimethylsiloxane, was used in the synthesis 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[8]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. The prepolymer was dissolved in MEK, and the </w:t>
      </w:r>
      <w:proofErr w:type="spellStart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oligodiamine</w:t>
      </w:r>
      <w:proofErr w:type="spellEnd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was dissolved in hexane. In </w:t>
      </w:r>
      <w:proofErr w:type="spellStart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PSBOUUrs</w:t>
      </w:r>
      <w:proofErr w:type="spellEnd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solutions, the ratio of MEK to hexane was 1:1 </w:t>
      </w:r>
      <w:r w:rsidR="008C0FAA" w:rsidRPr="00822A0B">
        <w:rPr>
          <w:rFonts w:ascii="Times New Roman" w:hAnsi="Times New Roman" w:cs="Times New Roman"/>
          <w:sz w:val="18"/>
          <w:szCs w:val="18"/>
          <w:lang w:val="en-US"/>
        </w:rPr>
        <w:t>(v/v)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. The addition of hexane </w:t>
      </w:r>
      <w:r w:rsidR="008C0FAA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afforded 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homogeneous films with microphase separation and</w:t>
      </w:r>
      <w:r w:rsidR="008C0FAA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led to an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increase</w:t>
      </w:r>
      <w:r w:rsidR="008C0FAA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in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the relative elongation at break</w:t>
      </w:r>
      <w:r w:rsidR="008C0FAA" w:rsidRPr="00822A0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546266C" w14:textId="77777777" w:rsidR="009C6A52" w:rsidRPr="00822A0B" w:rsidRDefault="009C6A52" w:rsidP="009C6A52">
      <w:pPr>
        <w:spacing w:before="200" w:after="120"/>
        <w:jc w:val="center"/>
        <w:rPr>
          <w:rFonts w:ascii="Times New Roman" w:hAnsi="Times New Roman" w:cs="Times New Roman"/>
          <w:b/>
          <w:sz w:val="18"/>
          <w:szCs w:val="16"/>
          <w:lang w:val="en-US"/>
        </w:rPr>
      </w:pPr>
      <w:r w:rsidRPr="00822A0B">
        <w:rPr>
          <w:rFonts w:ascii="Times New Roman" w:hAnsi="Times New Roman" w:cs="Times New Roman"/>
          <w:b/>
          <w:noProof/>
          <w:sz w:val="18"/>
          <w:szCs w:val="16"/>
          <w:lang w:eastAsia="ru-RU"/>
        </w:rPr>
        <w:drawing>
          <wp:inline distT="0" distB="0" distL="0" distR="0" wp14:anchorId="6476FBB9" wp14:editId="43A3C9D7">
            <wp:extent cx="2447985" cy="2376000"/>
            <wp:effectExtent l="19050" t="0" r="9465" b="0"/>
            <wp:docPr id="6" name="Рисунок 12" descr="C:\Users\Pavel\AppData\Local\Microsoft\Windows\INetCache\Content.Word\io39NC_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vel\AppData\Local\Microsoft\Windows\INetCache\Content.Word\io39NC_fig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85" cy="23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CFD23" w14:textId="77777777" w:rsidR="009C6A52" w:rsidRPr="00822A0B" w:rsidRDefault="009C6A52" w:rsidP="009C6A52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22A0B">
        <w:rPr>
          <w:rFonts w:ascii="Times New Roman" w:hAnsi="Times New Roman" w:cs="Times New Roman"/>
          <w:b/>
          <w:sz w:val="16"/>
          <w:szCs w:val="16"/>
          <w:lang w:val="en-US"/>
        </w:rPr>
        <w:t xml:space="preserve">Figure. 1. 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AFM images of </w:t>
      </w:r>
      <w:proofErr w:type="spellStart"/>
      <w:r w:rsidRPr="00822A0B">
        <w:rPr>
          <w:rFonts w:ascii="Times New Roman" w:hAnsi="Times New Roman" w:cs="Times New Roman"/>
          <w:sz w:val="16"/>
          <w:szCs w:val="16"/>
          <w:lang w:val="en-US"/>
        </w:rPr>
        <w:t>PSBOUUrs</w:t>
      </w:r>
      <w:proofErr w:type="spellEnd"/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822A0B">
        <w:rPr>
          <w:rFonts w:ascii="Times New Roman" w:hAnsi="Times New Roman" w:cs="Times New Roman"/>
          <w:b/>
          <w:sz w:val="16"/>
          <w:szCs w:val="16"/>
          <w:lang w:val="en-US"/>
        </w:rPr>
        <w:t xml:space="preserve">1 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822A0B">
        <w:rPr>
          <w:rFonts w:ascii="Times New Roman" w:hAnsi="Times New Roman" w:cs="Times New Roman"/>
          <w:b/>
          <w:i/>
          <w:sz w:val="16"/>
          <w:szCs w:val="16"/>
          <w:lang w:val="en-US"/>
        </w:rPr>
        <w:t>a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), </w:t>
      </w:r>
      <w:r w:rsidRPr="00822A0B">
        <w:rPr>
          <w:rFonts w:ascii="Times New Roman" w:hAnsi="Times New Roman" w:cs="Times New Roman"/>
          <w:b/>
          <w:sz w:val="16"/>
          <w:szCs w:val="16"/>
          <w:lang w:val="en-US"/>
        </w:rPr>
        <w:t>2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822A0B">
        <w:rPr>
          <w:rFonts w:ascii="Times New Roman" w:hAnsi="Times New Roman" w:cs="Times New Roman"/>
          <w:b/>
          <w:i/>
          <w:sz w:val="16"/>
          <w:szCs w:val="16"/>
          <w:lang w:val="en-US"/>
        </w:rPr>
        <w:t>b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), </w:t>
      </w:r>
      <w:r w:rsidRPr="00822A0B">
        <w:rPr>
          <w:rFonts w:ascii="Times New Roman" w:hAnsi="Times New Roman" w:cs="Times New Roman"/>
          <w:b/>
          <w:sz w:val="16"/>
          <w:szCs w:val="16"/>
          <w:lang w:val="en-US"/>
        </w:rPr>
        <w:t>3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822A0B">
        <w:rPr>
          <w:rFonts w:ascii="Times New Roman" w:hAnsi="Times New Roman" w:cs="Times New Roman"/>
          <w:b/>
          <w:i/>
          <w:sz w:val="16"/>
          <w:szCs w:val="16"/>
          <w:lang w:val="en-US"/>
        </w:rPr>
        <w:t>c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), </w:t>
      </w:r>
      <w:r w:rsidRPr="00822A0B">
        <w:rPr>
          <w:rFonts w:ascii="Times New Roman" w:hAnsi="Times New Roman" w:cs="Times New Roman"/>
          <w:b/>
          <w:sz w:val="16"/>
          <w:szCs w:val="16"/>
          <w:lang w:val="en-US"/>
        </w:rPr>
        <w:t>4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822A0B">
        <w:rPr>
          <w:rFonts w:ascii="Times New Roman" w:hAnsi="Times New Roman" w:cs="Times New Roman"/>
          <w:b/>
          <w:i/>
          <w:sz w:val="16"/>
          <w:szCs w:val="16"/>
          <w:lang w:val="en-US"/>
        </w:rPr>
        <w:t>d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>).</w:t>
      </w:r>
    </w:p>
    <w:p w14:paraId="71C803E0" w14:textId="77777777" w:rsidR="00F376FB" w:rsidRPr="00822A0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22A0B">
        <w:rPr>
          <w:rFonts w:ascii="Arial" w:hAnsi="Arial" w:cs="Arial"/>
          <w:b/>
          <w:lang w:val="en-US"/>
        </w:rPr>
        <w:t>Conclusions</w:t>
      </w:r>
    </w:p>
    <w:p w14:paraId="21499240" w14:textId="77777777" w:rsidR="00F94740" w:rsidRPr="00822A0B" w:rsidRDefault="008C0FAA" w:rsidP="00A231B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22A0B">
        <w:rPr>
          <w:rFonts w:ascii="Times New Roman" w:hAnsi="Times New Roman" w:cs="Times New Roman"/>
          <w:sz w:val="18"/>
          <w:szCs w:val="18"/>
          <w:lang w:val="en-US"/>
        </w:rPr>
        <w:t>Hence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, polysiloxane</w:t>
      </w:r>
      <w:proofErr w:type="gramStart"/>
      <w:r w:rsidRPr="00822A0B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butylene oxide)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urethane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–</w:t>
      </w:r>
      <w:proofErr w:type="spellStart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urea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s</w:t>
      </w:r>
      <w:proofErr w:type="spellEnd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and model polybutylene oxide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urethanes were synthesized in the presence of </w:t>
      </w:r>
      <w:proofErr w:type="gramStart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Bi(</w:t>
      </w:r>
      <w:proofErr w:type="gramEnd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III) </w:t>
      </w:r>
      <w:proofErr w:type="spellStart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neodecanoate</w:t>
      </w:r>
      <w:proofErr w:type="spellEnd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used 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as a catalyst. It was shown that the introduction of the </w:t>
      </w:r>
      <w:proofErr w:type="spellStart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oligobutylene</w:t>
      </w:r>
      <w:proofErr w:type="spellEnd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oxide block improves the mechanical characteristics compared to the model polysiloxane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urea with the same length of the siloxane 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moiety</w:t>
      </w:r>
      <w:r w:rsidR="0072397F" w:rsidRPr="00822A0B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72397F" w:rsidRPr="00822A0B">
        <w:rPr>
          <w:rFonts w:ascii="Times New Roman" w:hAnsi="Times New Roman" w:cs="Times New Roman"/>
          <w:sz w:val="18"/>
          <w:szCs w:val="18"/>
          <w:lang w:val="en-US"/>
        </w:rPr>
        <w:br w:type="column"/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T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he 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>resulting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PSBOUUrs</w:t>
      </w:r>
      <w:proofErr w:type="spellEnd"/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were found to feature 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two glass transition temperatures, </w:t>
      </w:r>
      <w:r w:rsidR="008544BA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which 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indicat</w:t>
      </w:r>
      <w:r w:rsidR="008544BA" w:rsidRPr="00822A0B">
        <w:rPr>
          <w:rFonts w:ascii="Times New Roman" w:hAnsi="Times New Roman" w:cs="Times New Roman"/>
          <w:sz w:val="18"/>
          <w:szCs w:val="18"/>
          <w:lang w:val="en-US"/>
        </w:rPr>
        <w:t xml:space="preserve">es </w:t>
      </w:r>
      <w:r w:rsidR="00780AA3" w:rsidRPr="00822A0B">
        <w:rPr>
          <w:rFonts w:ascii="Times New Roman" w:hAnsi="Times New Roman" w:cs="Times New Roman"/>
          <w:sz w:val="18"/>
          <w:szCs w:val="18"/>
          <w:lang w:val="en-US"/>
        </w:rPr>
        <w:t>the formation of two phases. The effect of the solvent on the surface morphology was detected by AFM.</w:t>
      </w:r>
    </w:p>
    <w:p w14:paraId="1E7C6E0E" w14:textId="77777777" w:rsidR="00F94740" w:rsidRPr="00822A0B" w:rsidRDefault="00F94740" w:rsidP="00F94740">
      <w:pPr>
        <w:pStyle w:val="Header1"/>
        <w:spacing w:before="240" w:after="240"/>
      </w:pPr>
      <w:r w:rsidRPr="00822A0B">
        <w:t>Acknowledgements</w:t>
      </w:r>
    </w:p>
    <w:p w14:paraId="2696C988" w14:textId="77777777" w:rsidR="008C0FAA" w:rsidRPr="00822A0B" w:rsidRDefault="008C0FAA" w:rsidP="00780AA3">
      <w:pPr>
        <w:pStyle w:val="MainText"/>
        <w:ind w:firstLine="284"/>
      </w:pPr>
      <w:r w:rsidRPr="00822A0B">
        <w:t>This work was supported by the Ministry of Science and Higher Education of the Russian Federation (agreement no. 075-00276-25-00) using the equipment of the Center for Collective Use of INEOS RAS.</w:t>
      </w:r>
    </w:p>
    <w:p w14:paraId="01BE33F6" w14:textId="4E87966E" w:rsidR="00F94740" w:rsidRPr="00822A0B" w:rsidRDefault="00780AA3" w:rsidP="00780AA3">
      <w:pPr>
        <w:pStyle w:val="MainText"/>
        <w:ind w:firstLine="284"/>
      </w:pPr>
      <w:r w:rsidRPr="00822A0B">
        <w:t>The authors</w:t>
      </w:r>
      <w:r w:rsidR="008C0FAA" w:rsidRPr="00822A0B">
        <w:t xml:space="preserve"> are grateful to </w:t>
      </w:r>
      <w:r w:rsidRPr="00822A0B">
        <w:t>L</w:t>
      </w:r>
      <w:r w:rsidR="008C0FAA" w:rsidRPr="00822A0B">
        <w:t>.</w:t>
      </w:r>
      <w:r w:rsidRPr="00822A0B">
        <w:t xml:space="preserve"> I</w:t>
      </w:r>
      <w:r w:rsidR="008C0FAA" w:rsidRPr="00822A0B">
        <w:t xml:space="preserve">. Makarova, </w:t>
      </w:r>
      <w:r w:rsidRPr="00822A0B">
        <w:t>O. V. Sin</w:t>
      </w:r>
      <w:r w:rsidR="008C0FAA" w:rsidRPr="00822A0B">
        <w:t xml:space="preserve">itsyna, and </w:t>
      </w:r>
      <w:r w:rsidRPr="00822A0B">
        <w:t xml:space="preserve">I. V. Yaminsky for </w:t>
      </w:r>
      <w:r w:rsidR="008C0FAA" w:rsidRPr="00822A0B">
        <w:t>fruitful discussions</w:t>
      </w:r>
      <w:r w:rsidRPr="00822A0B">
        <w:t>.</w:t>
      </w:r>
    </w:p>
    <w:p w14:paraId="78DC17C4" w14:textId="77777777" w:rsidR="00F86864" w:rsidRPr="00822A0B" w:rsidRDefault="00F86864" w:rsidP="00161894">
      <w:pPr>
        <w:pStyle w:val="Header1"/>
        <w:spacing w:before="240" w:after="240"/>
      </w:pPr>
      <w:r w:rsidRPr="00822A0B">
        <w:t xml:space="preserve">Corresponding </w:t>
      </w:r>
      <w:r w:rsidR="005C7369" w:rsidRPr="00822A0B">
        <w:t>a</w:t>
      </w:r>
      <w:r w:rsidRPr="00822A0B">
        <w:t>uthor</w:t>
      </w:r>
    </w:p>
    <w:p w14:paraId="2E88AB46" w14:textId="77777777" w:rsidR="00F86864" w:rsidRPr="00822A0B" w:rsidRDefault="00F86864" w:rsidP="00071D12">
      <w:pPr>
        <w:pStyle w:val="MainText"/>
        <w:ind w:firstLine="284"/>
      </w:pPr>
      <w:r w:rsidRPr="00822A0B">
        <w:t>*</w:t>
      </w:r>
      <w:r w:rsidR="00780AA3" w:rsidRPr="00822A0B">
        <w:t xml:space="preserve"> E-mail: lufilia@inbox.ru (L. V. Filimonova).</w:t>
      </w:r>
    </w:p>
    <w:p w14:paraId="4C1F6A94" w14:textId="77777777" w:rsidR="00161894" w:rsidRPr="00822A0B" w:rsidRDefault="00161894" w:rsidP="00161894">
      <w:pPr>
        <w:pStyle w:val="Header1"/>
        <w:spacing w:before="240" w:after="240"/>
      </w:pPr>
      <w:r w:rsidRPr="00822A0B">
        <w:t>Electronic supplementary information</w:t>
      </w:r>
    </w:p>
    <w:p w14:paraId="6C489AE9" w14:textId="5DDC72C6" w:rsidR="00161894" w:rsidRPr="00822A0B" w:rsidRDefault="00780AA3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822A0B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</w:t>
      </w:r>
      <w:r w:rsidR="00AF30C1" w:rsidRPr="00822A0B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Pr="00822A0B">
        <w:rPr>
          <w:rFonts w:ascii="Times New Roman" w:hAnsi="Times New Roman" w:cs="Times New Roman"/>
          <w:b w:val="0"/>
          <w:bCs/>
          <w:sz w:val="18"/>
          <w:szCs w:val="18"/>
        </w:rPr>
        <w:t xml:space="preserve">experimental section, </w:t>
      </w:r>
      <w:r w:rsidR="00210F3E" w:rsidRPr="00822A0B">
        <w:rPr>
          <w:rFonts w:ascii="Times New Roman" w:hAnsi="Times New Roman" w:cs="Times New Roman"/>
          <w:b w:val="0"/>
          <w:bCs/>
          <w:sz w:val="18"/>
          <w:szCs w:val="18"/>
        </w:rPr>
        <w:t>GPC data for</w:t>
      </w:r>
      <w:r w:rsidR="008C0FAA" w:rsidRPr="00822A0B">
        <w:rPr>
          <w:rFonts w:ascii="Times New Roman" w:hAnsi="Times New Roman" w:cs="Times New Roman"/>
          <w:b w:val="0"/>
          <w:bCs/>
          <w:sz w:val="18"/>
          <w:szCs w:val="18"/>
        </w:rPr>
        <w:t xml:space="preserve"> the model polyurethanes, IR </w:t>
      </w:r>
      <w:r w:rsidRPr="00822A0B">
        <w:rPr>
          <w:rFonts w:ascii="Times New Roman" w:hAnsi="Times New Roman" w:cs="Times New Roman"/>
          <w:b w:val="0"/>
          <w:bCs/>
          <w:sz w:val="18"/>
          <w:szCs w:val="18"/>
        </w:rPr>
        <w:t xml:space="preserve">spectrum of </w:t>
      </w:r>
      <w:r w:rsidR="008C0FAA" w:rsidRPr="00822A0B">
        <w:rPr>
          <w:rFonts w:ascii="Times New Roman" w:hAnsi="Times New Roman" w:cs="Times New Roman"/>
          <w:b w:val="0"/>
          <w:bCs/>
          <w:sz w:val="18"/>
          <w:szCs w:val="18"/>
        </w:rPr>
        <w:t>the pre</w:t>
      </w:r>
      <w:r w:rsidRPr="00822A0B">
        <w:rPr>
          <w:rFonts w:ascii="Times New Roman" w:hAnsi="Times New Roman" w:cs="Times New Roman"/>
          <w:b w:val="0"/>
          <w:bCs/>
          <w:sz w:val="18"/>
          <w:szCs w:val="18"/>
        </w:rPr>
        <w:t>polymer, optical micrographs</w:t>
      </w:r>
      <w:r w:rsidR="00161894" w:rsidRPr="00822A0B">
        <w:rPr>
          <w:rFonts w:ascii="Times New Roman" w:hAnsi="Times New Roman" w:cs="Times New Roman"/>
          <w:b w:val="0"/>
          <w:sz w:val="18"/>
          <w:szCs w:val="18"/>
        </w:rPr>
        <w:t>.</w:t>
      </w:r>
      <w:r w:rsidR="00AF30C1" w:rsidRPr="00822A0B">
        <w:rPr>
          <w:rFonts w:ascii="Times New Roman" w:hAnsi="Times New Roman" w:cs="Times New Roman"/>
          <w:b w:val="0"/>
          <w:sz w:val="18"/>
          <w:szCs w:val="18"/>
        </w:rPr>
        <w:t xml:space="preserve"> For ESI, see DOI: 10.32931/io</w:t>
      </w:r>
      <w:r w:rsidR="004E5991" w:rsidRPr="00822A0B">
        <w:rPr>
          <w:rFonts w:ascii="Times New Roman" w:hAnsi="Times New Roman" w:cs="Times New Roman"/>
          <w:b w:val="0"/>
          <w:sz w:val="18"/>
          <w:szCs w:val="18"/>
        </w:rPr>
        <w:t>2539a</w:t>
      </w:r>
      <w:r w:rsidR="00AF30C1" w:rsidRPr="00822A0B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386BD31B" w14:textId="77777777" w:rsidR="00F94740" w:rsidRPr="00822A0B" w:rsidRDefault="00AF30C1" w:rsidP="00161894">
      <w:pPr>
        <w:pStyle w:val="Header1"/>
        <w:spacing w:before="240" w:after="240"/>
      </w:pPr>
      <w:r w:rsidRPr="00822A0B">
        <w:t>References</w:t>
      </w:r>
    </w:p>
    <w:p w14:paraId="1B8E9365" w14:textId="6CEF9C3A" w:rsidR="00AF30C1" w:rsidRPr="00822A0B" w:rsidRDefault="00AF30C1" w:rsidP="00AF30C1">
      <w:pPr>
        <w:pStyle w:val="References"/>
        <w:suppressAutoHyphens/>
        <w:autoSpaceDE/>
        <w:autoSpaceDN/>
        <w:adjustRightInd/>
        <w:spacing w:line="264" w:lineRule="auto"/>
        <w:ind w:left="454" w:hanging="454"/>
        <w:rPr>
          <w:sz w:val="16"/>
          <w:szCs w:val="16"/>
        </w:rPr>
      </w:pPr>
      <w:r w:rsidRPr="00822A0B">
        <w:rPr>
          <w:sz w:val="16"/>
          <w:szCs w:val="16"/>
        </w:rPr>
        <w:t>1.</w:t>
      </w:r>
      <w:r w:rsidRPr="00822A0B">
        <w:rPr>
          <w:sz w:val="16"/>
          <w:szCs w:val="16"/>
        </w:rPr>
        <w:tab/>
        <w:t>M.</w:t>
      </w:r>
      <w:r w:rsidR="00E95D06" w:rsidRPr="00822A0B">
        <w:rPr>
          <w:sz w:val="16"/>
          <w:szCs w:val="16"/>
        </w:rPr>
        <w:t xml:space="preserve"> </w:t>
      </w:r>
      <w:r w:rsidRPr="00822A0B">
        <w:rPr>
          <w:sz w:val="16"/>
          <w:szCs w:val="16"/>
        </w:rPr>
        <w:t>F.</w:t>
      </w:r>
      <w:r w:rsidR="00656586" w:rsidRPr="00822A0B">
        <w:rPr>
          <w:sz w:val="16"/>
          <w:szCs w:val="16"/>
        </w:rPr>
        <w:t xml:space="preserve"> </w:t>
      </w:r>
      <w:r w:rsidRPr="00822A0B">
        <w:rPr>
          <w:sz w:val="16"/>
          <w:szCs w:val="16"/>
        </w:rPr>
        <w:t>Sonnenschein</w:t>
      </w:r>
      <w:r w:rsidR="00E95D06" w:rsidRPr="00822A0B">
        <w:rPr>
          <w:sz w:val="16"/>
          <w:szCs w:val="16"/>
        </w:rPr>
        <w:t>,</w:t>
      </w:r>
      <w:r w:rsidRPr="00822A0B">
        <w:rPr>
          <w:sz w:val="16"/>
          <w:szCs w:val="16"/>
        </w:rPr>
        <w:t xml:space="preserve"> </w:t>
      </w:r>
      <w:r w:rsidRPr="00822A0B">
        <w:rPr>
          <w:i/>
          <w:iCs/>
          <w:sz w:val="16"/>
          <w:szCs w:val="16"/>
        </w:rPr>
        <w:t>Polyurethanes. Science</w:t>
      </w:r>
      <w:r w:rsidRPr="00822A0B">
        <w:rPr>
          <w:sz w:val="16"/>
          <w:szCs w:val="16"/>
        </w:rPr>
        <w:t>,</w:t>
      </w:r>
      <w:r w:rsidRPr="00822A0B">
        <w:rPr>
          <w:i/>
          <w:iCs/>
          <w:sz w:val="16"/>
          <w:szCs w:val="16"/>
        </w:rPr>
        <w:t xml:space="preserve"> Technology</w:t>
      </w:r>
      <w:r w:rsidRPr="00822A0B">
        <w:rPr>
          <w:sz w:val="16"/>
          <w:szCs w:val="16"/>
        </w:rPr>
        <w:t xml:space="preserve">, </w:t>
      </w:r>
      <w:r w:rsidRPr="00822A0B">
        <w:rPr>
          <w:i/>
          <w:iCs/>
          <w:sz w:val="16"/>
          <w:szCs w:val="16"/>
        </w:rPr>
        <w:t>Markets</w:t>
      </w:r>
      <w:r w:rsidRPr="00822A0B">
        <w:rPr>
          <w:sz w:val="16"/>
          <w:szCs w:val="16"/>
        </w:rPr>
        <w:t xml:space="preserve">, </w:t>
      </w:r>
      <w:r w:rsidRPr="00822A0B">
        <w:rPr>
          <w:i/>
          <w:iCs/>
          <w:sz w:val="16"/>
          <w:szCs w:val="16"/>
        </w:rPr>
        <w:t>and Trends</w:t>
      </w:r>
      <w:r w:rsidR="00E95D06" w:rsidRPr="00822A0B">
        <w:rPr>
          <w:sz w:val="16"/>
          <w:szCs w:val="16"/>
        </w:rPr>
        <w:t>,</w:t>
      </w:r>
      <w:r w:rsidRPr="00822A0B">
        <w:rPr>
          <w:sz w:val="16"/>
          <w:szCs w:val="16"/>
        </w:rPr>
        <w:t xml:space="preserve"> Wiley, </w:t>
      </w:r>
      <w:r w:rsidR="00212638" w:rsidRPr="00822A0B">
        <w:rPr>
          <w:sz w:val="16"/>
          <w:szCs w:val="16"/>
        </w:rPr>
        <w:t xml:space="preserve">Hoboken, </w:t>
      </w:r>
      <w:r w:rsidRPr="00822A0B">
        <w:rPr>
          <w:b/>
          <w:bCs/>
          <w:sz w:val="16"/>
          <w:szCs w:val="16"/>
        </w:rPr>
        <w:t>2015</w:t>
      </w:r>
      <w:r w:rsidRPr="00822A0B">
        <w:rPr>
          <w:sz w:val="16"/>
          <w:szCs w:val="16"/>
        </w:rPr>
        <w:t>.</w:t>
      </w:r>
      <w:r w:rsidR="00656586" w:rsidRPr="00822A0B">
        <w:rPr>
          <w:sz w:val="16"/>
          <w:szCs w:val="16"/>
        </w:rPr>
        <w:t xml:space="preserve"> DOI: 10.1002/9781118901274</w:t>
      </w:r>
    </w:p>
    <w:p w14:paraId="47B94256" w14:textId="77777777" w:rsidR="00AF30C1" w:rsidRPr="00822A0B" w:rsidRDefault="00AF30C1" w:rsidP="00AF30C1">
      <w:pPr>
        <w:pStyle w:val="References"/>
        <w:suppressAutoHyphens/>
        <w:autoSpaceDE/>
        <w:autoSpaceDN/>
        <w:adjustRightInd/>
        <w:spacing w:line="264" w:lineRule="auto"/>
        <w:ind w:left="454" w:hanging="454"/>
        <w:rPr>
          <w:sz w:val="16"/>
          <w:szCs w:val="16"/>
        </w:rPr>
      </w:pPr>
      <w:r w:rsidRPr="00822A0B">
        <w:rPr>
          <w:sz w:val="16"/>
          <w:szCs w:val="16"/>
        </w:rPr>
        <w:t>2.</w:t>
      </w:r>
      <w:r w:rsidRPr="00822A0B">
        <w:rPr>
          <w:sz w:val="16"/>
          <w:szCs w:val="16"/>
        </w:rPr>
        <w:tab/>
      </w:r>
      <w:r w:rsidR="00475F67" w:rsidRPr="00822A0B">
        <w:rPr>
          <w:sz w:val="16"/>
          <w:szCs w:val="16"/>
        </w:rPr>
        <w:t>AU</w:t>
      </w:r>
      <w:r w:rsidRPr="00822A0B">
        <w:rPr>
          <w:sz w:val="16"/>
          <w:szCs w:val="16"/>
        </w:rPr>
        <w:t xml:space="preserve"> Patent 779389B2, </w:t>
      </w:r>
      <w:r w:rsidRPr="00822A0B">
        <w:rPr>
          <w:b/>
          <w:bCs/>
          <w:sz w:val="16"/>
          <w:szCs w:val="16"/>
        </w:rPr>
        <w:t>2000</w:t>
      </w:r>
      <w:r w:rsidRPr="00822A0B">
        <w:rPr>
          <w:sz w:val="16"/>
          <w:szCs w:val="16"/>
        </w:rPr>
        <w:t>.</w:t>
      </w:r>
    </w:p>
    <w:p w14:paraId="2932C35F" w14:textId="77777777" w:rsidR="00AF30C1" w:rsidRPr="00822A0B" w:rsidRDefault="00AF30C1" w:rsidP="00AF30C1">
      <w:pPr>
        <w:pStyle w:val="References"/>
        <w:suppressAutoHyphens/>
        <w:autoSpaceDE/>
        <w:autoSpaceDN/>
        <w:adjustRightInd/>
        <w:spacing w:line="264" w:lineRule="auto"/>
        <w:ind w:left="454" w:hanging="454"/>
        <w:rPr>
          <w:sz w:val="16"/>
          <w:szCs w:val="16"/>
        </w:rPr>
      </w:pPr>
      <w:r w:rsidRPr="00822A0B">
        <w:rPr>
          <w:sz w:val="16"/>
          <w:szCs w:val="16"/>
        </w:rPr>
        <w:t>3.</w:t>
      </w:r>
      <w:r w:rsidRPr="00822A0B">
        <w:rPr>
          <w:sz w:val="16"/>
          <w:szCs w:val="16"/>
        </w:rPr>
        <w:tab/>
      </w:r>
      <w:r w:rsidR="00475F67" w:rsidRPr="00822A0B">
        <w:rPr>
          <w:sz w:val="16"/>
          <w:szCs w:val="16"/>
        </w:rPr>
        <w:t xml:space="preserve">D. Guhl, </w:t>
      </w:r>
      <w:r w:rsidR="00475F67" w:rsidRPr="00822A0B">
        <w:rPr>
          <w:i/>
          <w:sz w:val="16"/>
          <w:szCs w:val="16"/>
        </w:rPr>
        <w:t>Proc.</w:t>
      </w:r>
      <w:r w:rsidRPr="00822A0B">
        <w:rPr>
          <w:sz w:val="16"/>
          <w:szCs w:val="16"/>
        </w:rPr>
        <w:t xml:space="preserve"> </w:t>
      </w:r>
      <w:r w:rsidRPr="00822A0B">
        <w:rPr>
          <w:i/>
          <w:iCs/>
          <w:sz w:val="16"/>
          <w:szCs w:val="16"/>
        </w:rPr>
        <w:t>Eur</w:t>
      </w:r>
      <w:r w:rsidR="00475F67" w:rsidRPr="00822A0B">
        <w:rPr>
          <w:i/>
          <w:iCs/>
          <w:sz w:val="16"/>
          <w:szCs w:val="16"/>
        </w:rPr>
        <w:t>.</w:t>
      </w:r>
      <w:r w:rsidRPr="00822A0B">
        <w:rPr>
          <w:i/>
          <w:iCs/>
          <w:sz w:val="16"/>
          <w:szCs w:val="16"/>
        </w:rPr>
        <w:t xml:space="preserve"> Coatings Conf</w:t>
      </w:r>
      <w:r w:rsidR="00475F67" w:rsidRPr="00822A0B">
        <w:rPr>
          <w:i/>
          <w:iCs/>
          <w:sz w:val="16"/>
          <w:szCs w:val="16"/>
        </w:rPr>
        <w:t>.</w:t>
      </w:r>
      <w:r w:rsidRPr="00822A0B">
        <w:rPr>
          <w:i/>
          <w:iCs/>
          <w:sz w:val="16"/>
          <w:szCs w:val="16"/>
        </w:rPr>
        <w:t>: Polyurethanes for High Performance Coatings</w:t>
      </w:r>
      <w:r w:rsidR="00475F67" w:rsidRPr="00822A0B">
        <w:rPr>
          <w:iCs/>
          <w:sz w:val="16"/>
          <w:szCs w:val="16"/>
        </w:rPr>
        <w:t xml:space="preserve">, </w:t>
      </w:r>
      <w:r w:rsidRPr="00822A0B">
        <w:rPr>
          <w:b/>
          <w:bCs/>
          <w:sz w:val="16"/>
          <w:szCs w:val="16"/>
        </w:rPr>
        <w:t>2008</w:t>
      </w:r>
      <w:r w:rsidRPr="00822A0B">
        <w:rPr>
          <w:sz w:val="16"/>
          <w:szCs w:val="16"/>
        </w:rPr>
        <w:t>, 119</w:t>
      </w:r>
      <w:r w:rsidR="00475F67" w:rsidRPr="00822A0B">
        <w:rPr>
          <w:sz w:val="16"/>
          <w:szCs w:val="16"/>
        </w:rPr>
        <w:t>–</w:t>
      </w:r>
      <w:r w:rsidRPr="00822A0B">
        <w:rPr>
          <w:sz w:val="16"/>
          <w:szCs w:val="16"/>
        </w:rPr>
        <w:t>1</w:t>
      </w:r>
      <w:r w:rsidR="00475F67" w:rsidRPr="00822A0B">
        <w:rPr>
          <w:sz w:val="16"/>
          <w:szCs w:val="16"/>
        </w:rPr>
        <w:t>37. DOI: 10.13140/2.1.2416.3209</w:t>
      </w:r>
    </w:p>
    <w:p w14:paraId="1B7DDD18" w14:textId="4C8283F5" w:rsidR="00AF30C1" w:rsidRPr="00822A0B" w:rsidRDefault="00AF30C1" w:rsidP="00AF30C1">
      <w:pPr>
        <w:pStyle w:val="References"/>
        <w:suppressAutoHyphens/>
        <w:autoSpaceDE/>
        <w:autoSpaceDN/>
        <w:adjustRightInd/>
        <w:spacing w:line="264" w:lineRule="auto"/>
        <w:ind w:left="454" w:hanging="454"/>
        <w:rPr>
          <w:sz w:val="16"/>
          <w:szCs w:val="16"/>
        </w:rPr>
      </w:pPr>
      <w:r w:rsidRPr="00822A0B">
        <w:rPr>
          <w:sz w:val="16"/>
          <w:szCs w:val="16"/>
        </w:rPr>
        <w:t>4.</w:t>
      </w:r>
      <w:r w:rsidRPr="00822A0B">
        <w:rPr>
          <w:sz w:val="16"/>
          <w:szCs w:val="16"/>
        </w:rPr>
        <w:tab/>
        <w:t>M.</w:t>
      </w:r>
      <w:r w:rsidR="00475F67" w:rsidRPr="00822A0B">
        <w:rPr>
          <w:sz w:val="16"/>
          <w:szCs w:val="16"/>
        </w:rPr>
        <w:t xml:space="preserve"> </w:t>
      </w:r>
      <w:r w:rsidRPr="00822A0B">
        <w:rPr>
          <w:sz w:val="16"/>
          <w:szCs w:val="16"/>
        </w:rPr>
        <w:t>S.</w:t>
      </w:r>
      <w:r w:rsidR="00475F67" w:rsidRPr="00822A0B">
        <w:rPr>
          <w:sz w:val="16"/>
          <w:szCs w:val="16"/>
        </w:rPr>
        <w:t xml:space="preserve"> </w:t>
      </w:r>
      <w:proofErr w:type="spellStart"/>
      <w:r w:rsidRPr="00822A0B">
        <w:rPr>
          <w:sz w:val="16"/>
          <w:szCs w:val="16"/>
        </w:rPr>
        <w:t>Shabalina</w:t>
      </w:r>
      <w:proofErr w:type="spellEnd"/>
      <w:r w:rsidRPr="00822A0B">
        <w:rPr>
          <w:sz w:val="16"/>
          <w:szCs w:val="16"/>
        </w:rPr>
        <w:t>,</w:t>
      </w:r>
      <w:r w:rsidR="00475F67" w:rsidRPr="00822A0B">
        <w:rPr>
          <w:sz w:val="16"/>
          <w:szCs w:val="16"/>
        </w:rPr>
        <w:t xml:space="preserve"> </w:t>
      </w:r>
      <w:r w:rsidR="00656586" w:rsidRPr="00822A0B">
        <w:rPr>
          <w:sz w:val="16"/>
          <w:szCs w:val="16"/>
        </w:rPr>
        <w:t xml:space="preserve">E. A. Antipova, </w:t>
      </w:r>
      <w:r w:rsidRPr="00822A0B">
        <w:rPr>
          <w:sz w:val="16"/>
          <w:szCs w:val="16"/>
        </w:rPr>
        <w:t>G.</w:t>
      </w:r>
      <w:r w:rsidR="00475F67" w:rsidRPr="00822A0B">
        <w:rPr>
          <w:sz w:val="16"/>
          <w:szCs w:val="16"/>
        </w:rPr>
        <w:t xml:space="preserve"> </w:t>
      </w:r>
      <w:r w:rsidRPr="00822A0B">
        <w:rPr>
          <w:sz w:val="16"/>
          <w:szCs w:val="16"/>
        </w:rPr>
        <w:t xml:space="preserve">A. Khlebov, </w:t>
      </w:r>
      <w:r w:rsidRPr="00822A0B">
        <w:rPr>
          <w:i/>
          <w:iCs/>
          <w:sz w:val="16"/>
          <w:szCs w:val="16"/>
        </w:rPr>
        <w:t>Int</w:t>
      </w:r>
      <w:r w:rsidR="00475F67" w:rsidRPr="00822A0B">
        <w:rPr>
          <w:i/>
          <w:iCs/>
          <w:sz w:val="16"/>
          <w:szCs w:val="16"/>
        </w:rPr>
        <w:t xml:space="preserve">. </w:t>
      </w:r>
      <w:proofErr w:type="spellStart"/>
      <w:r w:rsidRPr="00822A0B">
        <w:rPr>
          <w:i/>
          <w:iCs/>
          <w:sz w:val="16"/>
          <w:szCs w:val="16"/>
        </w:rPr>
        <w:t>Polym</w:t>
      </w:r>
      <w:proofErr w:type="spellEnd"/>
      <w:r w:rsidR="00475F67" w:rsidRPr="00822A0B">
        <w:rPr>
          <w:i/>
          <w:iCs/>
          <w:sz w:val="16"/>
          <w:szCs w:val="16"/>
        </w:rPr>
        <w:t>.</w:t>
      </w:r>
      <w:r w:rsidRPr="00822A0B">
        <w:rPr>
          <w:i/>
          <w:iCs/>
          <w:sz w:val="16"/>
          <w:szCs w:val="16"/>
        </w:rPr>
        <w:t xml:space="preserve"> Sci</w:t>
      </w:r>
      <w:r w:rsidR="00475F67" w:rsidRPr="00822A0B">
        <w:rPr>
          <w:i/>
          <w:iCs/>
          <w:sz w:val="16"/>
          <w:szCs w:val="16"/>
        </w:rPr>
        <w:t>.</w:t>
      </w:r>
      <w:r w:rsidRPr="00822A0B">
        <w:rPr>
          <w:i/>
          <w:iCs/>
          <w:sz w:val="16"/>
          <w:szCs w:val="16"/>
        </w:rPr>
        <w:t xml:space="preserve"> </w:t>
      </w:r>
      <w:r w:rsidR="00475F67" w:rsidRPr="00822A0B">
        <w:rPr>
          <w:i/>
          <w:iCs/>
          <w:sz w:val="16"/>
          <w:szCs w:val="16"/>
        </w:rPr>
        <w:t>Technol.</w:t>
      </w:r>
      <w:r w:rsidRPr="00822A0B">
        <w:rPr>
          <w:sz w:val="16"/>
          <w:szCs w:val="16"/>
        </w:rPr>
        <w:t xml:space="preserve">, </w:t>
      </w:r>
      <w:r w:rsidRPr="00822A0B">
        <w:rPr>
          <w:b/>
          <w:bCs/>
          <w:sz w:val="16"/>
          <w:szCs w:val="16"/>
        </w:rPr>
        <w:t>2015</w:t>
      </w:r>
      <w:r w:rsidRPr="00822A0B">
        <w:rPr>
          <w:sz w:val="16"/>
          <w:szCs w:val="16"/>
        </w:rPr>
        <w:t xml:space="preserve">, </w:t>
      </w:r>
      <w:r w:rsidR="00475F67" w:rsidRPr="00822A0B">
        <w:rPr>
          <w:i/>
          <w:iCs/>
          <w:sz w:val="16"/>
          <w:szCs w:val="16"/>
        </w:rPr>
        <w:t>42</w:t>
      </w:r>
      <w:r w:rsidRPr="00822A0B">
        <w:rPr>
          <w:sz w:val="16"/>
          <w:szCs w:val="16"/>
        </w:rPr>
        <w:t>, T21</w:t>
      </w:r>
      <w:r w:rsidR="00475F67" w:rsidRPr="00822A0B">
        <w:rPr>
          <w:sz w:val="16"/>
          <w:szCs w:val="16"/>
        </w:rPr>
        <w:t>–</w:t>
      </w:r>
      <w:r w:rsidRPr="00822A0B">
        <w:rPr>
          <w:sz w:val="16"/>
          <w:szCs w:val="16"/>
        </w:rPr>
        <w:t>T24.</w:t>
      </w:r>
      <w:r w:rsidR="00475F67" w:rsidRPr="00822A0B">
        <w:rPr>
          <w:sz w:val="16"/>
          <w:szCs w:val="16"/>
        </w:rPr>
        <w:t xml:space="preserve"> DOI: 10.1177/0307174x1504200605</w:t>
      </w:r>
    </w:p>
    <w:p w14:paraId="4697A36E" w14:textId="77777777" w:rsidR="00AF30C1" w:rsidRPr="00822A0B" w:rsidRDefault="00AF30C1" w:rsidP="00AF30C1">
      <w:pPr>
        <w:pStyle w:val="References"/>
        <w:suppressAutoHyphens/>
        <w:autoSpaceDE/>
        <w:autoSpaceDN/>
        <w:adjustRightInd/>
        <w:spacing w:line="264" w:lineRule="auto"/>
        <w:ind w:left="454" w:hanging="454"/>
        <w:rPr>
          <w:sz w:val="16"/>
          <w:szCs w:val="16"/>
        </w:rPr>
      </w:pPr>
      <w:r w:rsidRPr="00822A0B">
        <w:rPr>
          <w:sz w:val="16"/>
          <w:szCs w:val="16"/>
          <w:lang w:val="de-DE"/>
        </w:rPr>
        <w:t>5.</w:t>
      </w:r>
      <w:r w:rsidRPr="00822A0B">
        <w:rPr>
          <w:sz w:val="16"/>
          <w:szCs w:val="16"/>
          <w:lang w:val="de-DE"/>
        </w:rPr>
        <w:tab/>
        <w:t>L.</w:t>
      </w:r>
      <w:r w:rsidR="00475F67" w:rsidRPr="00822A0B">
        <w:rPr>
          <w:sz w:val="16"/>
          <w:szCs w:val="16"/>
          <w:lang w:val="de-DE"/>
        </w:rPr>
        <w:t xml:space="preserve"> </w:t>
      </w:r>
      <w:r w:rsidRPr="00822A0B">
        <w:rPr>
          <w:sz w:val="16"/>
          <w:szCs w:val="16"/>
          <w:lang w:val="de-DE"/>
        </w:rPr>
        <w:t>V.</w:t>
      </w:r>
      <w:r w:rsidR="00475F67" w:rsidRPr="00822A0B">
        <w:rPr>
          <w:sz w:val="16"/>
          <w:szCs w:val="16"/>
          <w:lang w:val="de-DE"/>
        </w:rPr>
        <w:t xml:space="preserve"> </w:t>
      </w:r>
      <w:r w:rsidRPr="00822A0B">
        <w:rPr>
          <w:sz w:val="16"/>
          <w:szCs w:val="16"/>
        </w:rPr>
        <w:t>F</w:t>
      </w:r>
      <w:proofErr w:type="spellStart"/>
      <w:r w:rsidRPr="00822A0B">
        <w:rPr>
          <w:sz w:val="16"/>
          <w:szCs w:val="16"/>
          <w:lang w:val="de-DE"/>
        </w:rPr>
        <w:t>ilimonova</w:t>
      </w:r>
      <w:proofErr w:type="spellEnd"/>
      <w:r w:rsidRPr="00822A0B">
        <w:rPr>
          <w:sz w:val="16"/>
          <w:szCs w:val="16"/>
          <w:lang w:val="de-DE"/>
        </w:rPr>
        <w:t>, G.</w:t>
      </w:r>
      <w:r w:rsidR="00475F67" w:rsidRPr="00822A0B">
        <w:rPr>
          <w:sz w:val="16"/>
          <w:szCs w:val="16"/>
          <w:lang w:val="de-DE"/>
        </w:rPr>
        <w:t xml:space="preserve"> </w:t>
      </w:r>
      <w:r w:rsidRPr="00822A0B">
        <w:rPr>
          <w:sz w:val="16"/>
          <w:szCs w:val="16"/>
          <w:lang w:val="de-DE"/>
        </w:rPr>
        <w:t>G.</w:t>
      </w:r>
      <w:r w:rsidR="00475F67" w:rsidRPr="00822A0B">
        <w:rPr>
          <w:sz w:val="16"/>
          <w:szCs w:val="16"/>
          <w:lang w:val="de-DE"/>
        </w:rPr>
        <w:t xml:space="preserve"> </w:t>
      </w:r>
      <w:r w:rsidRPr="00822A0B">
        <w:rPr>
          <w:sz w:val="16"/>
          <w:szCs w:val="16"/>
          <w:lang w:val="de-DE"/>
        </w:rPr>
        <w:t>Nikiforova, M.</w:t>
      </w:r>
      <w:r w:rsidR="00475F67" w:rsidRPr="00822A0B">
        <w:rPr>
          <w:sz w:val="16"/>
          <w:szCs w:val="16"/>
          <w:lang w:val="de-DE"/>
        </w:rPr>
        <w:t xml:space="preserve"> </w:t>
      </w:r>
      <w:r w:rsidRPr="00822A0B">
        <w:rPr>
          <w:sz w:val="16"/>
          <w:szCs w:val="16"/>
          <w:lang w:val="de-DE"/>
        </w:rPr>
        <w:t>I.</w:t>
      </w:r>
      <w:r w:rsidR="00475F67" w:rsidRPr="00822A0B">
        <w:rPr>
          <w:sz w:val="16"/>
          <w:szCs w:val="16"/>
          <w:lang w:val="de-DE"/>
        </w:rPr>
        <w:t xml:space="preserve"> </w:t>
      </w:r>
      <w:proofErr w:type="spellStart"/>
      <w:r w:rsidRPr="00822A0B">
        <w:rPr>
          <w:sz w:val="16"/>
          <w:szCs w:val="16"/>
          <w:lang w:val="de-DE"/>
        </w:rPr>
        <w:t>Buzin</w:t>
      </w:r>
      <w:proofErr w:type="spellEnd"/>
      <w:r w:rsidRPr="00822A0B">
        <w:rPr>
          <w:sz w:val="16"/>
          <w:szCs w:val="16"/>
          <w:lang w:val="de-DE"/>
        </w:rPr>
        <w:t>, E.</w:t>
      </w:r>
      <w:r w:rsidR="00475F67" w:rsidRPr="00822A0B">
        <w:rPr>
          <w:sz w:val="16"/>
          <w:szCs w:val="16"/>
          <w:lang w:val="de-DE"/>
        </w:rPr>
        <w:t xml:space="preserve"> </w:t>
      </w:r>
      <w:r w:rsidRPr="00822A0B">
        <w:rPr>
          <w:sz w:val="16"/>
          <w:szCs w:val="16"/>
          <w:lang w:val="de-DE"/>
        </w:rPr>
        <w:t>S.</w:t>
      </w:r>
      <w:r w:rsidR="00475F67" w:rsidRPr="00822A0B">
        <w:rPr>
          <w:sz w:val="16"/>
          <w:szCs w:val="16"/>
          <w:lang w:val="de-DE"/>
        </w:rPr>
        <w:t xml:space="preserve"> </w:t>
      </w:r>
      <w:proofErr w:type="spellStart"/>
      <w:r w:rsidRPr="00822A0B">
        <w:rPr>
          <w:sz w:val="16"/>
          <w:szCs w:val="16"/>
          <w:lang w:val="de-DE"/>
        </w:rPr>
        <w:t>Afanasyev</w:t>
      </w:r>
      <w:proofErr w:type="spellEnd"/>
      <w:r w:rsidRPr="00822A0B">
        <w:rPr>
          <w:sz w:val="16"/>
          <w:szCs w:val="16"/>
          <w:lang w:val="de-DE"/>
        </w:rPr>
        <w:t>, K.</w:t>
      </w:r>
      <w:r w:rsidR="00475F67" w:rsidRPr="00822A0B">
        <w:rPr>
          <w:sz w:val="16"/>
          <w:szCs w:val="16"/>
          <w:lang w:val="de-DE"/>
        </w:rPr>
        <w:t xml:space="preserve"> </w:t>
      </w:r>
      <w:r w:rsidRPr="00822A0B">
        <w:rPr>
          <w:sz w:val="16"/>
          <w:szCs w:val="16"/>
          <w:lang w:val="de-DE"/>
        </w:rPr>
        <w:t>L.</w:t>
      </w:r>
      <w:r w:rsidR="00475F67" w:rsidRPr="00822A0B">
        <w:rPr>
          <w:sz w:val="16"/>
          <w:szCs w:val="16"/>
          <w:lang w:val="de-DE"/>
        </w:rPr>
        <w:t xml:space="preserve"> </w:t>
      </w:r>
      <w:proofErr w:type="spellStart"/>
      <w:r w:rsidRPr="00822A0B">
        <w:rPr>
          <w:sz w:val="16"/>
          <w:szCs w:val="16"/>
          <w:lang w:val="de-DE"/>
        </w:rPr>
        <w:t>Boldyrev</w:t>
      </w:r>
      <w:proofErr w:type="spellEnd"/>
      <w:r w:rsidRPr="00822A0B">
        <w:rPr>
          <w:sz w:val="16"/>
          <w:szCs w:val="16"/>
          <w:lang w:val="de-DE"/>
        </w:rPr>
        <w:t>, Z.</w:t>
      </w:r>
      <w:r w:rsidR="00475F67" w:rsidRPr="00822A0B">
        <w:rPr>
          <w:sz w:val="16"/>
          <w:szCs w:val="16"/>
          <w:lang w:val="de-DE"/>
        </w:rPr>
        <w:t xml:space="preserve"> </w:t>
      </w:r>
      <w:r w:rsidRPr="00822A0B">
        <w:rPr>
          <w:sz w:val="16"/>
          <w:szCs w:val="16"/>
          <w:lang w:val="de-DE"/>
        </w:rPr>
        <w:t>S.</w:t>
      </w:r>
      <w:r w:rsidR="00475F67" w:rsidRPr="00822A0B">
        <w:rPr>
          <w:sz w:val="16"/>
          <w:szCs w:val="16"/>
          <w:lang w:val="de-DE"/>
        </w:rPr>
        <w:t xml:space="preserve"> </w:t>
      </w:r>
      <w:proofErr w:type="spellStart"/>
      <w:r w:rsidRPr="00822A0B">
        <w:rPr>
          <w:sz w:val="16"/>
          <w:szCs w:val="16"/>
          <w:lang w:val="de-DE"/>
        </w:rPr>
        <w:t>Klemenkova</w:t>
      </w:r>
      <w:proofErr w:type="spellEnd"/>
      <w:r w:rsidRPr="00822A0B">
        <w:rPr>
          <w:sz w:val="16"/>
          <w:szCs w:val="16"/>
          <w:lang w:val="de-DE"/>
        </w:rPr>
        <w:t>, R.</w:t>
      </w:r>
      <w:r w:rsidR="00464770" w:rsidRPr="00822A0B">
        <w:rPr>
          <w:sz w:val="16"/>
          <w:szCs w:val="16"/>
          <w:lang w:val="de-DE"/>
        </w:rPr>
        <w:t xml:space="preserve"> </w:t>
      </w:r>
      <w:r w:rsidRPr="00822A0B">
        <w:rPr>
          <w:sz w:val="16"/>
          <w:szCs w:val="16"/>
          <w:lang w:val="de-DE"/>
        </w:rPr>
        <w:t>U.</w:t>
      </w:r>
      <w:r w:rsidR="00464770" w:rsidRPr="00822A0B">
        <w:rPr>
          <w:sz w:val="16"/>
          <w:szCs w:val="16"/>
          <w:lang w:val="de-DE"/>
        </w:rPr>
        <w:t xml:space="preserve"> </w:t>
      </w:r>
      <w:proofErr w:type="spellStart"/>
      <w:r w:rsidRPr="00822A0B">
        <w:rPr>
          <w:sz w:val="16"/>
          <w:szCs w:val="16"/>
          <w:lang w:val="de-DE"/>
        </w:rPr>
        <w:t>Takazova</w:t>
      </w:r>
      <w:proofErr w:type="spellEnd"/>
      <w:r w:rsidRPr="00822A0B">
        <w:rPr>
          <w:sz w:val="16"/>
          <w:szCs w:val="16"/>
          <w:lang w:val="de-DE"/>
        </w:rPr>
        <w:t>, E.</w:t>
      </w:r>
      <w:r w:rsidR="00464770" w:rsidRPr="00822A0B">
        <w:rPr>
          <w:sz w:val="16"/>
          <w:szCs w:val="16"/>
          <w:lang w:val="de-DE"/>
        </w:rPr>
        <w:t xml:space="preserve"> </w:t>
      </w:r>
      <w:r w:rsidRPr="00822A0B">
        <w:rPr>
          <w:sz w:val="16"/>
          <w:szCs w:val="16"/>
          <w:lang w:val="de-DE"/>
        </w:rPr>
        <w:t>S.</w:t>
      </w:r>
      <w:r w:rsidR="00464770" w:rsidRPr="00822A0B">
        <w:rPr>
          <w:sz w:val="16"/>
          <w:szCs w:val="16"/>
          <w:lang w:val="de-DE"/>
        </w:rPr>
        <w:t xml:space="preserve"> </w:t>
      </w:r>
      <w:proofErr w:type="spellStart"/>
      <w:r w:rsidRPr="00822A0B">
        <w:rPr>
          <w:sz w:val="16"/>
          <w:szCs w:val="16"/>
          <w:lang w:val="de-DE"/>
        </w:rPr>
        <w:t>Trankina</w:t>
      </w:r>
      <w:proofErr w:type="spellEnd"/>
      <w:r w:rsidRPr="00822A0B">
        <w:rPr>
          <w:sz w:val="16"/>
          <w:szCs w:val="16"/>
          <w:lang w:val="de-DE"/>
        </w:rPr>
        <w:t>, D.</w:t>
      </w:r>
      <w:r w:rsidR="00464770" w:rsidRPr="00822A0B">
        <w:rPr>
          <w:sz w:val="16"/>
          <w:szCs w:val="16"/>
          <w:lang w:val="de-DE"/>
        </w:rPr>
        <w:t xml:space="preserve"> </w:t>
      </w:r>
      <w:r w:rsidRPr="00822A0B">
        <w:rPr>
          <w:sz w:val="16"/>
          <w:szCs w:val="16"/>
          <w:lang w:val="de-DE"/>
        </w:rPr>
        <w:t>A.</w:t>
      </w:r>
      <w:r w:rsidR="00464770" w:rsidRPr="00822A0B">
        <w:rPr>
          <w:sz w:val="16"/>
          <w:szCs w:val="16"/>
          <w:lang w:val="de-DE"/>
        </w:rPr>
        <w:t xml:space="preserve"> </w:t>
      </w:r>
      <w:proofErr w:type="spellStart"/>
      <w:r w:rsidRPr="00822A0B">
        <w:rPr>
          <w:sz w:val="16"/>
          <w:szCs w:val="16"/>
          <w:lang w:val="de-DE"/>
        </w:rPr>
        <w:t>Khanin</w:t>
      </w:r>
      <w:proofErr w:type="spellEnd"/>
      <w:r w:rsidRPr="00822A0B">
        <w:rPr>
          <w:sz w:val="16"/>
          <w:szCs w:val="16"/>
          <w:lang w:val="de-DE"/>
        </w:rPr>
        <w:t>, A.</w:t>
      </w:r>
      <w:r w:rsidR="00464770" w:rsidRPr="00822A0B">
        <w:rPr>
          <w:sz w:val="16"/>
          <w:szCs w:val="16"/>
          <w:lang w:val="de-DE"/>
        </w:rPr>
        <w:t xml:space="preserve"> </w:t>
      </w:r>
      <w:r w:rsidRPr="00822A0B">
        <w:rPr>
          <w:sz w:val="16"/>
          <w:szCs w:val="16"/>
          <w:lang w:val="de-DE"/>
        </w:rPr>
        <w:t>M.</w:t>
      </w:r>
      <w:r w:rsidR="00464770" w:rsidRPr="00822A0B">
        <w:rPr>
          <w:sz w:val="16"/>
          <w:szCs w:val="16"/>
          <w:lang w:val="de-DE"/>
        </w:rPr>
        <w:t xml:space="preserve"> </w:t>
      </w:r>
      <w:r w:rsidRPr="00822A0B">
        <w:rPr>
          <w:sz w:val="16"/>
          <w:szCs w:val="16"/>
          <w:lang w:val="de-DE"/>
        </w:rPr>
        <w:t xml:space="preserve">Muzafarov, </w:t>
      </w:r>
      <w:r w:rsidRPr="00822A0B">
        <w:rPr>
          <w:i/>
          <w:iCs/>
          <w:sz w:val="16"/>
          <w:szCs w:val="16"/>
        </w:rPr>
        <w:t>INEOS OPEN</w:t>
      </w:r>
      <w:r w:rsidRPr="00822A0B">
        <w:rPr>
          <w:sz w:val="16"/>
          <w:szCs w:val="16"/>
        </w:rPr>
        <w:t>,</w:t>
      </w:r>
      <w:r w:rsidR="00464770" w:rsidRPr="00822A0B">
        <w:rPr>
          <w:sz w:val="16"/>
          <w:szCs w:val="16"/>
        </w:rPr>
        <w:t xml:space="preserve"> </w:t>
      </w:r>
      <w:r w:rsidRPr="00822A0B">
        <w:rPr>
          <w:b/>
          <w:bCs/>
          <w:sz w:val="16"/>
          <w:szCs w:val="16"/>
        </w:rPr>
        <w:t>2022</w:t>
      </w:r>
      <w:r w:rsidRPr="00822A0B">
        <w:rPr>
          <w:sz w:val="16"/>
          <w:szCs w:val="16"/>
        </w:rPr>
        <w:t>,</w:t>
      </w:r>
      <w:r w:rsidR="00464770" w:rsidRPr="00822A0B">
        <w:rPr>
          <w:sz w:val="16"/>
          <w:szCs w:val="16"/>
        </w:rPr>
        <w:t xml:space="preserve"> </w:t>
      </w:r>
      <w:r w:rsidRPr="00822A0B">
        <w:rPr>
          <w:i/>
          <w:iCs/>
          <w:sz w:val="16"/>
          <w:szCs w:val="16"/>
        </w:rPr>
        <w:t>5</w:t>
      </w:r>
      <w:r w:rsidRPr="00822A0B">
        <w:rPr>
          <w:sz w:val="16"/>
          <w:szCs w:val="16"/>
        </w:rPr>
        <w:t>, 161</w:t>
      </w:r>
      <w:r w:rsidR="00464770" w:rsidRPr="00822A0B">
        <w:rPr>
          <w:sz w:val="16"/>
          <w:szCs w:val="16"/>
        </w:rPr>
        <w:t>–</w:t>
      </w:r>
      <w:r w:rsidRPr="00822A0B">
        <w:rPr>
          <w:sz w:val="16"/>
          <w:szCs w:val="16"/>
        </w:rPr>
        <w:t>164</w:t>
      </w:r>
      <w:r w:rsidRPr="00822A0B">
        <w:rPr>
          <w:sz w:val="16"/>
          <w:szCs w:val="16"/>
          <w:lang w:val="de-DE"/>
        </w:rPr>
        <w:t>.</w:t>
      </w:r>
      <w:r w:rsidR="00464770" w:rsidRPr="00822A0B">
        <w:rPr>
          <w:sz w:val="16"/>
          <w:szCs w:val="16"/>
        </w:rPr>
        <w:t xml:space="preserve"> DOI: 10.32931/io2229a</w:t>
      </w:r>
    </w:p>
    <w:p w14:paraId="42659844" w14:textId="2EB59C79" w:rsidR="00AF30C1" w:rsidRPr="00822A0B" w:rsidRDefault="00AF30C1" w:rsidP="00AF30C1">
      <w:pPr>
        <w:suppressAutoHyphens/>
        <w:spacing w:after="0" w:line="264" w:lineRule="auto"/>
        <w:ind w:left="454" w:hanging="454"/>
        <w:jc w:val="both"/>
        <w:rPr>
          <w:rFonts w:ascii="Times New Roman" w:hAnsi="Times New Roman"/>
          <w:sz w:val="16"/>
          <w:szCs w:val="16"/>
          <w:lang w:val="en-US"/>
        </w:rPr>
      </w:pPr>
      <w:r w:rsidRPr="00822A0B">
        <w:rPr>
          <w:rFonts w:ascii="Times New Roman" w:hAnsi="Times New Roman"/>
          <w:sz w:val="16"/>
          <w:szCs w:val="16"/>
          <w:lang w:val="en-US"/>
        </w:rPr>
        <w:t>6.</w:t>
      </w:r>
      <w:r w:rsidRPr="00822A0B">
        <w:rPr>
          <w:rFonts w:ascii="Times New Roman" w:hAnsi="Times New Roman"/>
          <w:sz w:val="16"/>
          <w:szCs w:val="16"/>
          <w:lang w:val="en-US"/>
        </w:rPr>
        <w:tab/>
        <w:t xml:space="preserve">R. </w:t>
      </w:r>
      <w:proofErr w:type="spellStart"/>
      <w:r w:rsidRPr="00822A0B">
        <w:rPr>
          <w:rFonts w:ascii="Times New Roman" w:hAnsi="Times New Roman"/>
          <w:sz w:val="16"/>
          <w:szCs w:val="16"/>
          <w:lang w:val="en-US"/>
        </w:rPr>
        <w:t>Benrashid</w:t>
      </w:r>
      <w:proofErr w:type="spellEnd"/>
      <w:r w:rsidRPr="00822A0B">
        <w:rPr>
          <w:rFonts w:ascii="Times New Roman" w:hAnsi="Times New Roman"/>
          <w:sz w:val="16"/>
          <w:szCs w:val="16"/>
          <w:lang w:val="en-US"/>
        </w:rPr>
        <w:t>, G.</w:t>
      </w:r>
      <w:r w:rsidR="00464770" w:rsidRPr="00822A0B">
        <w:rPr>
          <w:rFonts w:ascii="Times New Roman" w:hAnsi="Times New Roman"/>
          <w:sz w:val="16"/>
          <w:szCs w:val="16"/>
          <w:lang w:val="en-US"/>
        </w:rPr>
        <w:t xml:space="preserve"> L. Nelson.</w:t>
      </w:r>
      <w:r w:rsidRPr="00822A0B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822A0B">
        <w:rPr>
          <w:rFonts w:ascii="Times New Roman" w:hAnsi="Times New Roman"/>
          <w:i/>
          <w:iCs/>
          <w:sz w:val="16"/>
          <w:szCs w:val="16"/>
          <w:lang w:val="en-US"/>
        </w:rPr>
        <w:t xml:space="preserve">J. </w:t>
      </w:r>
      <w:proofErr w:type="spellStart"/>
      <w:r w:rsidRPr="00822A0B">
        <w:rPr>
          <w:rFonts w:ascii="Times New Roman" w:hAnsi="Times New Roman"/>
          <w:i/>
          <w:iCs/>
          <w:sz w:val="16"/>
          <w:szCs w:val="16"/>
          <w:lang w:val="en-US"/>
        </w:rPr>
        <w:t>Pol</w:t>
      </w:r>
      <w:r w:rsidR="00CA342A" w:rsidRPr="00822A0B">
        <w:rPr>
          <w:rFonts w:ascii="Times New Roman" w:hAnsi="Times New Roman"/>
          <w:i/>
          <w:iCs/>
          <w:sz w:val="16"/>
          <w:szCs w:val="16"/>
          <w:lang w:val="en-US"/>
        </w:rPr>
        <w:t>ym</w:t>
      </w:r>
      <w:proofErr w:type="spellEnd"/>
      <w:r w:rsidRPr="00822A0B">
        <w:rPr>
          <w:rFonts w:ascii="Times New Roman" w:hAnsi="Times New Roman"/>
          <w:i/>
          <w:iCs/>
          <w:sz w:val="16"/>
          <w:szCs w:val="16"/>
          <w:lang w:val="en-US"/>
        </w:rPr>
        <w:t xml:space="preserve">. Sci.: Part A: </w:t>
      </w:r>
      <w:proofErr w:type="spellStart"/>
      <w:r w:rsidRPr="00822A0B">
        <w:rPr>
          <w:rFonts w:ascii="Times New Roman" w:hAnsi="Times New Roman"/>
          <w:i/>
          <w:iCs/>
          <w:sz w:val="16"/>
          <w:szCs w:val="16"/>
          <w:lang w:val="en-US"/>
        </w:rPr>
        <w:t>Pol</w:t>
      </w:r>
      <w:r w:rsidR="00CA342A" w:rsidRPr="00822A0B">
        <w:rPr>
          <w:rFonts w:ascii="Times New Roman" w:hAnsi="Times New Roman"/>
          <w:i/>
          <w:iCs/>
          <w:sz w:val="16"/>
          <w:szCs w:val="16"/>
          <w:lang w:val="en-US"/>
        </w:rPr>
        <w:t>ym</w:t>
      </w:r>
      <w:proofErr w:type="spellEnd"/>
      <w:r w:rsidRPr="00822A0B">
        <w:rPr>
          <w:rFonts w:ascii="Times New Roman" w:hAnsi="Times New Roman"/>
          <w:i/>
          <w:iCs/>
          <w:sz w:val="16"/>
          <w:szCs w:val="16"/>
          <w:lang w:val="en-US"/>
        </w:rPr>
        <w:t>. Chem</w:t>
      </w:r>
      <w:r w:rsidRPr="00822A0B">
        <w:rPr>
          <w:rFonts w:ascii="Times New Roman" w:hAnsi="Times New Roman"/>
          <w:sz w:val="16"/>
          <w:szCs w:val="16"/>
          <w:lang w:val="en-US"/>
        </w:rPr>
        <w:t xml:space="preserve">., </w:t>
      </w:r>
      <w:r w:rsidRPr="00822A0B">
        <w:rPr>
          <w:rFonts w:ascii="Times New Roman" w:hAnsi="Times New Roman"/>
          <w:b/>
          <w:bCs/>
          <w:sz w:val="16"/>
          <w:szCs w:val="16"/>
          <w:lang w:val="en-US"/>
        </w:rPr>
        <w:t>1994</w:t>
      </w:r>
      <w:r w:rsidRPr="00822A0B">
        <w:rPr>
          <w:rFonts w:ascii="Times New Roman" w:hAnsi="Times New Roman"/>
          <w:sz w:val="16"/>
          <w:szCs w:val="16"/>
          <w:lang w:val="en-US"/>
        </w:rPr>
        <w:t xml:space="preserve">, </w:t>
      </w:r>
      <w:r w:rsidRPr="00822A0B">
        <w:rPr>
          <w:rFonts w:ascii="Times New Roman" w:hAnsi="Times New Roman"/>
          <w:i/>
          <w:iCs/>
          <w:sz w:val="16"/>
          <w:szCs w:val="16"/>
          <w:lang w:val="en-US"/>
        </w:rPr>
        <w:t>32</w:t>
      </w:r>
      <w:r w:rsidRPr="00822A0B">
        <w:rPr>
          <w:rFonts w:ascii="Times New Roman" w:hAnsi="Times New Roman"/>
          <w:sz w:val="16"/>
          <w:szCs w:val="16"/>
          <w:lang w:val="en-US"/>
        </w:rPr>
        <w:t>, 1847</w:t>
      </w:r>
      <w:r w:rsidR="00464770" w:rsidRPr="00822A0B">
        <w:rPr>
          <w:rFonts w:ascii="Times New Roman" w:hAnsi="Times New Roman"/>
          <w:sz w:val="16"/>
          <w:szCs w:val="16"/>
          <w:lang w:val="en-US"/>
        </w:rPr>
        <w:t>–</w:t>
      </w:r>
      <w:r w:rsidRPr="00822A0B">
        <w:rPr>
          <w:rFonts w:ascii="Times New Roman" w:hAnsi="Times New Roman"/>
          <w:sz w:val="16"/>
          <w:szCs w:val="16"/>
          <w:lang w:val="en-US"/>
        </w:rPr>
        <w:t>1865. DOI: 10.1002/pola.1994.080321006.</w:t>
      </w:r>
    </w:p>
    <w:p w14:paraId="4E8F325B" w14:textId="77777777" w:rsidR="00AF30C1" w:rsidRPr="00822A0B" w:rsidRDefault="00AF30C1" w:rsidP="00AF30C1">
      <w:pPr>
        <w:suppressAutoHyphens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22A0B">
        <w:rPr>
          <w:rFonts w:ascii="Times New Roman" w:hAnsi="Times New Roman" w:cs="Times New Roman"/>
          <w:sz w:val="16"/>
          <w:szCs w:val="16"/>
          <w:lang w:val="en-US"/>
        </w:rPr>
        <w:t>7.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ab/>
        <w:t>S.</w:t>
      </w:r>
      <w:r w:rsidR="00464770"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Pr="00822A0B">
        <w:rPr>
          <w:rFonts w:ascii="Times New Roman" w:hAnsi="Times New Roman" w:cs="Times New Roman"/>
          <w:sz w:val="16"/>
          <w:szCs w:val="16"/>
          <w:lang w:val="en-US"/>
        </w:rPr>
        <w:t>Vshivkov</w:t>
      </w:r>
      <w:proofErr w:type="spellEnd"/>
      <w:r w:rsidRPr="00822A0B">
        <w:rPr>
          <w:rFonts w:ascii="Times New Roman" w:hAnsi="Times New Roman" w:cs="Times New Roman"/>
          <w:sz w:val="16"/>
          <w:szCs w:val="16"/>
          <w:lang w:val="en-US"/>
        </w:rPr>
        <w:t>, E.</w:t>
      </w:r>
      <w:r w:rsidR="00464770"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V. </w:t>
      </w:r>
      <w:proofErr w:type="spellStart"/>
      <w:r w:rsidRPr="00822A0B">
        <w:rPr>
          <w:rFonts w:ascii="Times New Roman" w:hAnsi="Times New Roman" w:cs="Times New Roman"/>
          <w:sz w:val="16"/>
          <w:szCs w:val="16"/>
          <w:lang w:val="en-US"/>
        </w:rPr>
        <w:t>Rusinova</w:t>
      </w:r>
      <w:proofErr w:type="spellEnd"/>
      <w:r w:rsidRPr="00822A0B">
        <w:rPr>
          <w:rFonts w:ascii="Times New Roman" w:hAnsi="Times New Roman" w:cs="Times New Roman"/>
          <w:sz w:val="16"/>
          <w:szCs w:val="16"/>
          <w:lang w:val="en-US"/>
        </w:rPr>
        <w:t>, V.</w:t>
      </w:r>
      <w:r w:rsidR="00464770"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N. </w:t>
      </w:r>
      <w:proofErr w:type="spellStart"/>
      <w:r w:rsidRPr="00822A0B">
        <w:rPr>
          <w:rFonts w:ascii="Times New Roman" w:hAnsi="Times New Roman" w:cs="Times New Roman"/>
          <w:sz w:val="16"/>
          <w:szCs w:val="16"/>
          <w:lang w:val="en-US"/>
        </w:rPr>
        <w:t>Dubchak</w:t>
      </w:r>
      <w:proofErr w:type="spellEnd"/>
      <w:r w:rsidRPr="00822A0B">
        <w:rPr>
          <w:rFonts w:ascii="Times New Roman" w:hAnsi="Times New Roman" w:cs="Times New Roman"/>
          <w:sz w:val="16"/>
          <w:szCs w:val="16"/>
          <w:lang w:val="en-US"/>
        </w:rPr>
        <w:t>, G.</w:t>
      </w:r>
      <w:r w:rsidR="00464770"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>B.</w:t>
      </w:r>
      <w:r w:rsidR="00464770"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 Z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>arubin</w:t>
      </w:r>
      <w:r w:rsidR="00464770"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464770" w:rsidRPr="00822A0B">
        <w:rPr>
          <w:rFonts w:ascii="Times New Roman" w:hAnsi="Times New Roman" w:cs="Times New Roman"/>
          <w:i/>
          <w:sz w:val="16"/>
          <w:szCs w:val="16"/>
          <w:lang w:val="en-US"/>
        </w:rPr>
        <w:t>P</w:t>
      </w:r>
      <w:r w:rsidRPr="00822A0B">
        <w:rPr>
          <w:rFonts w:ascii="Times New Roman" w:hAnsi="Times New Roman" w:cs="Times New Roman"/>
          <w:i/>
          <w:iCs/>
          <w:sz w:val="16"/>
          <w:szCs w:val="16"/>
          <w:lang w:val="en-US"/>
        </w:rPr>
        <w:t>olym</w:t>
      </w:r>
      <w:proofErr w:type="spellEnd"/>
      <w:r w:rsidRPr="00822A0B">
        <w:rPr>
          <w:rFonts w:ascii="Times New Roman" w:hAnsi="Times New Roman" w:cs="Times New Roman"/>
          <w:i/>
          <w:iCs/>
          <w:sz w:val="16"/>
          <w:szCs w:val="16"/>
          <w:lang w:val="en-US"/>
        </w:rPr>
        <w:t>. Sci</w:t>
      </w:r>
      <w:r w:rsidRPr="00822A0B">
        <w:rPr>
          <w:rFonts w:ascii="Times New Roman" w:hAnsi="Times New Roman" w:cs="Times New Roman"/>
          <w:iCs/>
          <w:sz w:val="16"/>
          <w:szCs w:val="16"/>
          <w:lang w:val="en-US"/>
        </w:rPr>
        <w:t>.,</w:t>
      </w:r>
      <w:r w:rsidRPr="00822A0B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Ser. A</w:t>
      </w:r>
      <w:r w:rsidRPr="00822A0B">
        <w:rPr>
          <w:rFonts w:ascii="Times New Roman" w:hAnsi="Times New Roman" w:cs="Times New Roman"/>
          <w:iCs/>
          <w:sz w:val="16"/>
          <w:szCs w:val="16"/>
          <w:lang w:val="en-US"/>
        </w:rPr>
        <w:t xml:space="preserve">, </w:t>
      </w:r>
      <w:r w:rsidRPr="00822A0B">
        <w:rPr>
          <w:rFonts w:ascii="Times New Roman" w:hAnsi="Times New Roman" w:cs="Times New Roman"/>
          <w:b/>
          <w:bCs/>
          <w:sz w:val="16"/>
          <w:szCs w:val="16"/>
          <w:lang w:val="en-US"/>
        </w:rPr>
        <w:t>1996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822A0B">
        <w:rPr>
          <w:rFonts w:ascii="Times New Roman" w:hAnsi="Times New Roman" w:cs="Times New Roman"/>
          <w:i/>
          <w:iCs/>
          <w:sz w:val="16"/>
          <w:szCs w:val="16"/>
          <w:lang w:val="en-US"/>
        </w:rPr>
        <w:t>38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>, 563</w:t>
      </w:r>
      <w:r w:rsidR="00464770" w:rsidRPr="00822A0B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822A0B">
        <w:rPr>
          <w:rFonts w:ascii="Times New Roman" w:hAnsi="Times New Roman" w:cs="Times New Roman"/>
          <w:sz w:val="16"/>
          <w:szCs w:val="16"/>
          <w:lang w:val="en-US"/>
        </w:rPr>
        <w:t>569.</w:t>
      </w:r>
    </w:p>
    <w:p w14:paraId="668BBC1A" w14:textId="77777777" w:rsidR="00AF30C1" w:rsidRPr="00822A0B" w:rsidRDefault="00AF30C1" w:rsidP="00AF30C1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  <w:r w:rsidRPr="00822A0B">
        <w:rPr>
          <w:rFonts w:ascii="Times New Roman" w:hAnsi="Times New Roman" w:cs="Times New Roman"/>
          <w:b w:val="0"/>
          <w:sz w:val="16"/>
          <w:szCs w:val="16"/>
        </w:rPr>
        <w:t>8.</w:t>
      </w:r>
      <w:r w:rsidRPr="00822A0B">
        <w:rPr>
          <w:rFonts w:ascii="Times New Roman" w:hAnsi="Times New Roman" w:cs="Times New Roman"/>
          <w:b w:val="0"/>
          <w:sz w:val="16"/>
          <w:szCs w:val="16"/>
        </w:rPr>
        <w:tab/>
      </w:r>
      <w:r w:rsidR="00464770" w:rsidRPr="00822A0B">
        <w:rPr>
          <w:rFonts w:ascii="Times New Roman" w:hAnsi="Times New Roman" w:cs="Times New Roman"/>
          <w:b w:val="0"/>
          <w:sz w:val="16"/>
          <w:szCs w:val="16"/>
        </w:rPr>
        <w:t xml:space="preserve">Yu. S. </w:t>
      </w:r>
      <w:proofErr w:type="spellStart"/>
      <w:r w:rsidR="00464770" w:rsidRPr="00822A0B">
        <w:rPr>
          <w:rFonts w:ascii="Times New Roman" w:hAnsi="Times New Roman" w:cs="Times New Roman"/>
          <w:b w:val="0"/>
          <w:sz w:val="16"/>
          <w:szCs w:val="16"/>
        </w:rPr>
        <w:t>Lipatov</w:t>
      </w:r>
      <w:proofErr w:type="spellEnd"/>
      <w:r w:rsidR="00464770" w:rsidRPr="00822A0B">
        <w:rPr>
          <w:rFonts w:ascii="Times New Roman" w:hAnsi="Times New Roman" w:cs="Times New Roman"/>
          <w:b w:val="0"/>
          <w:sz w:val="16"/>
          <w:szCs w:val="16"/>
        </w:rPr>
        <w:t xml:space="preserve">, A. E. Nesterov, T. M. Gritsenko, R. A. </w:t>
      </w:r>
      <w:proofErr w:type="spellStart"/>
      <w:r w:rsidR="00464770" w:rsidRPr="00822A0B">
        <w:rPr>
          <w:rFonts w:ascii="Times New Roman" w:hAnsi="Times New Roman" w:cs="Times New Roman"/>
          <w:b w:val="0"/>
          <w:sz w:val="16"/>
          <w:szCs w:val="16"/>
        </w:rPr>
        <w:t>Veselovskii</w:t>
      </w:r>
      <w:proofErr w:type="spellEnd"/>
      <w:r w:rsidR="00464770" w:rsidRPr="00822A0B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="00464770" w:rsidRPr="00822A0B">
        <w:rPr>
          <w:rFonts w:ascii="Times New Roman" w:hAnsi="Times New Roman" w:cs="Times New Roman"/>
          <w:b w:val="0"/>
          <w:i/>
          <w:iCs/>
          <w:sz w:val="16"/>
          <w:szCs w:val="16"/>
        </w:rPr>
        <w:t>Handbook of Polymer Chemistry</w:t>
      </w:r>
      <w:r w:rsidR="00464770" w:rsidRPr="00822A0B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proofErr w:type="spellStart"/>
      <w:r w:rsidR="00464770" w:rsidRPr="00822A0B">
        <w:rPr>
          <w:rFonts w:ascii="Times New Roman" w:hAnsi="Times New Roman" w:cs="Times New Roman"/>
          <w:b w:val="0"/>
          <w:sz w:val="16"/>
          <w:szCs w:val="16"/>
        </w:rPr>
        <w:t>Naukova</w:t>
      </w:r>
      <w:proofErr w:type="spellEnd"/>
      <w:r w:rsidR="00464770" w:rsidRPr="00822A0B">
        <w:rPr>
          <w:rFonts w:ascii="Times New Roman" w:hAnsi="Times New Roman" w:cs="Times New Roman"/>
          <w:b w:val="0"/>
          <w:sz w:val="16"/>
          <w:szCs w:val="16"/>
        </w:rPr>
        <w:t xml:space="preserve"> Dumka, Kiev, </w:t>
      </w:r>
      <w:r w:rsidR="00464770" w:rsidRPr="00822A0B">
        <w:rPr>
          <w:rFonts w:ascii="Times New Roman" w:hAnsi="Times New Roman" w:cs="Times New Roman"/>
          <w:sz w:val="16"/>
          <w:szCs w:val="16"/>
        </w:rPr>
        <w:t>1</w:t>
      </w:r>
      <w:r w:rsidRPr="00822A0B">
        <w:rPr>
          <w:rFonts w:ascii="Times New Roman" w:hAnsi="Times New Roman" w:cs="Times New Roman"/>
          <w:bCs/>
          <w:sz w:val="16"/>
          <w:szCs w:val="16"/>
        </w:rPr>
        <w:t>971</w:t>
      </w:r>
      <w:r w:rsidR="00464770" w:rsidRPr="00822A0B">
        <w:rPr>
          <w:rFonts w:ascii="Times New Roman" w:hAnsi="Times New Roman" w:cs="Times New Roman"/>
          <w:b w:val="0"/>
          <w:bCs/>
          <w:sz w:val="16"/>
          <w:szCs w:val="16"/>
        </w:rPr>
        <w:t xml:space="preserve"> (in Russian).</w:t>
      </w:r>
    </w:p>
    <w:p w14:paraId="19BC12A1" w14:textId="77777777" w:rsidR="00AF30C1" w:rsidRPr="00822A0B" w:rsidRDefault="00AF30C1" w:rsidP="00AF30C1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AF30C1" w:rsidRPr="003A13B7" w14:paraId="3C0C2FE6" w14:textId="77777777" w:rsidTr="00047672">
        <w:trPr>
          <w:jc w:val="right"/>
        </w:trPr>
        <w:tc>
          <w:tcPr>
            <w:tcW w:w="3255" w:type="dxa"/>
            <w:vAlign w:val="center"/>
          </w:tcPr>
          <w:p w14:paraId="5F237484" w14:textId="77777777" w:rsidR="00AF30C1" w:rsidRPr="00822A0B" w:rsidRDefault="00AF30C1" w:rsidP="00047672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822A0B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822A0B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822A0B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822A0B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6E39D779" w14:textId="77777777" w:rsidR="00AF30C1" w:rsidRPr="003A13B7" w:rsidRDefault="00AF30C1" w:rsidP="0004767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822A0B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7D830A94" wp14:editId="2739C8ED">
                  <wp:extent cx="620466" cy="217152"/>
                  <wp:effectExtent l="19050" t="0" r="8184" b="0"/>
                  <wp:docPr id="4" name="Рисунок 125" descr="D:\Rinat\Rinat\доки\журнал\cc-by-nc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6569C" w14:textId="77777777" w:rsidR="00AF30C1" w:rsidRPr="00AF30C1" w:rsidRDefault="00AF30C1" w:rsidP="00AF30C1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sz w:val="16"/>
          <w:szCs w:val="16"/>
          <w:lang w:val="ru-RU"/>
        </w:rPr>
      </w:pPr>
    </w:p>
    <w:sectPr w:rsidR="00AF30C1" w:rsidRPr="00AF30C1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B1B53" w14:textId="77777777" w:rsidR="006F7312" w:rsidRDefault="006F7312" w:rsidP="00427E5A">
      <w:pPr>
        <w:spacing w:after="0" w:line="240" w:lineRule="auto"/>
      </w:pPr>
      <w:r>
        <w:separator/>
      </w:r>
    </w:p>
    <w:p w14:paraId="3823F1E1" w14:textId="77777777" w:rsidR="006F7312" w:rsidRDefault="006F7312"/>
  </w:endnote>
  <w:endnote w:type="continuationSeparator" w:id="0">
    <w:p w14:paraId="508DC760" w14:textId="77777777" w:rsidR="006F7312" w:rsidRDefault="006F7312" w:rsidP="00427E5A">
      <w:pPr>
        <w:spacing w:after="0" w:line="240" w:lineRule="auto"/>
      </w:pPr>
      <w:r>
        <w:continuationSeparator/>
      </w:r>
    </w:p>
    <w:p w14:paraId="6A269EB7" w14:textId="77777777" w:rsidR="006F7312" w:rsidRDefault="006F7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639B2" w14:textId="5C32D95F" w:rsidR="00047672" w:rsidRPr="004E5991" w:rsidRDefault="00047672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L. V. Filimonova 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>
      <w:rPr>
        <w:rFonts w:ascii="Times New Roman" w:hAnsi="Times New Roman" w:cs="Times New Roman"/>
        <w:iCs/>
        <w:sz w:val="18"/>
        <w:szCs w:val="18"/>
        <w:lang w:val="en-US"/>
      </w:rPr>
      <w:t>,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Pr="00DF4999">
      <w:rPr>
        <w:rStyle w:val="MainText0"/>
        <w:i/>
      </w:rPr>
      <w:t>OPEN</w:t>
    </w:r>
    <w:r w:rsidRPr="00110678">
      <w:rPr>
        <w:rStyle w:val="MainText0"/>
      </w:rPr>
      <w:t xml:space="preserve">, </w:t>
    </w:r>
    <w:r w:rsidRPr="00110678">
      <w:rPr>
        <w:rStyle w:val="MainText0"/>
        <w:b/>
      </w:rPr>
      <w:t>20</w:t>
    </w:r>
    <w:r>
      <w:rPr>
        <w:rStyle w:val="MainText0"/>
        <w:b/>
      </w:rPr>
      <w:t>25</w:t>
    </w:r>
    <w:r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Pr="005C7369">
      <w:rPr>
        <w:rStyle w:val="MainText0"/>
        <w:i/>
        <w:iCs/>
      </w:rPr>
      <w:t>)</w:t>
    </w:r>
    <w:r w:rsidRPr="00110678">
      <w:rPr>
        <w:rStyle w:val="MainText0"/>
      </w:rPr>
      <w:t xml:space="preserve">, </w:t>
    </w:r>
    <w:r w:rsidR="004E5991" w:rsidRPr="004E5991">
      <w:rPr>
        <w:rStyle w:val="MainText0"/>
      </w:rPr>
      <w:t>106</w:t>
    </w:r>
    <w:r>
      <w:rPr>
        <w:rStyle w:val="MainText0"/>
      </w:rPr>
      <w:t>–</w:t>
    </w:r>
    <w:r w:rsidR="004E5991" w:rsidRPr="004E5991">
      <w:rPr>
        <w:rStyle w:val="MainText0"/>
      </w:rPr>
      <w:t>107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2ECBD" w14:textId="77777777" w:rsidR="006F7312" w:rsidRDefault="006F7312" w:rsidP="00427E5A">
      <w:pPr>
        <w:spacing w:after="0" w:line="240" w:lineRule="auto"/>
      </w:pPr>
      <w:r>
        <w:separator/>
      </w:r>
    </w:p>
    <w:p w14:paraId="06710247" w14:textId="77777777" w:rsidR="006F7312" w:rsidRDefault="006F7312"/>
  </w:footnote>
  <w:footnote w:type="continuationSeparator" w:id="0">
    <w:p w14:paraId="663FE3C3" w14:textId="77777777" w:rsidR="006F7312" w:rsidRDefault="006F7312" w:rsidP="00427E5A">
      <w:pPr>
        <w:spacing w:after="0" w:line="240" w:lineRule="auto"/>
      </w:pPr>
      <w:r>
        <w:continuationSeparator/>
      </w:r>
    </w:p>
    <w:p w14:paraId="3C118BDA" w14:textId="77777777" w:rsidR="006F7312" w:rsidRDefault="006F73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334132FE" w14:textId="77777777" w:rsidR="00047672" w:rsidRPr="001E7945" w:rsidRDefault="00047672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674E086C" w14:textId="77777777" w:rsidR="00047672" w:rsidRPr="001E7945" w:rsidRDefault="00047672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1A6AC7" w:rsidRPr="001E7945">
          <w:rPr>
            <w:rFonts w:ascii="Times New Roman" w:hAnsi="Times New Roman" w:cs="Times New Roman"/>
            <w:i/>
          </w:rPr>
          <w:fldChar w:fldCharType="begin"/>
        </w:r>
        <w:r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1A6AC7" w:rsidRPr="001E7945">
          <w:rPr>
            <w:rFonts w:ascii="Times New Roman" w:hAnsi="Times New Roman" w:cs="Times New Roman"/>
            <w:i/>
          </w:rPr>
          <w:fldChar w:fldCharType="separate"/>
        </w:r>
        <w:r w:rsidR="0072397F">
          <w:rPr>
            <w:rFonts w:ascii="Times New Roman" w:hAnsi="Times New Roman" w:cs="Times New Roman"/>
            <w:i/>
            <w:noProof/>
            <w:lang w:val="en-US"/>
          </w:rPr>
          <w:t>2</w:t>
        </w:r>
        <w:r w:rsidR="001A6AC7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740CD"/>
    <w:multiLevelType w:val="hybridMultilevel"/>
    <w:tmpl w:val="96966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15FFF"/>
    <w:multiLevelType w:val="multilevel"/>
    <w:tmpl w:val="06460AAE"/>
    <w:lvl w:ilvl="0">
      <w:start w:val="1"/>
      <w:numFmt w:val="decimal"/>
      <w:lvlText w:val="%1."/>
      <w:lvlJc w:val="left"/>
      <w:pPr>
        <w:tabs>
          <w:tab w:val="num" w:pos="0"/>
        </w:tabs>
        <w:ind w:left="374" w:hanging="360"/>
      </w:pPr>
      <w:rPr>
        <w:rFonts w:ascii="Times New Roman" w:hAnsi="Times New Roman" w:cs="Times New Roman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9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1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3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5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7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9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1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34" w:hanging="180"/>
      </w:pPr>
    </w:lvl>
  </w:abstractNum>
  <w:abstractNum w:abstractNumId="3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0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675214">
    <w:abstractNumId w:val="4"/>
  </w:num>
  <w:num w:numId="2" w16cid:durableId="1683360806">
    <w:abstractNumId w:val="6"/>
  </w:num>
  <w:num w:numId="3" w16cid:durableId="485366118">
    <w:abstractNumId w:val="3"/>
  </w:num>
  <w:num w:numId="4" w16cid:durableId="1798839506">
    <w:abstractNumId w:val="8"/>
  </w:num>
  <w:num w:numId="5" w16cid:durableId="1577476447">
    <w:abstractNumId w:val="9"/>
  </w:num>
  <w:num w:numId="6" w16cid:durableId="2060937301">
    <w:abstractNumId w:val="10"/>
  </w:num>
  <w:num w:numId="7" w16cid:durableId="473643551">
    <w:abstractNumId w:val="1"/>
  </w:num>
  <w:num w:numId="8" w16cid:durableId="1182891311">
    <w:abstractNumId w:val="5"/>
  </w:num>
  <w:num w:numId="9" w16cid:durableId="1290279185">
    <w:abstractNumId w:val="7"/>
  </w:num>
  <w:num w:numId="10" w16cid:durableId="1467116851">
    <w:abstractNumId w:val="2"/>
  </w:num>
  <w:num w:numId="11" w16cid:durableId="96103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47672"/>
    <w:rsid w:val="00052C07"/>
    <w:rsid w:val="00055141"/>
    <w:rsid w:val="00064622"/>
    <w:rsid w:val="00067EC7"/>
    <w:rsid w:val="00071D12"/>
    <w:rsid w:val="00080691"/>
    <w:rsid w:val="0008088D"/>
    <w:rsid w:val="000B5E27"/>
    <w:rsid w:val="000E1B06"/>
    <w:rsid w:val="001229EB"/>
    <w:rsid w:val="00126779"/>
    <w:rsid w:val="00161894"/>
    <w:rsid w:val="00166162"/>
    <w:rsid w:val="001A6AC7"/>
    <w:rsid w:val="001B0919"/>
    <w:rsid w:val="001B6750"/>
    <w:rsid w:val="001E7945"/>
    <w:rsid w:val="00210F3E"/>
    <w:rsid w:val="00212638"/>
    <w:rsid w:val="002500A5"/>
    <w:rsid w:val="00273745"/>
    <w:rsid w:val="00275E79"/>
    <w:rsid w:val="002D6411"/>
    <w:rsid w:val="0031578F"/>
    <w:rsid w:val="00321C31"/>
    <w:rsid w:val="00363189"/>
    <w:rsid w:val="003B067D"/>
    <w:rsid w:val="003E2893"/>
    <w:rsid w:val="003F0970"/>
    <w:rsid w:val="00400742"/>
    <w:rsid w:val="00427E5A"/>
    <w:rsid w:val="00436D4B"/>
    <w:rsid w:val="00440577"/>
    <w:rsid w:val="00441C62"/>
    <w:rsid w:val="00463737"/>
    <w:rsid w:val="00464770"/>
    <w:rsid w:val="00475F67"/>
    <w:rsid w:val="004A44BC"/>
    <w:rsid w:val="004A5676"/>
    <w:rsid w:val="004B5970"/>
    <w:rsid w:val="004C0411"/>
    <w:rsid w:val="004E5991"/>
    <w:rsid w:val="00502985"/>
    <w:rsid w:val="00506ADB"/>
    <w:rsid w:val="00524995"/>
    <w:rsid w:val="0053003C"/>
    <w:rsid w:val="00533D73"/>
    <w:rsid w:val="00534762"/>
    <w:rsid w:val="005846F1"/>
    <w:rsid w:val="005B450B"/>
    <w:rsid w:val="005C28E3"/>
    <w:rsid w:val="005C483C"/>
    <w:rsid w:val="005C7369"/>
    <w:rsid w:val="005D7DFD"/>
    <w:rsid w:val="005E76C3"/>
    <w:rsid w:val="00622DF1"/>
    <w:rsid w:val="0065245B"/>
    <w:rsid w:val="00656586"/>
    <w:rsid w:val="00683408"/>
    <w:rsid w:val="006E0C73"/>
    <w:rsid w:val="006F7312"/>
    <w:rsid w:val="00706F05"/>
    <w:rsid w:val="00712941"/>
    <w:rsid w:val="0072037E"/>
    <w:rsid w:val="00720771"/>
    <w:rsid w:val="0072397F"/>
    <w:rsid w:val="00732580"/>
    <w:rsid w:val="007334EA"/>
    <w:rsid w:val="007516EA"/>
    <w:rsid w:val="00780AA3"/>
    <w:rsid w:val="007A3351"/>
    <w:rsid w:val="007D3F5F"/>
    <w:rsid w:val="007D62C8"/>
    <w:rsid w:val="007F4F7F"/>
    <w:rsid w:val="007F7CC6"/>
    <w:rsid w:val="00803927"/>
    <w:rsid w:val="008114FB"/>
    <w:rsid w:val="00820A77"/>
    <w:rsid w:val="00822A0B"/>
    <w:rsid w:val="00842E5C"/>
    <w:rsid w:val="008544BA"/>
    <w:rsid w:val="008622A1"/>
    <w:rsid w:val="00863A30"/>
    <w:rsid w:val="00875175"/>
    <w:rsid w:val="00882EF9"/>
    <w:rsid w:val="00883BD1"/>
    <w:rsid w:val="0089304F"/>
    <w:rsid w:val="00894EE2"/>
    <w:rsid w:val="008A02BF"/>
    <w:rsid w:val="008A6A35"/>
    <w:rsid w:val="008C0FAA"/>
    <w:rsid w:val="008C6630"/>
    <w:rsid w:val="008C68C0"/>
    <w:rsid w:val="008D2BCF"/>
    <w:rsid w:val="008E062B"/>
    <w:rsid w:val="00901358"/>
    <w:rsid w:val="00904B7F"/>
    <w:rsid w:val="00916E1F"/>
    <w:rsid w:val="00930DA8"/>
    <w:rsid w:val="0093633D"/>
    <w:rsid w:val="009667F3"/>
    <w:rsid w:val="009A6DAE"/>
    <w:rsid w:val="009B1ECD"/>
    <w:rsid w:val="009C121B"/>
    <w:rsid w:val="009C6A52"/>
    <w:rsid w:val="009F476B"/>
    <w:rsid w:val="00A231BA"/>
    <w:rsid w:val="00A6442F"/>
    <w:rsid w:val="00A76F33"/>
    <w:rsid w:val="00A83323"/>
    <w:rsid w:val="00A835D0"/>
    <w:rsid w:val="00AF30C1"/>
    <w:rsid w:val="00AF431D"/>
    <w:rsid w:val="00AF544E"/>
    <w:rsid w:val="00B0007B"/>
    <w:rsid w:val="00B23601"/>
    <w:rsid w:val="00B5202A"/>
    <w:rsid w:val="00BB1D07"/>
    <w:rsid w:val="00BB75E4"/>
    <w:rsid w:val="00BE4FEF"/>
    <w:rsid w:val="00C1334C"/>
    <w:rsid w:val="00C160DC"/>
    <w:rsid w:val="00C20881"/>
    <w:rsid w:val="00C25E43"/>
    <w:rsid w:val="00C337D6"/>
    <w:rsid w:val="00C70DEB"/>
    <w:rsid w:val="00CA342A"/>
    <w:rsid w:val="00CA605E"/>
    <w:rsid w:val="00CD128C"/>
    <w:rsid w:val="00CD6FAC"/>
    <w:rsid w:val="00CE4735"/>
    <w:rsid w:val="00D33D37"/>
    <w:rsid w:val="00D36C9F"/>
    <w:rsid w:val="00D71473"/>
    <w:rsid w:val="00D900BE"/>
    <w:rsid w:val="00DA0A72"/>
    <w:rsid w:val="00DF1FCB"/>
    <w:rsid w:val="00DF4999"/>
    <w:rsid w:val="00E23725"/>
    <w:rsid w:val="00E60451"/>
    <w:rsid w:val="00E76E65"/>
    <w:rsid w:val="00E81EDE"/>
    <w:rsid w:val="00E95346"/>
    <w:rsid w:val="00E95D06"/>
    <w:rsid w:val="00EA6C3B"/>
    <w:rsid w:val="00EB2FCC"/>
    <w:rsid w:val="00EE0429"/>
    <w:rsid w:val="00EE4066"/>
    <w:rsid w:val="00EF625A"/>
    <w:rsid w:val="00F376FB"/>
    <w:rsid w:val="00F44BBC"/>
    <w:rsid w:val="00F55F8F"/>
    <w:rsid w:val="00F6796A"/>
    <w:rsid w:val="00F86864"/>
    <w:rsid w:val="00F92AEE"/>
    <w:rsid w:val="00F94740"/>
    <w:rsid w:val="00F95280"/>
    <w:rsid w:val="00FA0CD1"/>
    <w:rsid w:val="00FA4385"/>
    <w:rsid w:val="00FB4DBE"/>
    <w:rsid w:val="00FD2F8B"/>
    <w:rsid w:val="00FE45D6"/>
    <w:rsid w:val="00FF3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hadowcolor="none"/>
    </o:shapedefaults>
    <o:shapelayout v:ext="edit">
      <o:idmap v:ext="edit" data="1"/>
    </o:shapelayout>
  </w:shapeDefaults>
  <w:decimalSymbol w:val=","/>
  <w:listSeparator w:val=";"/>
  <w14:docId w14:val="413676FC"/>
  <w15:docId w15:val="{1A69379E-A9EC-4282-9E6C-8F15EAAA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qFormat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customStyle="1" w:styleId="af4">
    <w:name w:val="Содержимое таблицы"/>
    <w:basedOn w:val="a"/>
    <w:qFormat/>
    <w:rsid w:val="00780AA3"/>
    <w:pPr>
      <w:widowControl w:val="0"/>
      <w:suppressLineNumbers/>
      <w:suppressAutoHyphens/>
    </w:pPr>
    <w:rPr>
      <w:rFonts w:ascii="Calibri" w:eastAsia="Calibri" w:hAnsi="Calibri"/>
      <w:color w:val="00000A"/>
    </w:rPr>
  </w:style>
  <w:style w:type="character" w:customStyle="1" w:styleId="-">
    <w:name w:val="Интернет-ссылка"/>
    <w:basedOn w:val="a0"/>
    <w:uiPriority w:val="99"/>
    <w:unhideWhenUsed/>
    <w:rsid w:val="00AF30C1"/>
    <w:rPr>
      <w:color w:val="0000FF" w:themeColor="hyperlink"/>
      <w:u w:val="single"/>
    </w:rPr>
  </w:style>
  <w:style w:type="table" w:customStyle="1" w:styleId="13">
    <w:name w:val="Сетка таблицы1"/>
    <w:basedOn w:val="a1"/>
    <w:next w:val="a1"/>
    <w:uiPriority w:val="59"/>
    <w:rsid w:val="00AF30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E93EF-44F6-466D-9ECF-41A01C56E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58</cp:revision>
  <dcterms:created xsi:type="dcterms:W3CDTF">2018-09-10T13:23:00Z</dcterms:created>
  <dcterms:modified xsi:type="dcterms:W3CDTF">2025-08-02T21:09:00Z</dcterms:modified>
</cp:coreProperties>
</file>