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AE39E3">
        <w:rPr>
          <w:rFonts w:ascii="Times New Roman" w:hAnsi="Times New Roman" w:cs="Times New Roman"/>
          <w:sz w:val="36"/>
          <w:szCs w:val="36"/>
          <w:lang w:val="en-US"/>
        </w:rPr>
        <w:t xml:space="preserve">, </w:t>
      </w:r>
      <w:r w:rsidR="000C7F0D">
        <w:rPr>
          <w:rFonts w:ascii="Times New Roman" w:hAnsi="Times New Roman" w:cs="Times New Roman"/>
          <w:sz w:val="36"/>
          <w:szCs w:val="36"/>
          <w:lang w:val="en-US"/>
        </w:rPr>
        <w:t>42</w:t>
      </w:r>
      <w:r w:rsidR="00F27BF3" w:rsidRPr="006118F4">
        <w:rPr>
          <w:rFonts w:ascii="Times New Roman" w:hAnsi="Times New Roman" w:cs="Times New Roman"/>
          <w:sz w:val="36"/>
          <w:szCs w:val="36"/>
          <w:lang w:val="en-US"/>
        </w:rPr>
        <w:t>–</w:t>
      </w:r>
      <w:r w:rsidR="000C7F0D">
        <w:rPr>
          <w:rFonts w:ascii="Times New Roman" w:hAnsi="Times New Roman" w:cs="Times New Roman"/>
          <w:sz w:val="36"/>
          <w:szCs w:val="36"/>
          <w:lang w:val="en-US"/>
        </w:rPr>
        <w:t>44</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r w:rsidR="00FD2FDA">
        <w:fldChar w:fldCharType="begin"/>
      </w:r>
      <w:r w:rsidR="00FD2FDA" w:rsidRPr="000C3FED">
        <w:rPr>
          <w:lang w:val="en-US"/>
        </w:rPr>
        <w:instrText>HYPERLINK "http://doi.org/10.32931/io2507a"</w:instrText>
      </w:r>
      <w:r w:rsidR="00FD2FDA">
        <w:fldChar w:fldCharType="separate"/>
      </w:r>
      <w:r w:rsidR="000C7F0D">
        <w:rPr>
          <w:rFonts w:ascii="Times New Roman" w:hAnsi="Times New Roman" w:cs="Times New Roman"/>
          <w:b/>
          <w:sz w:val="24"/>
          <w:szCs w:val="24"/>
          <w:lang w:val="en-US"/>
        </w:rPr>
        <w:t>10.32931/io2547</w:t>
      </w:r>
      <w:r w:rsidR="0091084F" w:rsidRPr="00FD0D30">
        <w:rPr>
          <w:rFonts w:ascii="Times New Roman" w:hAnsi="Times New Roman" w:cs="Times New Roman"/>
          <w:b/>
          <w:sz w:val="24"/>
          <w:szCs w:val="24"/>
          <w:lang w:val="en-US"/>
        </w:rPr>
        <w:t>a</w:t>
      </w:r>
      <w:r w:rsidR="00FD2FDA">
        <w:fldChar w:fldCharType="end"/>
      </w:r>
    </w:p>
    <w:p w:rsidR="002801B8" w:rsidRPr="005827E1" w:rsidRDefault="000C7F0D" w:rsidP="005827E1">
      <w:pPr>
        <w:pStyle w:val="ArticleTitle"/>
      </w:pPr>
      <w:r>
        <w:t>Fast M</w:t>
      </w:r>
      <w:r w:rsidRPr="00743DE2">
        <w:t xml:space="preserve">otions </w:t>
      </w:r>
      <w:r>
        <w:t xml:space="preserve">of an Iridium </w:t>
      </w:r>
      <w:proofErr w:type="spellStart"/>
      <w:r>
        <w:t>Dihydride</w:t>
      </w:r>
      <w:proofErr w:type="spellEnd"/>
      <w:r>
        <w:t xml:space="preserve"> Complex</w:t>
      </w:r>
      <w:r>
        <w:br/>
      </w:r>
      <w:r w:rsidRPr="00743DE2">
        <w:t>i</w:t>
      </w:r>
      <w:r>
        <w:t>n an Aqueous Medium Revealed by NMR</w:t>
      </w:r>
      <w:r>
        <w:br/>
      </w:r>
      <w:proofErr w:type="spellStart"/>
      <w:r>
        <w:t>Relaxometry</w:t>
      </w:r>
      <w:proofErr w:type="spellEnd"/>
      <w:r>
        <w:t xml:space="preserve"> with High-R</w:t>
      </w:r>
      <w:r w:rsidRPr="00743DE2">
        <w:t>esolution</w:t>
      </w:r>
    </w:p>
    <w:p w:rsidR="00F46F0E" w:rsidRPr="0091084F" w:rsidRDefault="000C7F0D" w:rsidP="002801B8">
      <w:pPr>
        <w:pStyle w:val="Authors"/>
      </w:pPr>
      <w:r w:rsidRPr="00743DE2">
        <w:t>A. S. Kiryutin,* N. N. Fishman, and A. V. Yurkovskaya</w:t>
      </w:r>
    </w:p>
    <w:p w:rsidR="008518EA" w:rsidRPr="0091084F" w:rsidRDefault="000C7F0D" w:rsidP="004C2362">
      <w:pPr>
        <w:pStyle w:val="Affelations"/>
      </w:pPr>
      <w:proofErr w:type="gramStart"/>
      <w:r w:rsidRPr="00743DE2">
        <w:rPr>
          <w:rFonts w:cs="Times New Roman"/>
        </w:rPr>
        <w:t xml:space="preserve">International Tomography </w:t>
      </w:r>
      <w:proofErr w:type="spellStart"/>
      <w:r w:rsidRPr="00743DE2">
        <w:rPr>
          <w:rFonts w:cs="Times New Roman"/>
        </w:rPr>
        <w:t>Center</w:t>
      </w:r>
      <w:proofErr w:type="spellEnd"/>
      <w:r w:rsidRPr="00743DE2">
        <w:rPr>
          <w:rFonts w:cs="Times New Roman"/>
        </w:rPr>
        <w:t xml:space="preserve">, Siberian Branch of the Russian Academy of Sciences, </w:t>
      </w:r>
      <w:proofErr w:type="spellStart"/>
      <w:r w:rsidRPr="00743DE2">
        <w:rPr>
          <w:rFonts w:cs="Times New Roman"/>
        </w:rPr>
        <w:t>ul</w:t>
      </w:r>
      <w:proofErr w:type="spellEnd"/>
      <w:r w:rsidRPr="00743DE2">
        <w:rPr>
          <w:rFonts w:cs="Times New Roman"/>
        </w:rPr>
        <w:t>.</w:t>
      </w:r>
      <w:proofErr w:type="gramEnd"/>
      <w:r w:rsidRPr="00743DE2">
        <w:rPr>
          <w:rFonts w:cs="Times New Roman"/>
        </w:rPr>
        <w:t xml:space="preserve"> </w:t>
      </w:r>
      <w:proofErr w:type="spellStart"/>
      <w:r w:rsidRPr="00743DE2">
        <w:rPr>
          <w:rFonts w:cs="Times New Roman"/>
        </w:rPr>
        <w:t>Institutskaya</w:t>
      </w:r>
      <w:proofErr w:type="spellEnd"/>
      <w:r w:rsidRPr="00743DE2">
        <w:rPr>
          <w:rFonts w:cs="Times New Roman"/>
        </w:rPr>
        <w:t xml:space="preserve"> 3A, Novosibirsk, 630090 Russia</w:t>
      </w:r>
      <w:r>
        <w:t xml:space="preserve"> </w:t>
      </w:r>
      <w:r w:rsidR="00F27BF3">
        <w:br/>
      </w:r>
    </w:p>
    <w:p w:rsidR="008518EA" w:rsidRPr="007659A9" w:rsidRDefault="008518EA" w:rsidP="005827E1">
      <w:pPr>
        <w:pStyle w:val="CorrespondingAuthor"/>
      </w:pPr>
      <w:r w:rsidRPr="005827E1">
        <w:rPr>
          <w:b/>
          <w:i w:val="0"/>
        </w:rPr>
        <w:t>Corresponding author:</w:t>
      </w:r>
      <w:r w:rsidRPr="0068614A">
        <w:t xml:space="preserve"> </w:t>
      </w:r>
      <w:r w:rsidR="000C7F0D" w:rsidRPr="00743DE2">
        <w:t xml:space="preserve">A. S. </w:t>
      </w:r>
      <w:proofErr w:type="spellStart"/>
      <w:r w:rsidR="000C7F0D" w:rsidRPr="00743DE2">
        <w:t>Kiryutin</w:t>
      </w:r>
      <w:proofErr w:type="spellEnd"/>
      <w:r w:rsidR="00D31C2D" w:rsidRPr="005827E1">
        <w:t>, e-mail:</w:t>
      </w:r>
      <w:r w:rsidR="00F27BF3" w:rsidRPr="005827E1">
        <w:t xml:space="preserve"> </w:t>
      </w:r>
      <w:r w:rsidR="000C7F0D" w:rsidRPr="00743DE2">
        <w:t>kalex@tomo.nsc.ru</w:t>
      </w:r>
      <w:r w:rsidR="00C01303" w:rsidRPr="005827E1">
        <w:br/>
      </w:r>
      <w:r w:rsidR="001704B0" w:rsidRPr="005827E1">
        <w:t>Received 2</w:t>
      </w:r>
      <w:r w:rsidR="000C7F0D">
        <w:t>0</w:t>
      </w:r>
      <w:r w:rsidRPr="005827E1">
        <w:t xml:space="preserve"> </w:t>
      </w:r>
      <w:r w:rsidR="000C7F0D">
        <w:t>Nov</w:t>
      </w:r>
      <w:r w:rsidRPr="005827E1">
        <w:t xml:space="preserve">ember 2024; accepted </w:t>
      </w:r>
      <w:r w:rsidR="001704B0" w:rsidRPr="005827E1">
        <w:t xml:space="preserve">15 </w:t>
      </w:r>
      <w:r w:rsidR="000C7F0D">
        <w:t>January</w:t>
      </w:r>
      <w:r w:rsidR="001704B0" w:rsidRPr="005827E1">
        <w:t xml:space="preserve"> </w:t>
      </w:r>
      <w:r w:rsidR="00F27BF3" w:rsidRPr="005827E1">
        <w:t>202</w:t>
      </w:r>
      <w:r w:rsidR="000C7F0D">
        <w:t>5</w:t>
      </w:r>
    </w:p>
    <w:p w:rsidR="00D118AB" w:rsidRPr="008518EA" w:rsidRDefault="00F46F0E" w:rsidP="0068614A">
      <w:pPr>
        <w:pStyle w:val="MainHeader"/>
      </w:pPr>
      <w:r w:rsidRPr="000843DF">
        <w:t>Abstract</w:t>
      </w:r>
    </w:p>
    <w:p w:rsidR="00D118AB" w:rsidRPr="007B0653" w:rsidRDefault="00337EE1" w:rsidP="004C2362">
      <w:pPr>
        <w:pStyle w:val="AbsFig"/>
        <w:rPr>
          <w:lang w:val="en-US"/>
        </w:rPr>
      </w:pPr>
      <w:r w:rsidRPr="00337EE1">
        <w:drawing>
          <wp:inline distT="0" distB="0" distL="0" distR="0">
            <wp:extent cx="2350144" cy="1451067"/>
            <wp:effectExtent l="19050" t="0" r="0" b="0"/>
            <wp:docPr id="9072565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56515" name="Рисунок 907256515"/>
                    <pic:cNvPicPr/>
                  </pic:nvPicPr>
                  <pic:blipFill>
                    <a:blip r:embed="rId8" cstate="print"/>
                    <a:stretch>
                      <a:fillRect/>
                    </a:stretch>
                  </pic:blipFill>
                  <pic:spPr>
                    <a:xfrm>
                      <a:off x="0" y="0"/>
                      <a:ext cx="2350144" cy="1451067"/>
                    </a:xfrm>
                    <a:prstGeom prst="rect">
                      <a:avLst/>
                    </a:prstGeom>
                  </pic:spPr>
                </pic:pic>
              </a:graphicData>
            </a:graphic>
          </wp:inline>
        </w:drawing>
      </w:r>
    </w:p>
    <w:p w:rsidR="001704B0" w:rsidRDefault="00337EE1" w:rsidP="001704B0">
      <w:pPr>
        <w:pStyle w:val="AbsText"/>
      </w:pPr>
      <w:r w:rsidRPr="00743DE2">
        <w:t xml:space="preserve">The correlation times in iridium </w:t>
      </w:r>
      <w:proofErr w:type="spellStart"/>
      <w:r w:rsidRPr="00743DE2">
        <w:t>dihydride</w:t>
      </w:r>
      <w:proofErr w:type="spellEnd"/>
      <w:r w:rsidRPr="00743DE2">
        <w:t xml:space="preserve"> catalytic</w:t>
      </w:r>
      <w:r w:rsidRPr="00743DE2">
        <w:rPr>
          <w:lang w:val="en-GB"/>
        </w:rPr>
        <w:t xml:space="preserve"> </w:t>
      </w:r>
      <w:r w:rsidRPr="00743DE2">
        <w:t>complex [</w:t>
      </w:r>
      <w:proofErr w:type="spellStart"/>
      <w:proofErr w:type="gramStart"/>
      <w:r w:rsidRPr="00743DE2">
        <w:t>Ir</w:t>
      </w:r>
      <w:proofErr w:type="spellEnd"/>
      <w:r w:rsidRPr="00743DE2">
        <w:t>(</w:t>
      </w:r>
      <w:proofErr w:type="spellStart"/>
      <w:proofErr w:type="gramEnd"/>
      <w:r w:rsidRPr="00743DE2">
        <w:t>IMes</w:t>
      </w:r>
      <w:proofErr w:type="spellEnd"/>
      <w:r w:rsidRPr="00743DE2">
        <w:t>)(</w:t>
      </w:r>
      <w:proofErr w:type="spellStart"/>
      <w:r w:rsidRPr="00743DE2">
        <w:t>Py</w:t>
      </w:r>
      <w:r w:rsidRPr="00743DE2">
        <w:rPr>
          <w:vertAlign w:val="subscript"/>
        </w:rPr>
        <w:t>eq</w:t>
      </w:r>
      <w:proofErr w:type="spellEnd"/>
      <w:r w:rsidRPr="00743DE2">
        <w:t>)</w:t>
      </w:r>
      <w:r w:rsidRPr="00743DE2">
        <w:rPr>
          <w:vertAlign w:val="subscript"/>
        </w:rPr>
        <w:t>2</w:t>
      </w:r>
      <w:r w:rsidRPr="00743DE2">
        <w:t>(</w:t>
      </w:r>
      <w:proofErr w:type="spellStart"/>
      <w:r w:rsidRPr="00743DE2">
        <w:t>Py</w:t>
      </w:r>
      <w:r w:rsidRPr="00743DE2">
        <w:rPr>
          <w:vertAlign w:val="subscript"/>
        </w:rPr>
        <w:t>ax</w:t>
      </w:r>
      <w:proofErr w:type="spellEnd"/>
      <w:r w:rsidRPr="00743DE2">
        <w:t>)H</w:t>
      </w:r>
      <w:r w:rsidRPr="00743DE2">
        <w:rPr>
          <w:vertAlign w:val="subscript"/>
        </w:rPr>
        <w:t>2</w:t>
      </w:r>
      <w:r w:rsidRPr="00743DE2">
        <w:t>]</w:t>
      </w:r>
      <w:proofErr w:type="spellStart"/>
      <w:r w:rsidRPr="00743DE2">
        <w:t>Cl</w:t>
      </w:r>
      <w:proofErr w:type="spellEnd"/>
      <w:r w:rsidRPr="00743DE2">
        <w:t xml:space="preserve"> were studied in water, where it remains stable for days. T</w:t>
      </w:r>
      <w:r w:rsidRPr="00743DE2">
        <w:rPr>
          <w:vertAlign w:val="subscript"/>
        </w:rPr>
        <w:t>1</w:t>
      </w:r>
      <w:r w:rsidRPr="00743DE2">
        <w:t xml:space="preserve"> relaxation times of individual protons were measured across magnetic fields using NMR with fast field cycling. Above 4 Tesla, T</w:t>
      </w:r>
      <w:r w:rsidRPr="00743DE2">
        <w:rPr>
          <w:vertAlign w:val="subscript"/>
        </w:rPr>
        <w:t>1</w:t>
      </w:r>
      <w:r w:rsidRPr="00743DE2">
        <w:t xml:space="preserve"> time increased, indicating a transition from the fast (</w:t>
      </w:r>
      <w:r w:rsidRPr="00743DE2">
        <w:rPr>
          <w:lang w:val="ru-RU"/>
        </w:rPr>
        <w:t>ωτ</w:t>
      </w:r>
      <w:r w:rsidRPr="00743DE2">
        <w:rPr>
          <w:vertAlign w:val="subscript"/>
        </w:rPr>
        <w:t>c</w:t>
      </w:r>
      <w:r w:rsidRPr="00743DE2">
        <w:t xml:space="preserve"> &lt; 1) to slow motion (</w:t>
      </w:r>
      <w:r w:rsidRPr="00743DE2">
        <w:rPr>
          <w:lang w:val="ru-RU"/>
        </w:rPr>
        <w:t>ωτ</w:t>
      </w:r>
      <w:r w:rsidRPr="00743DE2">
        <w:rPr>
          <w:vertAlign w:val="subscript"/>
        </w:rPr>
        <w:t>c</w:t>
      </w:r>
      <w:r w:rsidRPr="00743DE2">
        <w:t xml:space="preserve"> &gt; 1) regime. Fitting the experimental data to a local magnetic field fluctuation model provided the site-specific rotational correlation times with an average of 280 </w:t>
      </w:r>
      <w:proofErr w:type="spellStart"/>
      <w:r w:rsidRPr="00743DE2">
        <w:t>ps</w:t>
      </w:r>
      <w:proofErr w:type="spellEnd"/>
      <w:r w:rsidRPr="00743DE2">
        <w:t xml:space="preserve"> for the whole molecule.</w:t>
      </w:r>
    </w:p>
    <w:p w:rsidR="00166162" w:rsidRPr="00EF6BD4" w:rsidRDefault="00F46F0E" w:rsidP="00EF6BD4">
      <w:pPr>
        <w:pStyle w:val="Keywords"/>
        <w:rPr>
          <w:szCs w:val="20"/>
        </w:rPr>
      </w:pPr>
      <w:r w:rsidRPr="00EF6BD4">
        <w:rPr>
          <w:b/>
        </w:rPr>
        <w:t>Key words:</w:t>
      </w:r>
      <w:r w:rsidRPr="00EF6BD4">
        <w:t xml:space="preserve"> </w:t>
      </w:r>
      <w:bookmarkStart w:id="0" w:name="_Hlk181478452"/>
      <w:r w:rsidR="00337EE1" w:rsidRPr="00743DE2">
        <w:t>NMR, relaxation dispersion, correlation time, SABRE complex</w:t>
      </w:r>
      <w:bookmarkEnd w:id="0"/>
      <w:r w:rsidR="001704B0" w:rsidRPr="001704B0">
        <w:t>.</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337EE1" w:rsidRDefault="00337EE1" w:rsidP="00337EE1">
      <w:pPr>
        <w:pStyle w:val="Text"/>
        <w:rPr>
          <w:lang w:val="en-US"/>
        </w:rPr>
      </w:pPr>
      <w:r w:rsidRPr="000C3FED">
        <w:rPr>
          <w:lang w:val="en-US"/>
        </w:rPr>
        <w:t>Molecular mobility, namely, the correlation times of rotational motions in solution is a very useful characteristic of substances, which depends on the size of a molecule, temperature, and solvent properties. This parameter often affects spin relaxation time as it determines the mode of motion of the molecule slow or fast compared to the Larmor frequency [1]. Field-cycling nuclear magnetic resonance (NMR) relaxometry is a versatile technique for studying molecular mobility and is suitable for a wide variety of systems: molecules in solutions, polymers, molecular and liquid crystals, as well as biomolecules [2, 3]. Previously, our group determined the correlation times of neutral iridium complex [Ir(IMes)(COD)Cl] in methanol (see Fig. 1) [4]. This is the most popular pre-catalyst for the SABRE (signal amplification by reversible exchange) method, which has become very efficient and convenient way to enhance the NMR signal of some molecules capable of non-</w:t>
      </w:r>
      <w:r w:rsidRPr="000C3FED">
        <w:rPr>
          <w:lang w:val="en-US"/>
        </w:rPr>
        <w:lastRenderedPageBreak/>
        <w:t>covalent reversible binding to an iridium hydride complex that constantly exchanges hydrogen atoms with dissolved para-hydrogen [5, 6].</w:t>
      </w:r>
    </w:p>
    <w:p w:rsidR="00A00EF6" w:rsidRPr="00743DE2" w:rsidRDefault="00A00EF6" w:rsidP="00A00EF6">
      <w:pPr>
        <w:pStyle w:val="Illustration"/>
        <w:rPr>
          <w:lang w:val="en-US"/>
        </w:rPr>
      </w:pPr>
    </w:p>
    <w:p w:rsidR="00A00EF6" w:rsidRPr="00A00EF6" w:rsidRDefault="00A00EF6" w:rsidP="00A00EF6">
      <w:pPr>
        <w:pStyle w:val="IllustrationDescription"/>
      </w:pPr>
      <w:proofErr w:type="gramStart"/>
      <w:r w:rsidRPr="00337EE1">
        <w:rPr>
          <w:b/>
        </w:rPr>
        <w:t>Figure 1.</w:t>
      </w:r>
      <w:proofErr w:type="gramEnd"/>
      <w:r w:rsidRPr="00743DE2">
        <w:t xml:space="preserve"> 700 MHz </w:t>
      </w:r>
      <w:proofErr w:type="gramStart"/>
      <w:r w:rsidRPr="00743DE2">
        <w:rPr>
          <w:vertAlign w:val="superscript"/>
        </w:rPr>
        <w:t>1</w:t>
      </w:r>
      <w:r w:rsidRPr="00743DE2">
        <w:t>H{</w:t>
      </w:r>
      <w:proofErr w:type="gramEnd"/>
      <w:r w:rsidRPr="00743DE2">
        <w:rPr>
          <w:vertAlign w:val="superscript"/>
        </w:rPr>
        <w:t>13</w:t>
      </w:r>
      <w:r w:rsidRPr="00743DE2">
        <w:t>C} NMR spectrum of [</w:t>
      </w:r>
      <w:proofErr w:type="spellStart"/>
      <w:r w:rsidRPr="00743DE2">
        <w:t>Ir</w:t>
      </w:r>
      <w:proofErr w:type="spellEnd"/>
      <w:r w:rsidRPr="00743DE2">
        <w:t>(</w:t>
      </w:r>
      <w:proofErr w:type="spellStart"/>
      <w:r w:rsidRPr="00743DE2">
        <w:t>IMes</w:t>
      </w:r>
      <w:proofErr w:type="spellEnd"/>
      <w:r w:rsidRPr="00743DE2">
        <w:t>)(</w:t>
      </w:r>
      <w:proofErr w:type="spellStart"/>
      <w:r w:rsidRPr="00743DE2">
        <w:t>Py</w:t>
      </w:r>
      <w:r w:rsidRPr="00743DE2">
        <w:rPr>
          <w:vertAlign w:val="subscript"/>
        </w:rPr>
        <w:t>eq</w:t>
      </w:r>
      <w:proofErr w:type="spellEnd"/>
      <w:r w:rsidRPr="00743DE2">
        <w:t>)</w:t>
      </w:r>
      <w:r w:rsidRPr="00743DE2">
        <w:rPr>
          <w:vertAlign w:val="subscript"/>
        </w:rPr>
        <w:t>2</w:t>
      </w:r>
      <w:r w:rsidRPr="00743DE2">
        <w:t>(</w:t>
      </w:r>
      <w:proofErr w:type="spellStart"/>
      <w:r w:rsidRPr="00743DE2">
        <w:t>Py</w:t>
      </w:r>
      <w:r w:rsidRPr="00743DE2">
        <w:rPr>
          <w:vertAlign w:val="subscript"/>
        </w:rPr>
        <w:t>ax</w:t>
      </w:r>
      <w:proofErr w:type="spellEnd"/>
      <w:r w:rsidRPr="00743DE2">
        <w:t>)H</w:t>
      </w:r>
      <w:r w:rsidRPr="00743DE2">
        <w:rPr>
          <w:vertAlign w:val="subscript"/>
        </w:rPr>
        <w:t>2</w:t>
      </w:r>
      <w:r w:rsidRPr="00743DE2">
        <w:t>]</w:t>
      </w:r>
      <w:proofErr w:type="spellStart"/>
      <w:r w:rsidRPr="00743DE2">
        <w:t>Cl</w:t>
      </w:r>
      <w:proofErr w:type="spellEnd"/>
      <w:r w:rsidRPr="00743DE2">
        <w:t xml:space="preserve"> detected in an aqueous solution at 25 °C. Molecular structure and atom numbering is shown in the inset. Signal from an impurity is marked by an asterisk. The relative integrals of signals are shown under the signals.</w:t>
      </w:r>
    </w:p>
    <w:p w:rsidR="00337EE1" w:rsidRPr="00743DE2" w:rsidRDefault="00337EE1" w:rsidP="00337EE1">
      <w:pPr>
        <w:pStyle w:val="MainHeader"/>
      </w:pPr>
      <w:r w:rsidRPr="00743DE2">
        <w:t>Results and discussion</w:t>
      </w:r>
    </w:p>
    <w:p w:rsidR="00337EE1" w:rsidRPr="000C3FED" w:rsidRDefault="00337EE1" w:rsidP="00337EE1">
      <w:pPr>
        <w:pStyle w:val="Text"/>
        <w:rPr>
          <w:lang w:val="en-US"/>
        </w:rPr>
      </w:pPr>
      <w:r w:rsidRPr="000C3FED">
        <w:rPr>
          <w:lang w:val="en-US"/>
        </w:rPr>
        <w:t>In this work, we found that bubbling pre-catalyst [Ir(IMes)(COD)Cl] with para-hydrogen in an aqueous solution in the presence of 1% pyridine produced stable positively charged iridium dihydride [Ir(IMes)(Py</w:t>
      </w:r>
      <w:r w:rsidRPr="000C3FED">
        <w:rPr>
          <w:vertAlign w:val="subscript"/>
          <w:lang w:val="en-US"/>
        </w:rPr>
        <w:t>eq</w:t>
      </w:r>
      <w:r w:rsidRPr="000C3FED">
        <w:rPr>
          <w:lang w:val="en-US"/>
        </w:rPr>
        <w:t>)</w:t>
      </w:r>
      <w:r w:rsidRPr="000C3FED">
        <w:rPr>
          <w:vertAlign w:val="subscript"/>
          <w:lang w:val="en-US"/>
        </w:rPr>
        <w:t>2</w:t>
      </w:r>
      <w:r w:rsidRPr="000C3FED">
        <w:rPr>
          <w:lang w:val="en-US"/>
        </w:rPr>
        <w:t>(Py</w:t>
      </w:r>
      <w:r w:rsidRPr="000C3FED">
        <w:rPr>
          <w:vertAlign w:val="subscript"/>
          <w:lang w:val="en-US"/>
        </w:rPr>
        <w:t>ax</w:t>
      </w:r>
      <w:r w:rsidRPr="000C3FED">
        <w:rPr>
          <w:lang w:val="en-US"/>
        </w:rPr>
        <w:t>)H</w:t>
      </w:r>
      <w:r w:rsidRPr="000C3FED">
        <w:rPr>
          <w:vertAlign w:val="subscript"/>
          <w:lang w:val="en-US"/>
        </w:rPr>
        <w:t>2</w:t>
      </w:r>
      <w:r w:rsidRPr="000C3FED">
        <w:rPr>
          <w:lang w:val="en-US"/>
        </w:rPr>
        <w:t>]Cl with three pyridine ligands and IMes carbene. Previously, the crystal structure of the complex was studied by XRD for crystals obtained from organic solvents [7]. Moreover, the activation of the pre-catalyst in the presence of pyridine and nicotinamide was studied</w:t>
      </w:r>
      <w:r w:rsidRPr="00743DE2">
        <w:rPr>
          <w:lang w:val="en-GB"/>
        </w:rPr>
        <w:t xml:space="preserve"> </w:t>
      </w:r>
      <w:r w:rsidRPr="000C3FED">
        <w:rPr>
          <w:lang w:val="en-US"/>
        </w:rPr>
        <w:t>by the indirect detection using para-hydrogen [8]. The SABRE experiments were performed in a strong magnetic field [9], and the NMR parameters of the complex in methanol-d</w:t>
      </w:r>
      <w:r w:rsidRPr="000C3FED">
        <w:rPr>
          <w:vertAlign w:val="subscript"/>
          <w:lang w:val="en-US"/>
        </w:rPr>
        <w:t>4</w:t>
      </w:r>
      <w:r w:rsidRPr="000C3FED">
        <w:rPr>
          <w:lang w:val="en-US"/>
        </w:rPr>
        <w:t xml:space="preserve"> were obtained [10].</w:t>
      </w:r>
    </w:p>
    <w:p w:rsidR="00337EE1" w:rsidRPr="000C3FED" w:rsidRDefault="00337EE1" w:rsidP="00337EE1">
      <w:pPr>
        <w:pStyle w:val="Text"/>
        <w:rPr>
          <w:lang w:val="en-US"/>
        </w:rPr>
      </w:pPr>
      <w:r w:rsidRPr="000C3FED">
        <w:rPr>
          <w:lang w:val="en-US"/>
        </w:rPr>
        <w:t>Here, we report the results of the proton T</w:t>
      </w:r>
      <w:r w:rsidRPr="000C3FED">
        <w:rPr>
          <w:vertAlign w:val="subscript"/>
          <w:lang w:val="en-US"/>
        </w:rPr>
        <w:t>1</w:t>
      </w:r>
      <w:r w:rsidRPr="000C3FED">
        <w:rPr>
          <w:lang w:val="en-US"/>
        </w:rPr>
        <w:t xml:space="preserve"> relaxation time measurements over a wide range of magnetic fields from 0.5 T to 16.4 T using a home-built fast magnetic field cycling setup based on a high-resolution 700 MHz NMR spectrometer [11].</w:t>
      </w:r>
    </w:p>
    <w:p w:rsidR="00337EE1" w:rsidRPr="00743DE2" w:rsidRDefault="00337EE1" w:rsidP="00337EE1">
      <w:pPr>
        <w:pStyle w:val="Text"/>
        <w:rPr>
          <w:lang w:val="en-US"/>
        </w:rPr>
      </w:pPr>
      <w:r w:rsidRPr="00743DE2">
        <w:rPr>
          <w:lang w:val="en-US"/>
        </w:rPr>
        <w:t>A sample containing 1.1 mg of the pre-catalyst (synthesized according to the published procedure [12]), 6 µL of pyridine, 30 µL of D</w:t>
      </w:r>
      <w:r w:rsidRPr="00743DE2">
        <w:rPr>
          <w:vertAlign w:val="subscript"/>
          <w:lang w:val="en-US"/>
        </w:rPr>
        <w:t>2</w:t>
      </w:r>
      <w:r w:rsidRPr="00743DE2">
        <w:rPr>
          <w:lang w:val="en-US"/>
        </w:rPr>
        <w:t>O, and 589 µL of H</w:t>
      </w:r>
      <w:r w:rsidRPr="00743DE2">
        <w:rPr>
          <w:vertAlign w:val="subscript"/>
          <w:lang w:val="en-US"/>
        </w:rPr>
        <w:t>2</w:t>
      </w:r>
      <w:r w:rsidRPr="00743DE2">
        <w:rPr>
          <w:lang w:val="en-US"/>
        </w:rPr>
        <w:t xml:space="preserve">O was bubbled with hydrogen at 4 </w:t>
      </w:r>
      <w:proofErr w:type="spellStart"/>
      <w:r w:rsidRPr="00743DE2">
        <w:rPr>
          <w:lang w:val="en-US"/>
        </w:rPr>
        <w:t>atm</w:t>
      </w:r>
      <w:proofErr w:type="spellEnd"/>
      <w:r w:rsidRPr="00743DE2">
        <w:rPr>
          <w:lang w:val="en-US"/>
        </w:rPr>
        <w:t xml:space="preserve"> and 45 °C in an NMR tube for 15 min. The color change from yellow to colorless indicated the end of the hydrogenation of </w:t>
      </w:r>
      <w:proofErr w:type="spellStart"/>
      <w:r w:rsidRPr="00743DE2">
        <w:rPr>
          <w:lang w:val="en-US"/>
        </w:rPr>
        <w:t>cyclooctadiene</w:t>
      </w:r>
      <w:proofErr w:type="spellEnd"/>
      <w:r w:rsidRPr="00743DE2">
        <w:rPr>
          <w:lang w:val="en-US"/>
        </w:rPr>
        <w:t xml:space="preserve"> and the formation of a stable iridium </w:t>
      </w:r>
      <w:proofErr w:type="spellStart"/>
      <w:r w:rsidRPr="00743DE2">
        <w:rPr>
          <w:lang w:val="en-US"/>
        </w:rPr>
        <w:t>dihydride</w:t>
      </w:r>
      <w:proofErr w:type="spellEnd"/>
      <w:r w:rsidRPr="00743DE2">
        <w:rPr>
          <w:lang w:val="en-US"/>
        </w:rPr>
        <w:t xml:space="preserve"> stabilized by three pyridine molecules and </w:t>
      </w:r>
      <w:proofErr w:type="spellStart"/>
      <w:r w:rsidRPr="00743DE2">
        <w:rPr>
          <w:lang w:val="en-US"/>
        </w:rPr>
        <w:t>IMes</w:t>
      </w:r>
      <w:proofErr w:type="spellEnd"/>
      <w:r w:rsidRPr="00743DE2">
        <w:rPr>
          <w:lang w:val="en-US"/>
        </w:rPr>
        <w:t xml:space="preserve">. The </w:t>
      </w:r>
      <w:r w:rsidRPr="00743DE2">
        <w:rPr>
          <w:vertAlign w:val="superscript"/>
          <w:lang w:val="en-US"/>
        </w:rPr>
        <w:t>1</w:t>
      </w:r>
      <w:r w:rsidRPr="00743DE2">
        <w:rPr>
          <w:lang w:val="en-US"/>
        </w:rPr>
        <w:t xml:space="preserve">H NMR spectrum of the resulting solution is shown in Fig. 1. The suppression during FID accumulation was applied to suppress the </w:t>
      </w:r>
      <w:r w:rsidRPr="00743DE2">
        <w:rPr>
          <w:vertAlign w:val="superscript"/>
          <w:lang w:val="en-US"/>
        </w:rPr>
        <w:t>13</w:t>
      </w:r>
      <w:r w:rsidRPr="00743DE2">
        <w:rPr>
          <w:lang w:val="en-US"/>
        </w:rPr>
        <w:t>C satellites.</w:t>
      </w:r>
    </w:p>
    <w:p w:rsidR="00337EE1" w:rsidRPr="00743DE2" w:rsidRDefault="00337EE1" w:rsidP="00337EE1">
      <w:pPr>
        <w:pStyle w:val="Text"/>
        <w:rPr>
          <w:lang w:val="en-US"/>
        </w:rPr>
      </w:pPr>
      <w:r w:rsidRPr="00743DE2">
        <w:rPr>
          <w:lang w:val="en-US"/>
        </w:rPr>
        <w:t>The measurements of T</w:t>
      </w:r>
      <w:r w:rsidRPr="00743DE2">
        <w:rPr>
          <w:vertAlign w:val="subscript"/>
          <w:lang w:val="en-US"/>
        </w:rPr>
        <w:t>1</w:t>
      </w:r>
      <w:r w:rsidRPr="00743DE2">
        <w:rPr>
          <w:lang w:val="en-US"/>
        </w:rPr>
        <w:t xml:space="preserve"> relaxation times were carried out by the recovery inversion method on a specially designed setup for rapid displacement of the sample along the vertical axis of a </w:t>
      </w:r>
      <w:proofErr w:type="spellStart"/>
      <w:r w:rsidRPr="00743DE2">
        <w:rPr>
          <w:lang w:val="en-US"/>
        </w:rPr>
        <w:t>cryomagnet</w:t>
      </w:r>
      <w:proofErr w:type="spellEnd"/>
      <w:r w:rsidRPr="00743DE2">
        <w:rPr>
          <w:lang w:val="en-US"/>
        </w:rPr>
        <w:t xml:space="preserve">. The magnetic field for relaxation was determined by the position of the sample from the center of the </w:t>
      </w:r>
      <w:proofErr w:type="spellStart"/>
      <w:r w:rsidRPr="00743DE2">
        <w:rPr>
          <w:lang w:val="en-US"/>
        </w:rPr>
        <w:t>cryomagnet</w:t>
      </w:r>
      <w:proofErr w:type="spellEnd"/>
      <w:r w:rsidRPr="00743DE2">
        <w:rPr>
          <w:lang w:val="en-US"/>
        </w:rPr>
        <w:t xml:space="preserve"> bore. The experimental protocol was as follows: (1) relaxation in a 16.4 T field for 15 s to create the initial Boltzmann polarization; (2) application of a 180-degree hard pulse to invert the magnetization of all protons; (3) moving the sample into the selected magnetic field (faster than 290 ms); (4) holding the sample in B</w:t>
      </w:r>
      <w:r w:rsidRPr="00743DE2">
        <w:rPr>
          <w:vertAlign w:val="subscript"/>
          <w:lang w:val="en-US"/>
        </w:rPr>
        <w:t>0</w:t>
      </w:r>
      <w:r w:rsidRPr="00743DE2">
        <w:rPr>
          <w:lang w:val="en-US"/>
        </w:rPr>
        <w:t xml:space="preserve"> field for a varying time from 0.01 to 10 s for relaxation; (5) returning the sample to the detection field; (6) delay 150 ms to calm down the vibration of the sample; (7) recording the NMR spectrum using excitation sculpting [13] sequences to avoid the excitation of the large H</w:t>
      </w:r>
      <w:r w:rsidRPr="00743DE2">
        <w:rPr>
          <w:vertAlign w:val="subscript"/>
          <w:lang w:val="en-US"/>
        </w:rPr>
        <w:t>2</w:t>
      </w:r>
      <w:r w:rsidRPr="00743DE2">
        <w:rPr>
          <w:lang w:val="en-US"/>
        </w:rPr>
        <w:t xml:space="preserve">O solvent signal and using the suppression of the </w:t>
      </w:r>
      <w:r w:rsidRPr="00743DE2">
        <w:rPr>
          <w:vertAlign w:val="superscript"/>
          <w:lang w:val="en-US"/>
        </w:rPr>
        <w:t>13</w:t>
      </w:r>
      <w:r w:rsidRPr="00743DE2">
        <w:rPr>
          <w:lang w:val="en-US"/>
        </w:rPr>
        <w:t>C interactions to get rid of satellites from the pyridine signals.</w:t>
      </w:r>
    </w:p>
    <w:p w:rsidR="00337EE1" w:rsidRPr="0001001C" w:rsidRDefault="00337EE1" w:rsidP="00337EE1">
      <w:pPr>
        <w:pStyle w:val="Text"/>
        <w:rPr>
          <w:rFonts w:eastAsiaTheme="minorEastAsia"/>
          <w:sz w:val="16"/>
          <w:lang w:val="en-US"/>
        </w:rPr>
      </w:pPr>
      <w:proofErr w:type="gramStart"/>
      <w:r w:rsidRPr="00743DE2">
        <w:rPr>
          <w:lang w:val="en-US"/>
        </w:rPr>
        <w:t>Each relaxation kinetics</w:t>
      </w:r>
      <w:proofErr w:type="gramEnd"/>
      <w:r w:rsidRPr="00743DE2">
        <w:rPr>
          <w:lang w:val="en-US"/>
        </w:rPr>
        <w:t xml:space="preserve"> containing 16 time points was modeled by a decreasing exponent, and a set of T</w:t>
      </w:r>
      <w:r w:rsidRPr="00743DE2">
        <w:rPr>
          <w:vertAlign w:val="subscript"/>
          <w:lang w:val="en-US"/>
        </w:rPr>
        <w:t>1</w:t>
      </w:r>
      <w:r w:rsidRPr="00743DE2">
        <w:rPr>
          <w:lang w:val="en-US"/>
        </w:rPr>
        <w:t xml:space="preserve"> for each signal in the NMR spectra was obtained. The dependence of the relaxation time on the magnetic field was then plotted and fitted using equation (1), derived from the model of nuclear relaxation due to fluctuations of the local magnetic fields (Fig. 2). As a result, the rotational correlation times </w:t>
      </w:r>
      <w:r w:rsidRPr="00743DE2">
        <w:rPr>
          <w:rFonts w:ascii="Symbol" w:hAnsi="Symbol"/>
        </w:rPr>
        <w:t></w:t>
      </w:r>
      <w:r w:rsidRPr="00743DE2">
        <w:rPr>
          <w:vertAlign w:val="subscript"/>
          <w:lang w:val="en-GB"/>
        </w:rPr>
        <w:t>c</w:t>
      </w:r>
      <w:r w:rsidRPr="00743DE2">
        <w:rPr>
          <w:lang w:val="en-US"/>
        </w:rPr>
        <w:t xml:space="preserve"> for the protons of the complex were obtained that are summarized in Table 1.</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3"/>
        <w:gridCol w:w="2512"/>
        <w:gridCol w:w="403"/>
      </w:tblGrid>
      <w:tr w:rsidR="00337EE1" w:rsidTr="00C00DA0">
        <w:trPr>
          <w:jc w:val="center"/>
        </w:trPr>
        <w:tc>
          <w:tcPr>
            <w:tcW w:w="403" w:type="dxa"/>
            <w:vAlign w:val="center"/>
          </w:tcPr>
          <w:p w:rsidR="00337EE1" w:rsidRPr="00337EE1" w:rsidRDefault="00337EE1" w:rsidP="00C00DA0">
            <w:pPr>
              <w:jc w:val="center"/>
              <w:rPr>
                <w:rFonts w:ascii="Times New Roman" w:hAnsi="Times New Roman" w:cs="Times New Roman"/>
                <w:sz w:val="16"/>
                <w:szCs w:val="18"/>
                <w:lang w:val="en-US"/>
              </w:rPr>
            </w:pPr>
          </w:p>
        </w:tc>
        <w:tc>
          <w:tcPr>
            <w:tcW w:w="0" w:type="auto"/>
          </w:tcPr>
          <w:p w:rsidR="00337EE1" w:rsidRPr="00E57EEA" w:rsidRDefault="00FD2FDA" w:rsidP="00C762CE">
            <w:pPr>
              <w:jc w:val="center"/>
              <w:rPr>
                <w:rFonts w:ascii="Times New Roman" w:hAnsi="Times New Roman" w:cs="Times New Roman"/>
                <w:sz w:val="16"/>
                <w:szCs w:val="18"/>
              </w:rPr>
            </w:pPr>
            <m:oMathPara>
              <m:oMath>
                <m:f>
                  <m:fPr>
                    <m:ctrlPr>
                      <w:rPr>
                        <w:rFonts w:ascii="Cambria Math" w:hAnsi="Cambria Math" w:cs="Times New Roman"/>
                        <w:i/>
                        <w:sz w:val="16"/>
                        <w:szCs w:val="18"/>
                        <w:lang w:val="en-US"/>
                      </w:rPr>
                    </m:ctrlPr>
                  </m:fPr>
                  <m:num>
                    <m:r>
                      <w:rPr>
                        <w:rFonts w:ascii="Cambria Math" w:hAnsi="Cambria Math" w:cs="Times New Roman"/>
                        <w:sz w:val="16"/>
                        <w:szCs w:val="18"/>
                        <w:lang w:val="en-US"/>
                      </w:rPr>
                      <m:t>1</m:t>
                    </m:r>
                  </m:num>
                  <m:den>
                    <m:sSub>
                      <m:sSubPr>
                        <m:ctrlPr>
                          <w:rPr>
                            <w:rFonts w:ascii="Cambria Math" w:hAnsi="Cambria Math" w:cs="Times New Roman"/>
                            <w:i/>
                            <w:sz w:val="16"/>
                            <w:szCs w:val="18"/>
                            <w:lang w:val="en-US"/>
                          </w:rPr>
                        </m:ctrlPr>
                      </m:sSubPr>
                      <m:e>
                        <m:r>
                          <w:rPr>
                            <w:rFonts w:ascii="Cambria Math" w:hAnsi="Cambria Math" w:cs="Times New Roman"/>
                            <w:sz w:val="16"/>
                            <w:szCs w:val="18"/>
                            <w:lang w:val="en-US"/>
                          </w:rPr>
                          <m:t>T</m:t>
                        </m:r>
                      </m:e>
                      <m:sub>
                        <m:r>
                          <w:rPr>
                            <w:rFonts w:ascii="Cambria Math" w:hAnsi="Cambria Math" w:cs="Times New Roman"/>
                            <w:sz w:val="16"/>
                            <w:szCs w:val="18"/>
                            <w:lang w:val="en-US"/>
                          </w:rPr>
                          <m:t>1</m:t>
                        </m:r>
                      </m:sub>
                    </m:sSub>
                    <m:d>
                      <m:dPr>
                        <m:ctrlPr>
                          <w:rPr>
                            <w:rFonts w:ascii="Cambria Math" w:hAnsi="Cambria Math" w:cs="Times New Roman"/>
                            <w:i/>
                            <w:sz w:val="16"/>
                            <w:szCs w:val="18"/>
                            <w:lang w:val="en-US"/>
                          </w:rPr>
                        </m:ctrlPr>
                      </m:dPr>
                      <m:e>
                        <m:sSub>
                          <m:sSubPr>
                            <m:ctrlPr>
                              <w:rPr>
                                <w:rFonts w:ascii="Cambria Math" w:hAnsi="Cambria Math" w:cs="Times New Roman"/>
                                <w:i/>
                                <w:sz w:val="16"/>
                                <w:szCs w:val="18"/>
                                <w:lang w:val="en-US"/>
                              </w:rPr>
                            </m:ctrlPr>
                          </m:sSubPr>
                          <m:e>
                            <m:r>
                              <w:rPr>
                                <w:rFonts w:ascii="Cambria Math" w:hAnsi="Cambria Math" w:cs="Times New Roman"/>
                                <w:sz w:val="16"/>
                                <w:szCs w:val="18"/>
                                <w:lang w:val="en-US"/>
                              </w:rPr>
                              <m:t>B</m:t>
                            </m:r>
                          </m:e>
                          <m:sub>
                            <m:r>
                              <w:rPr>
                                <w:rFonts w:ascii="Cambria Math" w:hAnsi="Cambria Math" w:cs="Times New Roman"/>
                                <w:sz w:val="16"/>
                                <w:szCs w:val="18"/>
                                <w:lang w:val="en-US"/>
                              </w:rPr>
                              <m:t>0</m:t>
                            </m:r>
                          </m:sub>
                        </m:sSub>
                      </m:e>
                    </m:d>
                  </m:den>
                </m:f>
                <m:r>
                  <w:rPr>
                    <w:rFonts w:ascii="Cambria Math" w:hAnsi="Cambria Math" w:cs="Times New Roman"/>
                    <w:sz w:val="16"/>
                    <w:szCs w:val="18"/>
                    <w:lang w:val="en-US"/>
                  </w:rPr>
                  <m:t>=</m:t>
                </m:r>
                <m:f>
                  <m:fPr>
                    <m:ctrlPr>
                      <w:rPr>
                        <w:rFonts w:ascii="Cambria Math" w:hAnsi="Cambria Math" w:cs="Times New Roman"/>
                        <w:i/>
                        <w:sz w:val="16"/>
                        <w:szCs w:val="18"/>
                        <w:lang w:val="en-US"/>
                      </w:rPr>
                    </m:ctrlPr>
                  </m:fPr>
                  <m:num>
                    <m:r>
                      <w:rPr>
                        <w:rFonts w:ascii="Cambria Math" w:hAnsi="Cambria Math" w:cs="Times New Roman"/>
                        <w:sz w:val="16"/>
                        <w:szCs w:val="18"/>
                        <w:lang w:val="en-US"/>
                      </w:rPr>
                      <m:t>1</m:t>
                    </m:r>
                  </m:num>
                  <m:den>
                    <m:sSubSup>
                      <m:sSubSupPr>
                        <m:ctrlPr>
                          <w:rPr>
                            <w:rFonts w:ascii="Cambria Math" w:hAnsi="Cambria Math" w:cs="Times New Roman"/>
                            <w:i/>
                            <w:sz w:val="16"/>
                            <w:szCs w:val="18"/>
                            <w:lang w:val="en-US"/>
                          </w:rPr>
                        </m:ctrlPr>
                      </m:sSubSupPr>
                      <m:e>
                        <m:r>
                          <w:rPr>
                            <w:rFonts w:ascii="Cambria Math" w:hAnsi="Cambria Math" w:cs="Times New Roman"/>
                            <w:sz w:val="16"/>
                            <w:szCs w:val="18"/>
                            <w:lang w:val="en-US"/>
                          </w:rPr>
                          <m:t>T</m:t>
                        </m:r>
                      </m:e>
                      <m:sub>
                        <m:r>
                          <w:rPr>
                            <w:rFonts w:ascii="Cambria Math" w:hAnsi="Cambria Math" w:cs="Times New Roman"/>
                            <w:sz w:val="16"/>
                            <w:szCs w:val="18"/>
                            <w:lang w:val="en-US"/>
                          </w:rPr>
                          <m:t>1</m:t>
                        </m:r>
                      </m:sub>
                      <m:sup>
                        <m:r>
                          <w:rPr>
                            <w:rFonts w:ascii="Cambria Math" w:hAnsi="Cambria Math" w:cs="Times New Roman"/>
                            <w:sz w:val="16"/>
                            <w:szCs w:val="18"/>
                            <w:lang w:val="en-US"/>
                          </w:rPr>
                          <m:t>inf</m:t>
                        </m:r>
                      </m:sup>
                    </m:sSubSup>
                  </m:den>
                </m:f>
                <m:r>
                  <w:rPr>
                    <w:rFonts w:ascii="Cambria Math" w:hAnsi="Cambria Math" w:cs="Times New Roman"/>
                    <w:sz w:val="16"/>
                    <w:szCs w:val="18"/>
                    <w:lang w:val="en-US"/>
                  </w:rPr>
                  <m:t>+</m:t>
                </m:r>
                <m:f>
                  <m:fPr>
                    <m:ctrlPr>
                      <w:rPr>
                        <w:rFonts w:ascii="Cambria Math" w:hAnsi="Cambria Math" w:cs="Times New Roman"/>
                        <w:i/>
                        <w:sz w:val="16"/>
                        <w:szCs w:val="18"/>
                        <w:lang w:val="en-US"/>
                      </w:rPr>
                    </m:ctrlPr>
                  </m:fPr>
                  <m:num>
                    <m:r>
                      <w:rPr>
                        <w:rFonts w:ascii="Cambria Math" w:hAnsi="Cambria Math" w:cs="Times New Roman"/>
                        <w:sz w:val="16"/>
                        <w:szCs w:val="18"/>
                        <w:lang w:val="en-US"/>
                      </w:rPr>
                      <m:t>A</m:t>
                    </m:r>
                  </m:num>
                  <m:den>
                    <m:d>
                      <m:dPr>
                        <m:ctrlPr>
                          <w:rPr>
                            <w:rFonts w:ascii="Cambria Math" w:hAnsi="Cambria Math" w:cs="Times New Roman"/>
                            <w:i/>
                            <w:sz w:val="16"/>
                            <w:szCs w:val="18"/>
                            <w:lang w:val="en-US"/>
                          </w:rPr>
                        </m:ctrlPr>
                      </m:dPr>
                      <m:e>
                        <m:r>
                          <w:rPr>
                            <w:rFonts w:ascii="Cambria Math" w:hAnsi="Cambria Math" w:cs="Times New Roman"/>
                            <w:sz w:val="16"/>
                            <w:szCs w:val="18"/>
                            <w:lang w:val="en-US"/>
                          </w:rPr>
                          <m:t>1+</m:t>
                        </m:r>
                        <m:sSup>
                          <m:sSupPr>
                            <m:ctrlPr>
                              <w:rPr>
                                <w:rFonts w:ascii="Cambria Math" w:hAnsi="Cambria Math" w:cs="Times New Roman"/>
                                <w:i/>
                                <w:sz w:val="16"/>
                                <w:szCs w:val="18"/>
                                <w:lang w:val="en-US"/>
                              </w:rPr>
                            </m:ctrlPr>
                          </m:sSupPr>
                          <m:e>
                            <m:d>
                              <m:dPr>
                                <m:ctrlPr>
                                  <w:rPr>
                                    <w:rFonts w:ascii="Cambria Math" w:hAnsi="Cambria Math" w:cs="Times New Roman"/>
                                    <w:i/>
                                    <w:sz w:val="16"/>
                                    <w:szCs w:val="18"/>
                                    <w:lang w:val="en-US"/>
                                  </w:rPr>
                                </m:ctrlPr>
                              </m:dPr>
                              <m:e>
                                <m:sSub>
                                  <m:sSubPr>
                                    <m:ctrlPr>
                                      <w:rPr>
                                        <w:rFonts w:ascii="Cambria Math" w:hAnsi="Cambria Math" w:cs="Times New Roman"/>
                                        <w:i/>
                                        <w:sz w:val="16"/>
                                        <w:szCs w:val="18"/>
                                        <w:lang w:val="en-US"/>
                                      </w:rPr>
                                    </m:ctrlPr>
                                  </m:sSubPr>
                                  <m:e>
                                    <m:r>
                                      <w:rPr>
                                        <w:rFonts w:ascii="Cambria Math" w:hAnsi="Cambria Math" w:cs="Times New Roman"/>
                                        <w:sz w:val="16"/>
                                        <w:szCs w:val="18"/>
                                        <w:lang w:val="en-US"/>
                                      </w:rPr>
                                      <m:t>γ</m:t>
                                    </m:r>
                                  </m:e>
                                  <m:sub>
                                    <m:r>
                                      <w:rPr>
                                        <w:rFonts w:ascii="Cambria Math" w:hAnsi="Cambria Math" w:cs="Times New Roman"/>
                                        <w:sz w:val="16"/>
                                        <w:szCs w:val="18"/>
                                        <w:lang w:val="en-US"/>
                                      </w:rPr>
                                      <m:t>H</m:t>
                                    </m:r>
                                  </m:sub>
                                </m:sSub>
                                <m:sSub>
                                  <m:sSubPr>
                                    <m:ctrlPr>
                                      <w:rPr>
                                        <w:rFonts w:ascii="Cambria Math" w:hAnsi="Cambria Math" w:cs="Times New Roman"/>
                                        <w:i/>
                                        <w:sz w:val="16"/>
                                        <w:szCs w:val="18"/>
                                        <w:lang w:val="en-US"/>
                                      </w:rPr>
                                    </m:ctrlPr>
                                  </m:sSubPr>
                                  <m:e>
                                    <m:r>
                                      <w:rPr>
                                        <w:rFonts w:ascii="Cambria Math" w:hAnsi="Cambria Math" w:cs="Times New Roman"/>
                                        <w:sz w:val="16"/>
                                        <w:szCs w:val="18"/>
                                        <w:lang w:val="en-US"/>
                                      </w:rPr>
                                      <m:t>B</m:t>
                                    </m:r>
                                  </m:e>
                                  <m:sub>
                                    <m:r>
                                      <w:rPr>
                                        <w:rFonts w:ascii="Cambria Math" w:hAnsi="Cambria Math" w:cs="Times New Roman"/>
                                        <w:sz w:val="16"/>
                                        <w:szCs w:val="18"/>
                                        <w:lang w:val="en-US"/>
                                      </w:rPr>
                                      <m:t>0</m:t>
                                    </m:r>
                                  </m:sub>
                                </m:sSub>
                                <m:sSub>
                                  <m:sSubPr>
                                    <m:ctrlPr>
                                      <w:rPr>
                                        <w:rFonts w:ascii="Cambria Math" w:hAnsi="Cambria Math" w:cs="Times New Roman"/>
                                        <w:i/>
                                        <w:sz w:val="16"/>
                                        <w:szCs w:val="18"/>
                                        <w:lang w:val="en-US"/>
                                      </w:rPr>
                                    </m:ctrlPr>
                                  </m:sSubPr>
                                  <m:e>
                                    <m:r>
                                      <w:rPr>
                                        <w:rFonts w:ascii="Cambria Math" w:hAnsi="Cambria Math" w:cs="Times New Roman"/>
                                        <w:sz w:val="16"/>
                                        <w:szCs w:val="18"/>
                                        <w:lang w:val="en-US"/>
                                      </w:rPr>
                                      <m:t>τ</m:t>
                                    </m:r>
                                  </m:e>
                                  <m:sub>
                                    <m:r>
                                      <w:rPr>
                                        <w:rFonts w:ascii="Cambria Math" w:hAnsi="Cambria Math" w:cs="Times New Roman"/>
                                        <w:sz w:val="16"/>
                                        <w:szCs w:val="18"/>
                                        <w:lang w:val="en-US"/>
                                      </w:rPr>
                                      <m:t>c</m:t>
                                    </m:r>
                                  </m:sub>
                                </m:sSub>
                              </m:e>
                            </m:d>
                          </m:e>
                          <m:sup>
                            <m:r>
                              <w:rPr>
                                <w:rFonts w:ascii="Cambria Math" w:hAnsi="Cambria Math" w:cs="Times New Roman"/>
                                <w:sz w:val="16"/>
                                <w:szCs w:val="18"/>
                                <w:lang w:val="en-US"/>
                              </w:rPr>
                              <m:t>2</m:t>
                            </m:r>
                          </m:sup>
                        </m:sSup>
                      </m:e>
                    </m:d>
                  </m:den>
                </m:f>
                <m:r>
                  <w:rPr>
                    <w:rFonts w:ascii="Cambria Math" w:hAnsi="Cambria Math" w:cs="Times New Roman"/>
                    <w:sz w:val="16"/>
                    <w:szCs w:val="18"/>
                    <w:lang w:val="en-US"/>
                  </w:rPr>
                  <m:t xml:space="preserve"> ,</m:t>
                </m:r>
              </m:oMath>
            </m:oMathPara>
          </w:p>
        </w:tc>
        <w:tc>
          <w:tcPr>
            <w:tcW w:w="403" w:type="dxa"/>
            <w:vAlign w:val="center"/>
          </w:tcPr>
          <w:p w:rsidR="00337EE1" w:rsidRDefault="00337EE1" w:rsidP="00C00DA0">
            <w:pPr>
              <w:jc w:val="right"/>
              <w:rPr>
                <w:rFonts w:ascii="Times New Roman" w:hAnsi="Times New Roman" w:cs="Times New Roman"/>
                <w:sz w:val="16"/>
                <w:szCs w:val="18"/>
              </w:rPr>
            </w:pPr>
            <w:r w:rsidRPr="00436E6E">
              <w:rPr>
                <w:rFonts w:ascii="Times New Roman" w:eastAsiaTheme="minorEastAsia" w:hAnsi="Times New Roman" w:cs="Times New Roman"/>
                <w:sz w:val="16"/>
                <w:szCs w:val="18"/>
                <w:lang w:val="en-US"/>
              </w:rPr>
              <w:t>(1)</w:t>
            </w:r>
          </w:p>
        </w:tc>
      </w:tr>
    </w:tbl>
    <w:p w:rsidR="00337EE1" w:rsidRPr="00743DE2" w:rsidRDefault="00337EE1" w:rsidP="00337EE1">
      <w:pPr>
        <w:pStyle w:val="Text"/>
        <w:rPr>
          <w:lang w:val="en-US"/>
        </w:rPr>
      </w:pPr>
      <w:proofErr w:type="gramStart"/>
      <w:r w:rsidRPr="00743DE2">
        <w:rPr>
          <w:lang w:val="en-US"/>
        </w:rPr>
        <w:t>where</w:t>
      </w:r>
      <w:proofErr w:type="gramEnd"/>
      <w:r w:rsidRPr="00743DE2">
        <w:rPr>
          <w:lang w:val="en-US"/>
        </w:rPr>
        <w:t xml:space="preserve"> T</w:t>
      </w:r>
      <w:r w:rsidRPr="00743DE2">
        <w:rPr>
          <w:vertAlign w:val="subscript"/>
          <w:lang w:val="en-US"/>
        </w:rPr>
        <w:t>1</w:t>
      </w:r>
      <w:r w:rsidRPr="00743DE2">
        <w:rPr>
          <w:vertAlign w:val="superscript"/>
          <w:lang w:val="en-US"/>
        </w:rPr>
        <w:t>inf</w:t>
      </w:r>
      <w:r w:rsidRPr="00743DE2">
        <w:rPr>
          <w:lang w:val="en-US"/>
        </w:rPr>
        <w:t xml:space="preserve">, A, </w:t>
      </w:r>
      <w:r w:rsidRPr="00743DE2">
        <w:rPr>
          <w:rFonts w:ascii="Symbol" w:hAnsi="Symbol"/>
          <w:lang w:val="en-US"/>
        </w:rPr>
        <w:t></w:t>
      </w:r>
      <w:r w:rsidRPr="00743DE2">
        <w:rPr>
          <w:vertAlign w:val="subscript"/>
          <w:lang w:val="en-US"/>
        </w:rPr>
        <w:t>c</w:t>
      </w:r>
      <w:r w:rsidRPr="00743DE2">
        <w:rPr>
          <w:lang w:val="en-US"/>
        </w:rPr>
        <w:t xml:space="preserve"> are the fitting parameters, </w:t>
      </w:r>
      <w:r w:rsidRPr="00743DE2">
        <w:rPr>
          <w:rFonts w:ascii="Symbol" w:hAnsi="Symbol"/>
          <w:lang w:val="en-US"/>
        </w:rPr>
        <w:t></w:t>
      </w:r>
      <w:r w:rsidRPr="00743DE2">
        <w:rPr>
          <w:vertAlign w:val="subscript"/>
          <w:lang w:val="en-US"/>
        </w:rPr>
        <w:t>H</w:t>
      </w:r>
      <w:r w:rsidRPr="00743DE2">
        <w:rPr>
          <w:lang w:val="en-US"/>
        </w:rPr>
        <w:t xml:space="preserve"> is the </w:t>
      </w:r>
      <w:r w:rsidRPr="00743DE2">
        <w:rPr>
          <w:vertAlign w:val="superscript"/>
          <w:lang w:val="en-US"/>
        </w:rPr>
        <w:t>1</w:t>
      </w:r>
      <w:r w:rsidRPr="00743DE2">
        <w:rPr>
          <w:lang w:val="en-US"/>
        </w:rPr>
        <w:t xml:space="preserve">H </w:t>
      </w:r>
      <w:proofErr w:type="spellStart"/>
      <w:r w:rsidRPr="00743DE2">
        <w:rPr>
          <w:lang w:val="en-US"/>
        </w:rPr>
        <w:t>gyromagnetic</w:t>
      </w:r>
      <w:proofErr w:type="spellEnd"/>
      <w:r w:rsidRPr="00743DE2">
        <w:rPr>
          <w:lang w:val="en-US"/>
        </w:rPr>
        <w:t xml:space="preserve"> ratio.</w:t>
      </w:r>
    </w:p>
    <w:p w:rsidR="00337EE1" w:rsidRPr="00743DE2" w:rsidRDefault="00337EE1" w:rsidP="00337EE1">
      <w:pPr>
        <w:pStyle w:val="Illustration"/>
        <w:rPr>
          <w:rFonts w:ascii="Times New Roman" w:hAnsi="Times New Roman" w:cs="Times New Roman"/>
          <w:sz w:val="16"/>
          <w:szCs w:val="16"/>
          <w:lang w:val="en-US"/>
        </w:rPr>
      </w:pPr>
      <w:bookmarkStart w:id="1" w:name="_Hlk181269904"/>
    </w:p>
    <w:bookmarkEnd w:id="1"/>
    <w:p w:rsidR="00337EE1" w:rsidRPr="00743DE2" w:rsidRDefault="00337EE1" w:rsidP="00337EE1">
      <w:pPr>
        <w:pStyle w:val="IllustrationDescription"/>
        <w:rPr>
          <w:b/>
        </w:rPr>
      </w:pPr>
      <w:proofErr w:type="gramStart"/>
      <w:r w:rsidRPr="00337EE1">
        <w:rPr>
          <w:b/>
        </w:rPr>
        <w:t>Figure 2.</w:t>
      </w:r>
      <w:proofErr w:type="gramEnd"/>
      <w:r w:rsidRPr="00743DE2">
        <w:t xml:space="preserve"> </w:t>
      </w:r>
      <w:proofErr w:type="gramStart"/>
      <w:r w:rsidRPr="00743DE2">
        <w:t>Proton relaxation dispersion data.</w:t>
      </w:r>
      <w:proofErr w:type="gramEnd"/>
      <w:r w:rsidRPr="00743DE2">
        <w:t xml:space="preserve"> (</w:t>
      </w:r>
      <w:proofErr w:type="gramStart"/>
      <w:r w:rsidRPr="00743DE2">
        <w:t>symbols</w:t>
      </w:r>
      <w:proofErr w:type="gramEnd"/>
      <w:r w:rsidRPr="00743DE2">
        <w:t xml:space="preserve">) </w:t>
      </w:r>
      <w:proofErr w:type="gramStart"/>
      <w:r w:rsidRPr="00743DE2">
        <w:t>T</w:t>
      </w:r>
      <w:r w:rsidRPr="00743DE2">
        <w:rPr>
          <w:vertAlign w:val="subscript"/>
        </w:rPr>
        <w:t>1</w:t>
      </w:r>
      <w:r w:rsidRPr="00743DE2">
        <w:t xml:space="preserve"> relaxation times of individual protons, (lines) fitting curve using function (1) and the correlation times from Table 1.</w:t>
      </w:r>
      <w:proofErr w:type="gramEnd"/>
    </w:p>
    <w:p w:rsidR="00337EE1" w:rsidRPr="000C3FED" w:rsidRDefault="00337EE1" w:rsidP="00337EE1">
      <w:pPr>
        <w:pStyle w:val="TableDescription"/>
        <w:rPr>
          <w:b/>
          <w:lang w:val="en-US"/>
        </w:rPr>
      </w:pPr>
      <w:r w:rsidRPr="000C3FED">
        <w:rPr>
          <w:b/>
          <w:lang w:val="en-US"/>
        </w:rPr>
        <w:lastRenderedPageBreak/>
        <w:t>Table 1.</w:t>
      </w:r>
      <w:r w:rsidRPr="000C3FED">
        <w:rPr>
          <w:bCs/>
          <w:lang w:val="en-US"/>
        </w:rPr>
        <w:t xml:space="preserve"> Site-specific r</w:t>
      </w:r>
      <w:r w:rsidRPr="000C3FED">
        <w:rPr>
          <w:lang w:val="en-US"/>
        </w:rPr>
        <w:t>otational correlation times (</w:t>
      </w:r>
      <w:r w:rsidRPr="00743DE2">
        <w:rPr>
          <w:rFonts w:ascii="Symbol" w:hAnsi="Symbol"/>
        </w:rPr>
        <w:t></w:t>
      </w:r>
      <w:r w:rsidRPr="000C3FED">
        <w:rPr>
          <w:vertAlign w:val="subscript"/>
          <w:lang w:val="en-US"/>
        </w:rPr>
        <w:t>c</w:t>
      </w:r>
      <w:r w:rsidRPr="000C3FED">
        <w:rPr>
          <w:lang w:val="en-US"/>
        </w:rPr>
        <w:t>) for [Ir(IMes)(Py</w:t>
      </w:r>
      <w:r w:rsidRPr="000C3FED">
        <w:rPr>
          <w:vertAlign w:val="subscript"/>
          <w:lang w:val="en-US"/>
        </w:rPr>
        <w:t>eq</w:t>
      </w:r>
      <w:r w:rsidRPr="000C3FED">
        <w:rPr>
          <w:lang w:val="en-US"/>
        </w:rPr>
        <w:t>)</w:t>
      </w:r>
      <w:r w:rsidRPr="000C3FED">
        <w:rPr>
          <w:vertAlign w:val="subscript"/>
          <w:lang w:val="en-US"/>
        </w:rPr>
        <w:t>2</w:t>
      </w:r>
      <w:r w:rsidRPr="000C3FED">
        <w:rPr>
          <w:lang w:val="en-US"/>
        </w:rPr>
        <w:t>(Py</w:t>
      </w:r>
      <w:r w:rsidRPr="000C3FED">
        <w:rPr>
          <w:vertAlign w:val="subscript"/>
          <w:lang w:val="en-US"/>
        </w:rPr>
        <w:t>ax</w:t>
      </w:r>
      <w:r w:rsidRPr="000C3FED">
        <w:rPr>
          <w:lang w:val="en-US"/>
        </w:rPr>
        <w:t>)H</w:t>
      </w:r>
      <w:r w:rsidRPr="000C3FED">
        <w:rPr>
          <w:vertAlign w:val="subscript"/>
          <w:lang w:val="en-US"/>
        </w:rPr>
        <w:t>2</w:t>
      </w:r>
      <w:r w:rsidRPr="000C3FED">
        <w:rPr>
          <w:lang w:val="en-US"/>
        </w:rPr>
        <w:t>]Cl in an aqueous solution at 25 °C</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15"/>
        <w:gridCol w:w="1105"/>
        <w:gridCol w:w="1643"/>
        <w:gridCol w:w="994"/>
      </w:tblGrid>
      <w:tr w:rsidR="00337EE1" w:rsidRPr="00743DE2" w:rsidTr="00337EE1">
        <w:trPr>
          <w:trHeight w:val="227"/>
          <w:jc w:val="center"/>
        </w:trPr>
        <w:tc>
          <w:tcPr>
            <w:tcW w:w="0" w:type="auto"/>
            <w:tcBorders>
              <w:top w:val="single" w:sz="4" w:space="0" w:color="auto"/>
              <w:bottom w:val="single" w:sz="4" w:space="0" w:color="auto"/>
            </w:tcBorders>
            <w:vAlign w:val="center"/>
          </w:tcPr>
          <w:p w:rsidR="00337EE1" w:rsidRPr="00743DE2" w:rsidRDefault="00337EE1" w:rsidP="00337EE1">
            <w:pPr>
              <w:pStyle w:val="ArticleTable"/>
            </w:pPr>
            <w:r w:rsidRPr="00743DE2">
              <w:t>Proton</w:t>
            </w:r>
          </w:p>
        </w:tc>
        <w:tc>
          <w:tcPr>
            <w:tcW w:w="0" w:type="auto"/>
            <w:tcBorders>
              <w:top w:val="single" w:sz="4" w:space="0" w:color="auto"/>
              <w:bottom w:val="single" w:sz="4" w:space="0" w:color="auto"/>
            </w:tcBorders>
            <w:vAlign w:val="center"/>
          </w:tcPr>
          <w:p w:rsidR="00337EE1" w:rsidRPr="00743DE2" w:rsidRDefault="00337EE1" w:rsidP="00337EE1">
            <w:pPr>
              <w:pStyle w:val="ArticleTable"/>
            </w:pPr>
            <w:r w:rsidRPr="00743DE2">
              <w:rPr>
                <w:rFonts w:ascii="Symbol" w:hAnsi="Symbol"/>
              </w:rPr>
              <w:t></w:t>
            </w:r>
            <w:r w:rsidRPr="00743DE2">
              <w:rPr>
                <w:vertAlign w:val="subscript"/>
              </w:rPr>
              <w:t>c</w:t>
            </w:r>
            <w:r w:rsidRPr="00743DE2">
              <w:t xml:space="preserve">, </w:t>
            </w:r>
            <w:proofErr w:type="spellStart"/>
            <w:r w:rsidRPr="00743DE2">
              <w:t>ps</w:t>
            </w:r>
            <w:proofErr w:type="spellEnd"/>
          </w:p>
        </w:tc>
        <w:tc>
          <w:tcPr>
            <w:tcW w:w="0" w:type="auto"/>
            <w:tcBorders>
              <w:top w:val="single" w:sz="4" w:space="0" w:color="auto"/>
              <w:bottom w:val="single" w:sz="4" w:space="0" w:color="auto"/>
            </w:tcBorders>
            <w:vAlign w:val="center"/>
          </w:tcPr>
          <w:p w:rsidR="00337EE1" w:rsidRPr="00743DE2" w:rsidRDefault="00337EE1" w:rsidP="00337EE1">
            <w:pPr>
              <w:pStyle w:val="ArticleTable"/>
            </w:pPr>
            <w:r w:rsidRPr="00743DE2">
              <w:t>Proton</w:t>
            </w:r>
          </w:p>
        </w:tc>
        <w:tc>
          <w:tcPr>
            <w:tcW w:w="0" w:type="auto"/>
            <w:tcBorders>
              <w:top w:val="single" w:sz="4" w:space="0" w:color="auto"/>
              <w:bottom w:val="single" w:sz="4" w:space="0" w:color="auto"/>
            </w:tcBorders>
            <w:vAlign w:val="center"/>
          </w:tcPr>
          <w:p w:rsidR="00337EE1" w:rsidRPr="00743DE2" w:rsidRDefault="00337EE1" w:rsidP="00337EE1">
            <w:pPr>
              <w:pStyle w:val="ArticleTable"/>
            </w:pPr>
            <w:r w:rsidRPr="00743DE2">
              <w:rPr>
                <w:rFonts w:ascii="Symbol" w:hAnsi="Symbol"/>
              </w:rPr>
              <w:t></w:t>
            </w:r>
            <w:r w:rsidRPr="00743DE2">
              <w:rPr>
                <w:vertAlign w:val="subscript"/>
              </w:rPr>
              <w:t>c</w:t>
            </w:r>
            <w:r w:rsidRPr="00743DE2">
              <w:t xml:space="preserve">, </w:t>
            </w:r>
            <w:proofErr w:type="spellStart"/>
            <w:r w:rsidRPr="00743DE2">
              <w:t>ps</w:t>
            </w:r>
            <w:proofErr w:type="spellEnd"/>
          </w:p>
        </w:tc>
      </w:tr>
      <w:tr w:rsidR="00337EE1" w:rsidRPr="00743DE2" w:rsidTr="00337EE1">
        <w:trPr>
          <w:trHeight w:val="227"/>
          <w:jc w:val="center"/>
        </w:trPr>
        <w:tc>
          <w:tcPr>
            <w:tcW w:w="0" w:type="auto"/>
            <w:tcBorders>
              <w:top w:val="single" w:sz="4" w:space="0" w:color="auto"/>
            </w:tcBorders>
            <w:vAlign w:val="center"/>
          </w:tcPr>
          <w:p w:rsidR="00337EE1" w:rsidRPr="00743DE2" w:rsidRDefault="00337EE1" w:rsidP="00337EE1">
            <w:pPr>
              <w:pStyle w:val="ArticleTable"/>
            </w:pPr>
            <w:r w:rsidRPr="00743DE2">
              <w:t>m-</w:t>
            </w:r>
            <w:proofErr w:type="spellStart"/>
            <w:r w:rsidRPr="00743DE2">
              <w:t>Py</w:t>
            </w:r>
            <w:r w:rsidRPr="00743DE2">
              <w:rPr>
                <w:vertAlign w:val="subscript"/>
              </w:rPr>
              <w:t>ax</w:t>
            </w:r>
            <w:proofErr w:type="spellEnd"/>
          </w:p>
        </w:tc>
        <w:tc>
          <w:tcPr>
            <w:tcW w:w="0" w:type="auto"/>
            <w:tcBorders>
              <w:top w:val="single" w:sz="4" w:space="0" w:color="auto"/>
            </w:tcBorders>
            <w:vAlign w:val="center"/>
          </w:tcPr>
          <w:p w:rsidR="00337EE1" w:rsidRPr="00743DE2" w:rsidRDefault="00337EE1" w:rsidP="00337EE1">
            <w:pPr>
              <w:pStyle w:val="ArticleTable"/>
            </w:pPr>
            <w:r w:rsidRPr="00743DE2">
              <w:t>294 ± 13</w:t>
            </w:r>
          </w:p>
        </w:tc>
        <w:tc>
          <w:tcPr>
            <w:tcW w:w="0" w:type="auto"/>
            <w:tcBorders>
              <w:top w:val="single" w:sz="4" w:space="0" w:color="auto"/>
            </w:tcBorders>
            <w:vAlign w:val="center"/>
          </w:tcPr>
          <w:p w:rsidR="00337EE1" w:rsidRPr="00743DE2" w:rsidRDefault="00337EE1" w:rsidP="00337EE1">
            <w:pPr>
              <w:pStyle w:val="ArticleTable"/>
            </w:pPr>
            <w:r w:rsidRPr="00743DE2">
              <w:t>IMes-CH</w:t>
            </w:r>
            <w:r w:rsidRPr="00743DE2">
              <w:rPr>
                <w:vertAlign w:val="subscript"/>
              </w:rPr>
              <w:t>3</w:t>
            </w:r>
            <w:r w:rsidRPr="00743DE2">
              <w:t>-H4'</w:t>
            </w:r>
          </w:p>
        </w:tc>
        <w:tc>
          <w:tcPr>
            <w:tcW w:w="0" w:type="auto"/>
            <w:tcBorders>
              <w:top w:val="single" w:sz="4" w:space="0" w:color="auto"/>
            </w:tcBorders>
            <w:vAlign w:val="center"/>
          </w:tcPr>
          <w:p w:rsidR="00337EE1" w:rsidRPr="00743DE2" w:rsidRDefault="00337EE1" w:rsidP="00337EE1">
            <w:pPr>
              <w:pStyle w:val="ArticleTable"/>
            </w:pPr>
            <w:r w:rsidRPr="00743DE2">
              <w:t>217 ± 16</w:t>
            </w:r>
          </w:p>
        </w:tc>
      </w:tr>
      <w:tr w:rsidR="00337EE1" w:rsidRPr="00743DE2" w:rsidTr="00337EE1">
        <w:trPr>
          <w:trHeight w:val="227"/>
          <w:jc w:val="center"/>
        </w:trPr>
        <w:tc>
          <w:tcPr>
            <w:tcW w:w="0" w:type="auto"/>
            <w:vAlign w:val="center"/>
          </w:tcPr>
          <w:p w:rsidR="00337EE1" w:rsidRPr="00743DE2" w:rsidRDefault="00337EE1" w:rsidP="00337EE1">
            <w:pPr>
              <w:pStyle w:val="ArticleTable"/>
            </w:pPr>
            <w:r w:rsidRPr="00743DE2">
              <w:t>IMes-H4,5</w:t>
            </w:r>
          </w:p>
        </w:tc>
        <w:tc>
          <w:tcPr>
            <w:tcW w:w="0" w:type="auto"/>
            <w:vAlign w:val="center"/>
          </w:tcPr>
          <w:p w:rsidR="00337EE1" w:rsidRPr="00743DE2" w:rsidRDefault="00337EE1" w:rsidP="00337EE1">
            <w:pPr>
              <w:pStyle w:val="ArticleTable"/>
            </w:pPr>
            <w:r w:rsidRPr="00743DE2">
              <w:t>394 ± 119</w:t>
            </w:r>
          </w:p>
        </w:tc>
        <w:tc>
          <w:tcPr>
            <w:tcW w:w="0" w:type="auto"/>
            <w:vAlign w:val="center"/>
          </w:tcPr>
          <w:p w:rsidR="00337EE1" w:rsidRPr="00743DE2" w:rsidRDefault="00337EE1" w:rsidP="00337EE1">
            <w:pPr>
              <w:pStyle w:val="ArticleTable"/>
            </w:pPr>
            <w:r w:rsidRPr="00743DE2">
              <w:t>IMes-CH</w:t>
            </w:r>
            <w:r w:rsidRPr="00743DE2">
              <w:rPr>
                <w:vertAlign w:val="subscript"/>
              </w:rPr>
              <w:t>3</w:t>
            </w:r>
            <w:r w:rsidRPr="00743DE2">
              <w:t>-H2',6'</w:t>
            </w:r>
          </w:p>
        </w:tc>
        <w:tc>
          <w:tcPr>
            <w:tcW w:w="0" w:type="auto"/>
            <w:vAlign w:val="center"/>
          </w:tcPr>
          <w:p w:rsidR="00337EE1" w:rsidRPr="00743DE2" w:rsidRDefault="00337EE1" w:rsidP="00337EE1">
            <w:pPr>
              <w:pStyle w:val="ArticleTable"/>
            </w:pPr>
            <w:r w:rsidRPr="00743DE2">
              <w:t>259 ± 6</w:t>
            </w:r>
          </w:p>
        </w:tc>
      </w:tr>
      <w:tr w:rsidR="00337EE1" w:rsidRPr="00743DE2" w:rsidTr="00337EE1">
        <w:trPr>
          <w:trHeight w:val="227"/>
          <w:jc w:val="center"/>
        </w:trPr>
        <w:tc>
          <w:tcPr>
            <w:tcW w:w="0" w:type="auto"/>
            <w:tcBorders>
              <w:bottom w:val="single" w:sz="4" w:space="0" w:color="auto"/>
            </w:tcBorders>
            <w:vAlign w:val="center"/>
          </w:tcPr>
          <w:p w:rsidR="00337EE1" w:rsidRPr="00743DE2" w:rsidRDefault="00337EE1" w:rsidP="00337EE1">
            <w:pPr>
              <w:pStyle w:val="ArticleTable"/>
            </w:pPr>
            <w:r w:rsidRPr="00743DE2">
              <w:t>IMes-H3',5'</w:t>
            </w:r>
          </w:p>
        </w:tc>
        <w:tc>
          <w:tcPr>
            <w:tcW w:w="0" w:type="auto"/>
            <w:tcBorders>
              <w:bottom w:val="single" w:sz="4" w:space="0" w:color="auto"/>
            </w:tcBorders>
            <w:vAlign w:val="center"/>
          </w:tcPr>
          <w:p w:rsidR="00337EE1" w:rsidRPr="00743DE2" w:rsidRDefault="00337EE1" w:rsidP="00337EE1">
            <w:pPr>
              <w:pStyle w:val="ArticleTable"/>
            </w:pPr>
            <w:r w:rsidRPr="00743DE2">
              <w:t>303 ± 10</w:t>
            </w:r>
          </w:p>
        </w:tc>
        <w:tc>
          <w:tcPr>
            <w:tcW w:w="0" w:type="auto"/>
            <w:tcBorders>
              <w:bottom w:val="single" w:sz="4" w:space="0" w:color="auto"/>
            </w:tcBorders>
            <w:vAlign w:val="center"/>
          </w:tcPr>
          <w:p w:rsidR="00337EE1" w:rsidRPr="00743DE2" w:rsidRDefault="00337EE1" w:rsidP="00337EE1">
            <w:pPr>
              <w:pStyle w:val="ArticleTable"/>
            </w:pPr>
            <w:proofErr w:type="spellStart"/>
            <w:r w:rsidRPr="00743DE2">
              <w:t>Ir</w:t>
            </w:r>
            <w:proofErr w:type="spellEnd"/>
            <w:r w:rsidRPr="00743DE2">
              <w:t>-HH</w:t>
            </w:r>
          </w:p>
        </w:tc>
        <w:tc>
          <w:tcPr>
            <w:tcW w:w="0" w:type="auto"/>
            <w:tcBorders>
              <w:bottom w:val="single" w:sz="4" w:space="0" w:color="auto"/>
            </w:tcBorders>
            <w:vAlign w:val="center"/>
          </w:tcPr>
          <w:p w:rsidR="00337EE1" w:rsidRPr="00743DE2" w:rsidRDefault="00337EE1" w:rsidP="00337EE1">
            <w:pPr>
              <w:pStyle w:val="ArticleTable"/>
            </w:pPr>
            <w:r w:rsidRPr="00743DE2">
              <w:t>208 ± 28</w:t>
            </w:r>
          </w:p>
        </w:tc>
      </w:tr>
      <w:tr w:rsidR="00337EE1" w:rsidRPr="00743DE2" w:rsidTr="00337EE1">
        <w:trPr>
          <w:trHeight w:val="227"/>
          <w:jc w:val="center"/>
        </w:trPr>
        <w:tc>
          <w:tcPr>
            <w:tcW w:w="0" w:type="auto"/>
            <w:gridSpan w:val="4"/>
            <w:tcBorders>
              <w:top w:val="single" w:sz="4" w:space="0" w:color="auto"/>
              <w:bottom w:val="single" w:sz="4" w:space="0" w:color="auto"/>
            </w:tcBorders>
            <w:vAlign w:val="center"/>
          </w:tcPr>
          <w:p w:rsidR="00337EE1" w:rsidRPr="00743DE2" w:rsidRDefault="00337EE1" w:rsidP="00337EE1">
            <w:pPr>
              <w:pStyle w:val="ArticleTable"/>
            </w:pPr>
            <w:r w:rsidRPr="00743DE2">
              <w:t>Common 280 ± 7</w:t>
            </w:r>
          </w:p>
        </w:tc>
      </w:tr>
    </w:tbl>
    <w:p w:rsidR="00337EE1" w:rsidRPr="00743DE2" w:rsidRDefault="00337EE1" w:rsidP="00337EE1">
      <w:pPr>
        <w:pStyle w:val="MainHeader"/>
      </w:pPr>
      <w:r w:rsidRPr="00743DE2">
        <w:t>Conclusions</w:t>
      </w:r>
    </w:p>
    <w:p w:rsidR="00337EE1" w:rsidRPr="00743DE2" w:rsidRDefault="00337EE1" w:rsidP="00337EE1">
      <w:pPr>
        <w:pStyle w:val="Text"/>
        <w:rPr>
          <w:lang w:val="en-US"/>
        </w:rPr>
      </w:pPr>
      <w:r w:rsidRPr="00743DE2">
        <w:rPr>
          <w:lang w:val="en-US"/>
        </w:rPr>
        <w:t>This work presented the site-specific measurements of rotational correlation times for complex [</w:t>
      </w:r>
      <w:proofErr w:type="spellStart"/>
      <w:r w:rsidRPr="00743DE2">
        <w:rPr>
          <w:lang w:val="en-US"/>
        </w:rPr>
        <w:t>Ir</w:t>
      </w:r>
      <w:proofErr w:type="spellEnd"/>
      <w:r w:rsidRPr="00743DE2">
        <w:rPr>
          <w:lang w:val="en-US"/>
        </w:rPr>
        <w:t>(</w:t>
      </w:r>
      <w:proofErr w:type="spellStart"/>
      <w:r w:rsidRPr="00743DE2">
        <w:rPr>
          <w:lang w:val="en-US"/>
        </w:rPr>
        <w:t>IMes</w:t>
      </w:r>
      <w:proofErr w:type="spellEnd"/>
      <w:r w:rsidRPr="00743DE2">
        <w:rPr>
          <w:lang w:val="en-US"/>
        </w:rPr>
        <w:t>)(</w:t>
      </w:r>
      <w:proofErr w:type="spellStart"/>
      <w:r w:rsidRPr="00743DE2">
        <w:rPr>
          <w:lang w:val="en-US"/>
        </w:rPr>
        <w:t>Py</w:t>
      </w:r>
      <w:r w:rsidRPr="00743DE2">
        <w:rPr>
          <w:vertAlign w:val="subscript"/>
          <w:lang w:val="en-US"/>
        </w:rPr>
        <w:t>eq</w:t>
      </w:r>
      <w:proofErr w:type="spellEnd"/>
      <w:r w:rsidRPr="00743DE2">
        <w:rPr>
          <w:lang w:val="en-US"/>
        </w:rPr>
        <w:t>)</w:t>
      </w:r>
      <w:r w:rsidRPr="00743DE2">
        <w:rPr>
          <w:vertAlign w:val="subscript"/>
          <w:lang w:val="en-US"/>
        </w:rPr>
        <w:t>2</w:t>
      </w:r>
      <w:r w:rsidRPr="00743DE2">
        <w:rPr>
          <w:lang w:val="en-US"/>
        </w:rPr>
        <w:t>(</w:t>
      </w:r>
      <w:proofErr w:type="spellStart"/>
      <w:r w:rsidRPr="00743DE2">
        <w:rPr>
          <w:lang w:val="en-US"/>
        </w:rPr>
        <w:t>Py</w:t>
      </w:r>
      <w:r w:rsidRPr="00743DE2">
        <w:rPr>
          <w:vertAlign w:val="subscript"/>
          <w:lang w:val="en-US"/>
        </w:rPr>
        <w:t>ax</w:t>
      </w:r>
      <w:proofErr w:type="spellEnd"/>
      <w:r w:rsidRPr="00743DE2">
        <w:rPr>
          <w:lang w:val="en-US"/>
        </w:rPr>
        <w:t>)H</w:t>
      </w:r>
      <w:r w:rsidRPr="00743DE2">
        <w:rPr>
          <w:vertAlign w:val="subscript"/>
          <w:lang w:val="en-US"/>
        </w:rPr>
        <w:t>2</w:t>
      </w:r>
      <w:r w:rsidRPr="00743DE2">
        <w:rPr>
          <w:lang w:val="en-US"/>
        </w:rPr>
        <w:t>]</w:t>
      </w:r>
      <w:proofErr w:type="spellStart"/>
      <w:r w:rsidRPr="00743DE2">
        <w:rPr>
          <w:lang w:val="en-US"/>
        </w:rPr>
        <w:t>Cl</w:t>
      </w:r>
      <w:proofErr w:type="spellEnd"/>
      <w:r w:rsidRPr="00743DE2">
        <w:rPr>
          <w:lang w:val="en-US"/>
        </w:rPr>
        <w:t>, revealing significantly shorter times than those previously reported for precursor [</w:t>
      </w:r>
      <w:proofErr w:type="spellStart"/>
      <w:r w:rsidRPr="00743DE2">
        <w:rPr>
          <w:lang w:val="en-US"/>
        </w:rPr>
        <w:t>Ir</w:t>
      </w:r>
      <w:proofErr w:type="spellEnd"/>
      <w:r w:rsidRPr="00743DE2">
        <w:rPr>
          <w:lang w:val="en-US"/>
        </w:rPr>
        <w:t>(</w:t>
      </w:r>
      <w:proofErr w:type="spellStart"/>
      <w:r w:rsidRPr="00743DE2">
        <w:rPr>
          <w:lang w:val="en-US"/>
        </w:rPr>
        <w:t>IMes</w:t>
      </w:r>
      <w:proofErr w:type="spellEnd"/>
      <w:r w:rsidRPr="00743DE2">
        <w:rPr>
          <w:lang w:val="en-US"/>
        </w:rPr>
        <w:t>)(COD)</w:t>
      </w:r>
      <w:proofErr w:type="spellStart"/>
      <w:r w:rsidRPr="00743DE2">
        <w:rPr>
          <w:lang w:val="en-US"/>
        </w:rPr>
        <w:t>Cl</w:t>
      </w:r>
      <w:proofErr w:type="spellEnd"/>
      <w:r w:rsidRPr="00743DE2">
        <w:rPr>
          <w:lang w:val="en-US"/>
        </w:rPr>
        <w:t>] in methanol [4], despite the larger size of the iridium hydride and the higher viscosity of the solvent (water). Variations in the correlation times among protons indicated that the molecule is not rigid. The marked independence of T</w:t>
      </w:r>
      <w:r w:rsidRPr="00743DE2">
        <w:rPr>
          <w:vertAlign w:val="subscript"/>
          <w:lang w:val="en-US"/>
        </w:rPr>
        <w:t>1</w:t>
      </w:r>
      <w:r w:rsidRPr="00743DE2">
        <w:rPr>
          <w:lang w:val="en-US"/>
        </w:rPr>
        <w:t xml:space="preserve"> relaxation times for equatorial pyridine (</w:t>
      </w:r>
      <w:proofErr w:type="spellStart"/>
      <w:r w:rsidRPr="00743DE2">
        <w:rPr>
          <w:lang w:val="en-US"/>
        </w:rPr>
        <w:t>Py</w:t>
      </w:r>
      <w:r w:rsidRPr="00743DE2">
        <w:rPr>
          <w:vertAlign w:val="subscript"/>
          <w:lang w:val="en-US"/>
        </w:rPr>
        <w:t>eq</w:t>
      </w:r>
      <w:proofErr w:type="spellEnd"/>
      <w:r w:rsidRPr="00743DE2">
        <w:rPr>
          <w:lang w:val="en-US"/>
        </w:rPr>
        <w:t xml:space="preserve">) protons is attributed to chemical exchange with free pyridine in solution, with the exchange rate exceeding the nuclear relaxation rate, which is consistent with the data in methanol [14]. </w:t>
      </w:r>
      <w:bookmarkStart w:id="2" w:name="_Hlk187763264"/>
      <w:r w:rsidRPr="00743DE2">
        <w:rPr>
          <w:lang w:val="en-US"/>
        </w:rPr>
        <w:t xml:space="preserve">In contrast, for the protons of the axial pyridine </w:t>
      </w:r>
      <w:proofErr w:type="spellStart"/>
      <w:r w:rsidRPr="00743DE2">
        <w:rPr>
          <w:lang w:val="en-US"/>
        </w:rPr>
        <w:t>ligand</w:t>
      </w:r>
      <w:proofErr w:type="spellEnd"/>
      <w:r w:rsidRPr="00743DE2">
        <w:rPr>
          <w:lang w:val="en-US"/>
        </w:rPr>
        <w:t>, T</w:t>
      </w:r>
      <w:r w:rsidRPr="00743DE2">
        <w:rPr>
          <w:vertAlign w:val="subscript"/>
          <w:lang w:val="en-US"/>
        </w:rPr>
        <w:t>1</w:t>
      </w:r>
      <w:r w:rsidRPr="00743DE2">
        <w:rPr>
          <w:lang w:val="en-US"/>
        </w:rPr>
        <w:t xml:space="preserve"> relaxation times were much shorter and </w:t>
      </w:r>
      <w:r w:rsidRPr="00743DE2">
        <w:rPr>
          <w:lang w:val="en-GB"/>
        </w:rPr>
        <w:t xml:space="preserve">exhibited </w:t>
      </w:r>
      <w:proofErr w:type="gramStart"/>
      <w:r w:rsidRPr="00743DE2">
        <w:rPr>
          <w:lang w:val="en-GB"/>
        </w:rPr>
        <w:t>a strong</w:t>
      </w:r>
      <w:proofErr w:type="gramEnd"/>
      <w:r w:rsidRPr="00743DE2">
        <w:rPr>
          <w:lang w:val="en-GB"/>
        </w:rPr>
        <w:t xml:space="preserve"> magnetic field dependence similar to that </w:t>
      </w:r>
      <w:r w:rsidRPr="00743DE2">
        <w:rPr>
          <w:lang w:val="en-US"/>
        </w:rPr>
        <w:t xml:space="preserve">of the protons of the tightly bound </w:t>
      </w:r>
      <w:proofErr w:type="spellStart"/>
      <w:r w:rsidRPr="00743DE2">
        <w:rPr>
          <w:lang w:val="en-US"/>
        </w:rPr>
        <w:t>IMes</w:t>
      </w:r>
      <w:proofErr w:type="spellEnd"/>
      <w:r w:rsidRPr="00743DE2">
        <w:rPr>
          <w:lang w:val="en-US"/>
        </w:rPr>
        <w:t xml:space="preserve"> </w:t>
      </w:r>
      <w:proofErr w:type="spellStart"/>
      <w:r w:rsidRPr="00743DE2">
        <w:rPr>
          <w:lang w:val="en-US"/>
        </w:rPr>
        <w:t>ligand</w:t>
      </w:r>
      <w:proofErr w:type="spellEnd"/>
      <w:r w:rsidRPr="00743DE2">
        <w:rPr>
          <w:lang w:val="en-US"/>
        </w:rPr>
        <w:t>.</w:t>
      </w:r>
    </w:p>
    <w:bookmarkEnd w:id="2"/>
    <w:p w:rsidR="00337EE1" w:rsidRPr="00743DE2" w:rsidRDefault="00337EE1" w:rsidP="00337EE1">
      <w:pPr>
        <w:pStyle w:val="MainHeader"/>
      </w:pPr>
      <w:r w:rsidRPr="00743DE2">
        <w:t>Acknowledgements</w:t>
      </w:r>
    </w:p>
    <w:p w:rsidR="00337EE1" w:rsidRPr="000C3FED" w:rsidRDefault="00337EE1" w:rsidP="00337EE1">
      <w:pPr>
        <w:pStyle w:val="Text"/>
        <w:rPr>
          <w:lang w:val="en-US"/>
        </w:rPr>
      </w:pPr>
      <w:r w:rsidRPr="000C3FED">
        <w:rPr>
          <w:lang w:val="en-US"/>
        </w:rPr>
        <w:t>This work was supported by the Russian Science Foundation (project no. 23-73-10103).</w:t>
      </w:r>
    </w:p>
    <w:p w:rsidR="00337EE1" w:rsidRPr="000C3FED" w:rsidRDefault="00337EE1" w:rsidP="00337EE1">
      <w:pPr>
        <w:pStyle w:val="Text"/>
        <w:rPr>
          <w:rFonts w:ascii="AdvOTce3d9a73" w:hAnsi="AdvOTce3d9a73" w:cs="AdvOTce3d9a73"/>
          <w:lang w:val="en-US"/>
        </w:rPr>
      </w:pPr>
      <w:r w:rsidRPr="000C3FED">
        <w:rPr>
          <w:lang w:val="en-US"/>
        </w:rPr>
        <w:t>The authors are grateful to the Ministry of Science and Higher Education of the Russian Federation for financial support of the NMR facility at ITC.</w:t>
      </w:r>
    </w:p>
    <w:p w:rsidR="00337EE1" w:rsidRPr="00743DE2" w:rsidRDefault="00337EE1" w:rsidP="00337EE1">
      <w:pPr>
        <w:pStyle w:val="MainHeader"/>
      </w:pPr>
      <w:r w:rsidRPr="00743DE2">
        <w:t>Electronic supplementary information</w:t>
      </w:r>
    </w:p>
    <w:p w:rsidR="00337EE1" w:rsidRPr="00743DE2" w:rsidRDefault="00337EE1" w:rsidP="00337EE1">
      <w:pPr>
        <w:pStyle w:val="Text"/>
        <w:rPr>
          <w:b/>
        </w:rPr>
      </w:pPr>
      <w:r w:rsidRPr="000C3FED">
        <w:rPr>
          <w:lang w:val="en-US"/>
        </w:rPr>
        <w:t xml:space="preserve">Electronic supplementary information (ESI) available online: the sample preparation procedure, HSQC spectra with signal assignments, DOSY spectrum, temperature dependence, and the </w:t>
      </w:r>
      <w:r w:rsidRPr="000C3FED">
        <w:rPr>
          <w:vertAlign w:val="superscript"/>
          <w:lang w:val="en-US"/>
        </w:rPr>
        <w:t>15</w:t>
      </w:r>
      <w:r w:rsidRPr="000C3FED">
        <w:rPr>
          <w:lang w:val="en-US"/>
        </w:rPr>
        <w:t xml:space="preserve">N SABRE spectrum for the studied complex. </w:t>
      </w:r>
      <w:r w:rsidRPr="00743DE2">
        <w:t>For ESI, see DOI: 10.32931/io2547a.</w:t>
      </w:r>
    </w:p>
    <w:p w:rsidR="00337EE1" w:rsidRPr="00743DE2" w:rsidRDefault="00337EE1" w:rsidP="00337EE1">
      <w:pPr>
        <w:pStyle w:val="MainHeader"/>
      </w:pPr>
      <w:r w:rsidRPr="00743DE2">
        <w:t>References</w:t>
      </w:r>
    </w:p>
    <w:p w:rsidR="00337EE1" w:rsidRPr="000C3FED" w:rsidRDefault="00337EE1" w:rsidP="00337EE1">
      <w:pPr>
        <w:pStyle w:val="EndNoteBibliography"/>
        <w:spacing w:after="0"/>
        <w:rPr>
          <w:rFonts w:ascii="Arial" w:hAnsi="Arial" w:cs="Arial"/>
          <w:color w:val="263238"/>
          <w:sz w:val="22"/>
          <w:szCs w:val="16"/>
        </w:rPr>
      </w:pPr>
      <w:r w:rsidRPr="000C3FED">
        <w:rPr>
          <w:rFonts w:ascii="Arial" w:hAnsi="Arial" w:cs="Arial"/>
          <w:color w:val="263238"/>
          <w:sz w:val="22"/>
          <w:szCs w:val="16"/>
        </w:rPr>
        <w:t xml:space="preserve">J. Kowalewski, L. Mäler, Nuclear Spin Relaxation in Liquids: Theory, Experiments, and Applications, </w:t>
      </w:r>
      <w:r w:rsidRPr="000C3FED">
        <w:rPr>
          <w:rFonts w:ascii="Arial" w:hAnsi="Arial" w:cs="Arial"/>
          <w:i/>
          <w:color w:val="263238"/>
          <w:sz w:val="22"/>
          <w:szCs w:val="16"/>
        </w:rPr>
        <w:t>Ser. Chem. Phys.</w:t>
      </w:r>
      <w:r w:rsidRPr="000C3FED">
        <w:rPr>
          <w:rFonts w:ascii="Arial" w:hAnsi="Arial" w:cs="Arial"/>
          <w:iCs/>
          <w:color w:val="263238"/>
          <w:sz w:val="22"/>
          <w:szCs w:val="16"/>
        </w:rPr>
        <w:t xml:space="preserve">, </w:t>
      </w:r>
      <w:r w:rsidRPr="000C3FED">
        <w:rPr>
          <w:rFonts w:ascii="Arial" w:hAnsi="Arial" w:cs="Arial"/>
          <w:color w:val="263238"/>
          <w:sz w:val="22"/>
          <w:szCs w:val="16"/>
        </w:rPr>
        <w:t xml:space="preserve">H. J. Moore, N. D. Spencer (Eds.), CRC Press, Boca Raton, </w:t>
      </w:r>
      <w:r w:rsidRPr="000C3FED">
        <w:rPr>
          <w:rFonts w:ascii="Arial" w:hAnsi="Arial" w:cs="Arial"/>
          <w:b/>
          <w:color w:val="263238"/>
          <w:sz w:val="22"/>
          <w:szCs w:val="16"/>
        </w:rPr>
        <w:t>2006</w:t>
      </w:r>
      <w:r w:rsidRPr="000C3FED">
        <w:rPr>
          <w:rFonts w:ascii="Arial" w:hAnsi="Arial" w:cs="Arial"/>
          <w:color w:val="263238"/>
          <w:sz w:val="22"/>
          <w:szCs w:val="16"/>
        </w:rPr>
        <w:t xml:space="preserve">, </w:t>
      </w:r>
      <w:r w:rsidRPr="000C3FED">
        <w:rPr>
          <w:rFonts w:ascii="Arial" w:hAnsi="Arial" w:cs="Arial"/>
          <w:iCs/>
          <w:color w:val="263238"/>
          <w:sz w:val="22"/>
          <w:szCs w:val="16"/>
        </w:rPr>
        <w:t>vol. 2</w:t>
      </w:r>
      <w:r w:rsidRPr="000C3FED">
        <w:rPr>
          <w:rFonts w:ascii="Arial" w:hAnsi="Arial" w:cs="Arial"/>
          <w:color w:val="263238"/>
          <w:sz w:val="22"/>
          <w:szCs w:val="16"/>
        </w:rPr>
        <w:t>, ch. 11, p. 243–287. DOI: 10.1201/9781420012194</w:t>
      </w:r>
    </w:p>
    <w:p w:rsidR="00337EE1" w:rsidRPr="000C3FED" w:rsidRDefault="00337EE1" w:rsidP="00337EE1">
      <w:pPr>
        <w:pStyle w:val="EndNoteBibliography"/>
        <w:spacing w:after="0"/>
        <w:rPr>
          <w:rFonts w:ascii="Arial" w:hAnsi="Arial" w:cs="Arial"/>
          <w:color w:val="263238"/>
          <w:sz w:val="22"/>
          <w:szCs w:val="16"/>
        </w:rPr>
      </w:pPr>
      <w:r w:rsidRPr="000C3FED">
        <w:rPr>
          <w:rFonts w:ascii="Arial" w:hAnsi="Arial" w:cs="Arial"/>
          <w:color w:val="263238"/>
          <w:sz w:val="22"/>
          <w:szCs w:val="16"/>
        </w:rPr>
        <w:t xml:space="preserve">C. Luchinat, G. Parigi, </w:t>
      </w:r>
      <w:r w:rsidRPr="000C3FED">
        <w:rPr>
          <w:rFonts w:ascii="Arial" w:hAnsi="Arial" w:cs="Arial"/>
          <w:i/>
          <w:color w:val="263238"/>
          <w:sz w:val="22"/>
          <w:szCs w:val="16"/>
        </w:rPr>
        <w:t>J. Am. Chem. Soc.</w:t>
      </w:r>
      <w:r w:rsidRPr="000C3FED">
        <w:rPr>
          <w:rFonts w:ascii="Arial" w:hAnsi="Arial" w:cs="Arial"/>
          <w:iCs/>
          <w:color w:val="263238"/>
          <w:sz w:val="22"/>
          <w:szCs w:val="16"/>
        </w:rPr>
        <w:t xml:space="preserve">, </w:t>
      </w:r>
      <w:r w:rsidRPr="000C3FED">
        <w:rPr>
          <w:rFonts w:ascii="Arial" w:hAnsi="Arial" w:cs="Arial"/>
          <w:b/>
          <w:color w:val="263238"/>
          <w:sz w:val="22"/>
          <w:szCs w:val="16"/>
        </w:rPr>
        <w:t>2007</w:t>
      </w:r>
      <w:r w:rsidRPr="000C3FED">
        <w:rPr>
          <w:rFonts w:ascii="Arial" w:hAnsi="Arial" w:cs="Arial"/>
          <w:color w:val="263238"/>
          <w:sz w:val="22"/>
          <w:szCs w:val="16"/>
        </w:rPr>
        <w:t xml:space="preserve">, </w:t>
      </w:r>
      <w:r w:rsidRPr="000C3FED">
        <w:rPr>
          <w:rFonts w:ascii="Arial" w:hAnsi="Arial" w:cs="Arial"/>
          <w:i/>
          <w:color w:val="263238"/>
          <w:sz w:val="22"/>
          <w:szCs w:val="16"/>
        </w:rPr>
        <w:t>129</w:t>
      </w:r>
      <w:r w:rsidRPr="000C3FED">
        <w:rPr>
          <w:rFonts w:ascii="Arial" w:hAnsi="Arial" w:cs="Arial"/>
          <w:color w:val="263238"/>
          <w:sz w:val="22"/>
          <w:szCs w:val="16"/>
        </w:rPr>
        <w:t>, 1055–1064. DOI: 10.1021/ja0633417</w:t>
      </w:r>
    </w:p>
    <w:p w:rsidR="00337EE1" w:rsidRPr="000C3FED" w:rsidRDefault="00337EE1" w:rsidP="00337EE1">
      <w:pPr>
        <w:pStyle w:val="EndNoteBibliography"/>
        <w:spacing w:after="0"/>
        <w:rPr>
          <w:rFonts w:ascii="Arial" w:hAnsi="Arial" w:cs="Arial"/>
          <w:color w:val="263238"/>
          <w:sz w:val="22"/>
          <w:szCs w:val="16"/>
        </w:rPr>
      </w:pPr>
      <w:r w:rsidRPr="000C3FED">
        <w:rPr>
          <w:rFonts w:ascii="Arial" w:hAnsi="Arial" w:cs="Arial"/>
          <w:color w:val="263238"/>
          <w:sz w:val="22"/>
          <w:szCs w:val="16"/>
        </w:rPr>
        <w:t xml:space="preserve">C. Charlier, S. N. Khan, T. Marquardsen, P. Pelupessy, V. Reiss, D. Sakellariou, G. Bodenhausen, F. Engelke, F. Ferrage, </w:t>
      </w:r>
      <w:r w:rsidRPr="000C3FED">
        <w:rPr>
          <w:rFonts w:ascii="Arial" w:hAnsi="Arial" w:cs="Arial"/>
          <w:i/>
          <w:color w:val="263238"/>
          <w:sz w:val="22"/>
          <w:szCs w:val="16"/>
        </w:rPr>
        <w:t>J. Am. Chem. Soc.</w:t>
      </w:r>
      <w:r w:rsidRPr="000C3FED">
        <w:rPr>
          <w:rFonts w:ascii="Arial" w:hAnsi="Arial" w:cs="Arial"/>
          <w:iCs/>
          <w:color w:val="263238"/>
          <w:sz w:val="22"/>
          <w:szCs w:val="16"/>
        </w:rPr>
        <w:t>,</w:t>
      </w:r>
      <w:r w:rsidRPr="000C3FED">
        <w:rPr>
          <w:rFonts w:ascii="Arial" w:hAnsi="Arial" w:cs="Arial"/>
          <w:i/>
          <w:color w:val="263238"/>
          <w:sz w:val="22"/>
          <w:szCs w:val="16"/>
        </w:rPr>
        <w:t xml:space="preserve"> </w:t>
      </w:r>
      <w:r w:rsidRPr="000C3FED">
        <w:rPr>
          <w:rFonts w:ascii="Arial" w:hAnsi="Arial" w:cs="Arial"/>
          <w:b/>
          <w:color w:val="263238"/>
          <w:sz w:val="22"/>
          <w:szCs w:val="16"/>
        </w:rPr>
        <w:t>2013</w:t>
      </w:r>
      <w:r w:rsidRPr="000C3FED">
        <w:rPr>
          <w:rFonts w:ascii="Arial" w:hAnsi="Arial" w:cs="Arial"/>
          <w:color w:val="263238"/>
          <w:sz w:val="22"/>
          <w:szCs w:val="16"/>
        </w:rPr>
        <w:t xml:space="preserve">, </w:t>
      </w:r>
      <w:r w:rsidRPr="000C3FED">
        <w:rPr>
          <w:rFonts w:ascii="Arial" w:hAnsi="Arial" w:cs="Arial"/>
          <w:i/>
          <w:color w:val="263238"/>
          <w:sz w:val="22"/>
          <w:szCs w:val="16"/>
        </w:rPr>
        <w:t>135</w:t>
      </w:r>
      <w:r w:rsidRPr="000C3FED">
        <w:rPr>
          <w:rFonts w:ascii="Arial" w:hAnsi="Arial" w:cs="Arial"/>
          <w:color w:val="263238"/>
          <w:sz w:val="22"/>
          <w:szCs w:val="16"/>
        </w:rPr>
        <w:t>, 18665–18672. DOI: 10.1021/ja409820g</w:t>
      </w:r>
    </w:p>
    <w:p w:rsidR="00337EE1" w:rsidRPr="000C3FED" w:rsidRDefault="00337EE1" w:rsidP="00337EE1">
      <w:pPr>
        <w:pStyle w:val="EndNoteBibliography"/>
        <w:spacing w:after="0"/>
        <w:rPr>
          <w:rFonts w:ascii="Arial" w:hAnsi="Arial" w:cs="Arial"/>
          <w:color w:val="263238"/>
          <w:sz w:val="22"/>
          <w:szCs w:val="16"/>
        </w:rPr>
      </w:pPr>
      <w:r w:rsidRPr="000C3FED">
        <w:rPr>
          <w:rFonts w:ascii="Arial" w:hAnsi="Arial" w:cs="Arial"/>
          <w:color w:val="263238"/>
          <w:sz w:val="22"/>
          <w:szCs w:val="16"/>
        </w:rPr>
        <w:t xml:space="preserve">A. N. Pravdivtsev, A. V. Yurkovskaya, P. A. Petrov, K. L. Ivanov, </w:t>
      </w:r>
      <w:r w:rsidRPr="000C3FED">
        <w:rPr>
          <w:rFonts w:ascii="Arial" w:hAnsi="Arial" w:cs="Arial"/>
          <w:i/>
          <w:color w:val="263238"/>
          <w:sz w:val="22"/>
          <w:szCs w:val="16"/>
        </w:rPr>
        <w:t>Z. Phys. Chem.</w:t>
      </w:r>
      <w:r w:rsidRPr="000C3FED">
        <w:rPr>
          <w:rFonts w:ascii="Arial" w:hAnsi="Arial" w:cs="Arial"/>
          <w:iCs/>
          <w:color w:val="263238"/>
          <w:sz w:val="22"/>
          <w:szCs w:val="16"/>
        </w:rPr>
        <w:t>,</w:t>
      </w:r>
      <w:r w:rsidRPr="000C3FED">
        <w:rPr>
          <w:rFonts w:ascii="Arial" w:hAnsi="Arial" w:cs="Arial"/>
          <w:i/>
          <w:color w:val="263238"/>
          <w:sz w:val="22"/>
          <w:szCs w:val="16"/>
        </w:rPr>
        <w:t xml:space="preserve"> </w:t>
      </w:r>
      <w:r w:rsidRPr="000C3FED">
        <w:rPr>
          <w:rFonts w:ascii="Arial" w:hAnsi="Arial" w:cs="Arial"/>
          <w:b/>
          <w:color w:val="263238"/>
          <w:sz w:val="22"/>
          <w:szCs w:val="16"/>
        </w:rPr>
        <w:t>2017</w:t>
      </w:r>
      <w:r w:rsidRPr="000C3FED">
        <w:rPr>
          <w:rFonts w:ascii="Arial" w:hAnsi="Arial" w:cs="Arial"/>
          <w:color w:val="263238"/>
          <w:sz w:val="22"/>
          <w:szCs w:val="16"/>
        </w:rPr>
        <w:t xml:space="preserve">, </w:t>
      </w:r>
      <w:r w:rsidRPr="000C3FED">
        <w:rPr>
          <w:rFonts w:ascii="Arial" w:hAnsi="Arial" w:cs="Arial"/>
          <w:i/>
          <w:color w:val="263238"/>
          <w:sz w:val="22"/>
          <w:szCs w:val="16"/>
        </w:rPr>
        <w:t>231</w:t>
      </w:r>
      <w:r w:rsidRPr="000C3FED">
        <w:rPr>
          <w:rFonts w:ascii="Arial" w:hAnsi="Arial" w:cs="Arial"/>
          <w:color w:val="263238"/>
          <w:sz w:val="22"/>
          <w:szCs w:val="16"/>
        </w:rPr>
        <w:t>, 857–865. DOI: 10.1515/zpch-2016-0849</w:t>
      </w:r>
    </w:p>
    <w:p w:rsidR="00337EE1" w:rsidRPr="000C3FED" w:rsidRDefault="00337EE1" w:rsidP="00337EE1">
      <w:pPr>
        <w:pStyle w:val="EndNoteBibliography"/>
        <w:spacing w:after="0"/>
        <w:rPr>
          <w:rFonts w:ascii="Arial" w:hAnsi="Arial" w:cs="Arial"/>
          <w:color w:val="263238"/>
          <w:sz w:val="22"/>
          <w:szCs w:val="16"/>
        </w:rPr>
      </w:pPr>
      <w:r w:rsidRPr="000C3FED">
        <w:rPr>
          <w:rFonts w:ascii="Arial" w:hAnsi="Arial" w:cs="Arial"/>
          <w:color w:val="263238"/>
          <w:sz w:val="22"/>
          <w:szCs w:val="16"/>
        </w:rPr>
        <w:t xml:space="preserve">R. W. Adams, J. A. Aguilar, K. D. Atkinson, M. J. Cowley, P. I. P. Elliott, S. B. Duckett, G. G. R. Green, I. G. Khazal, J. López-Serrano, D. C. Williamson, </w:t>
      </w:r>
      <w:r w:rsidRPr="000C3FED">
        <w:rPr>
          <w:rFonts w:ascii="Arial" w:hAnsi="Arial" w:cs="Arial"/>
          <w:i/>
          <w:color w:val="263238"/>
          <w:sz w:val="22"/>
          <w:szCs w:val="16"/>
        </w:rPr>
        <w:t>Science</w:t>
      </w:r>
      <w:r w:rsidRPr="000C3FED">
        <w:rPr>
          <w:rFonts w:ascii="Arial" w:hAnsi="Arial" w:cs="Arial"/>
          <w:iCs/>
          <w:color w:val="263238"/>
          <w:sz w:val="22"/>
          <w:szCs w:val="16"/>
        </w:rPr>
        <w:t xml:space="preserve">, </w:t>
      </w:r>
      <w:r w:rsidRPr="000C3FED">
        <w:rPr>
          <w:rFonts w:ascii="Arial" w:hAnsi="Arial" w:cs="Arial"/>
          <w:b/>
          <w:color w:val="263238"/>
          <w:sz w:val="22"/>
          <w:szCs w:val="16"/>
        </w:rPr>
        <w:t>2009</w:t>
      </w:r>
      <w:r w:rsidRPr="000C3FED">
        <w:rPr>
          <w:rFonts w:ascii="Arial" w:hAnsi="Arial" w:cs="Arial"/>
          <w:color w:val="263238"/>
          <w:sz w:val="22"/>
          <w:szCs w:val="16"/>
        </w:rPr>
        <w:t xml:space="preserve">, </w:t>
      </w:r>
      <w:r w:rsidRPr="000C3FED">
        <w:rPr>
          <w:rFonts w:ascii="Arial" w:hAnsi="Arial" w:cs="Arial"/>
          <w:i/>
          <w:color w:val="263238"/>
          <w:sz w:val="22"/>
          <w:szCs w:val="16"/>
        </w:rPr>
        <w:t>323</w:t>
      </w:r>
      <w:r w:rsidRPr="000C3FED">
        <w:rPr>
          <w:rFonts w:ascii="Arial" w:hAnsi="Arial" w:cs="Arial"/>
          <w:color w:val="263238"/>
          <w:sz w:val="22"/>
          <w:szCs w:val="16"/>
        </w:rPr>
        <w:t>, 1708–1711. DOI: 10.1126/science.1168877</w:t>
      </w:r>
    </w:p>
    <w:p w:rsidR="00337EE1" w:rsidRPr="000C3FED" w:rsidRDefault="00337EE1" w:rsidP="00337EE1">
      <w:pPr>
        <w:pStyle w:val="EndNoteBibliography"/>
        <w:spacing w:after="0"/>
        <w:rPr>
          <w:rFonts w:ascii="Arial" w:hAnsi="Arial" w:cs="Arial"/>
          <w:color w:val="263238"/>
          <w:sz w:val="22"/>
          <w:szCs w:val="16"/>
        </w:rPr>
      </w:pPr>
      <w:r w:rsidRPr="000C3FED">
        <w:rPr>
          <w:rFonts w:ascii="Arial" w:hAnsi="Arial" w:cs="Arial"/>
          <w:color w:val="263238"/>
          <w:sz w:val="22"/>
          <w:szCs w:val="16"/>
        </w:rPr>
        <w:t xml:space="preserve">D. A. Barskiy, S. Knecht, A. V. Yurkovskaya, K. L. Ivanov, </w:t>
      </w:r>
      <w:r w:rsidRPr="000C3FED">
        <w:rPr>
          <w:rFonts w:ascii="Arial" w:hAnsi="Arial" w:cs="Arial"/>
          <w:i/>
          <w:color w:val="263238"/>
          <w:sz w:val="22"/>
          <w:szCs w:val="16"/>
        </w:rPr>
        <w:t>Prog. Nucl. Magn. Reson. Spectrosc.</w:t>
      </w:r>
      <w:r w:rsidRPr="000C3FED">
        <w:rPr>
          <w:rFonts w:ascii="Arial" w:hAnsi="Arial" w:cs="Arial"/>
          <w:iCs/>
          <w:color w:val="263238"/>
          <w:sz w:val="22"/>
          <w:szCs w:val="16"/>
        </w:rPr>
        <w:t>,</w:t>
      </w:r>
      <w:r w:rsidRPr="000C3FED">
        <w:rPr>
          <w:rFonts w:ascii="Arial" w:hAnsi="Arial" w:cs="Arial"/>
          <w:i/>
          <w:color w:val="263238"/>
          <w:sz w:val="22"/>
          <w:szCs w:val="16"/>
        </w:rPr>
        <w:t xml:space="preserve"> </w:t>
      </w:r>
      <w:r w:rsidRPr="000C3FED">
        <w:rPr>
          <w:rFonts w:ascii="Arial" w:hAnsi="Arial" w:cs="Arial"/>
          <w:b/>
          <w:color w:val="263238"/>
          <w:sz w:val="22"/>
          <w:szCs w:val="16"/>
        </w:rPr>
        <w:t>2019</w:t>
      </w:r>
      <w:r w:rsidRPr="000C3FED">
        <w:rPr>
          <w:rFonts w:ascii="Arial" w:hAnsi="Arial" w:cs="Arial"/>
          <w:color w:val="263238"/>
          <w:sz w:val="22"/>
          <w:szCs w:val="16"/>
        </w:rPr>
        <w:t xml:space="preserve">, </w:t>
      </w:r>
      <w:r w:rsidRPr="000C3FED">
        <w:rPr>
          <w:rFonts w:ascii="Arial" w:hAnsi="Arial" w:cs="Arial"/>
          <w:i/>
          <w:color w:val="263238"/>
          <w:sz w:val="22"/>
          <w:szCs w:val="16"/>
        </w:rPr>
        <w:t>114–115</w:t>
      </w:r>
      <w:r w:rsidRPr="000C3FED">
        <w:rPr>
          <w:rFonts w:ascii="Arial" w:hAnsi="Arial" w:cs="Arial"/>
          <w:color w:val="263238"/>
          <w:sz w:val="22"/>
          <w:szCs w:val="16"/>
        </w:rPr>
        <w:t>, 33–70. DOI: 10.1016/j.pnmrs.2019.05.005</w:t>
      </w:r>
    </w:p>
    <w:p w:rsidR="00337EE1" w:rsidRPr="000C3FED" w:rsidRDefault="00337EE1" w:rsidP="00337EE1">
      <w:pPr>
        <w:pStyle w:val="EndNoteBibliography"/>
        <w:spacing w:after="0"/>
        <w:rPr>
          <w:rFonts w:ascii="Arial" w:hAnsi="Arial" w:cs="Arial"/>
          <w:color w:val="263238"/>
          <w:sz w:val="22"/>
          <w:szCs w:val="16"/>
        </w:rPr>
      </w:pPr>
      <w:r w:rsidRPr="000C3FED">
        <w:rPr>
          <w:rFonts w:ascii="Arial" w:hAnsi="Arial" w:cs="Arial"/>
          <w:color w:val="263238"/>
          <w:sz w:val="22"/>
          <w:szCs w:val="16"/>
        </w:rPr>
        <w:t xml:space="preserve">M. J. Cowley, R. W. Adams, K. D. Atkinson, M. C. R. Cockett, S. B. Duckett, G. G. R. Green, J. A. B. Lohman, R. Kerssebaum, D. Kilgour, R. E. Mewis, </w:t>
      </w:r>
      <w:r w:rsidRPr="000C3FED">
        <w:rPr>
          <w:rFonts w:ascii="Arial" w:hAnsi="Arial" w:cs="Arial"/>
          <w:i/>
          <w:color w:val="263238"/>
          <w:sz w:val="22"/>
          <w:szCs w:val="16"/>
        </w:rPr>
        <w:t>J. Am. Chem. Soc.</w:t>
      </w:r>
      <w:r w:rsidRPr="000C3FED">
        <w:rPr>
          <w:rFonts w:ascii="Arial" w:hAnsi="Arial" w:cs="Arial"/>
          <w:iCs/>
          <w:color w:val="263238"/>
          <w:sz w:val="22"/>
          <w:szCs w:val="16"/>
        </w:rPr>
        <w:t>,</w:t>
      </w:r>
      <w:r w:rsidRPr="000C3FED">
        <w:rPr>
          <w:rFonts w:ascii="Arial" w:hAnsi="Arial" w:cs="Arial"/>
          <w:i/>
          <w:color w:val="263238"/>
          <w:sz w:val="22"/>
          <w:szCs w:val="16"/>
        </w:rPr>
        <w:t xml:space="preserve"> </w:t>
      </w:r>
      <w:r w:rsidRPr="000C3FED">
        <w:rPr>
          <w:rFonts w:ascii="Arial" w:hAnsi="Arial" w:cs="Arial"/>
          <w:b/>
          <w:color w:val="263238"/>
          <w:sz w:val="22"/>
          <w:szCs w:val="16"/>
        </w:rPr>
        <w:t>2011</w:t>
      </w:r>
      <w:r w:rsidRPr="000C3FED">
        <w:rPr>
          <w:rFonts w:ascii="Arial" w:hAnsi="Arial" w:cs="Arial"/>
          <w:color w:val="263238"/>
          <w:sz w:val="22"/>
          <w:szCs w:val="16"/>
        </w:rPr>
        <w:t xml:space="preserve">, </w:t>
      </w:r>
      <w:r w:rsidRPr="000C3FED">
        <w:rPr>
          <w:rFonts w:ascii="Arial" w:hAnsi="Arial" w:cs="Arial"/>
          <w:i/>
          <w:color w:val="263238"/>
          <w:sz w:val="22"/>
          <w:szCs w:val="16"/>
        </w:rPr>
        <w:t>133</w:t>
      </w:r>
      <w:r w:rsidRPr="000C3FED">
        <w:rPr>
          <w:rFonts w:ascii="Arial" w:hAnsi="Arial" w:cs="Arial"/>
          <w:color w:val="263238"/>
          <w:sz w:val="22"/>
          <w:szCs w:val="16"/>
        </w:rPr>
        <w:t>, 6134–6137. DOI: 10.1021/ja200299u</w:t>
      </w:r>
    </w:p>
    <w:p w:rsidR="00337EE1" w:rsidRPr="000C3FED" w:rsidRDefault="00337EE1" w:rsidP="00337EE1">
      <w:pPr>
        <w:pStyle w:val="EndNoteBibliography"/>
        <w:spacing w:after="0"/>
        <w:rPr>
          <w:rFonts w:ascii="Arial" w:hAnsi="Arial" w:cs="Arial"/>
          <w:color w:val="263238"/>
          <w:sz w:val="22"/>
          <w:szCs w:val="16"/>
        </w:rPr>
      </w:pPr>
      <w:r w:rsidRPr="000C3FED">
        <w:rPr>
          <w:rFonts w:ascii="Arial" w:hAnsi="Arial" w:cs="Arial"/>
          <w:color w:val="263238"/>
          <w:sz w:val="22"/>
          <w:szCs w:val="16"/>
        </w:rPr>
        <w:lastRenderedPageBreak/>
        <w:t xml:space="preserve">S. Knecht, S. Hadjiali, D. A. Barskiy, A. Pines, G. Sauer, A. S. Kiryutin, K. L. Ivanov, A. V. Yurkovskaya, G. Buntkowsky, </w:t>
      </w:r>
      <w:r w:rsidRPr="000C3FED">
        <w:rPr>
          <w:rFonts w:ascii="Arial" w:hAnsi="Arial" w:cs="Arial"/>
          <w:i/>
          <w:color w:val="263238"/>
          <w:sz w:val="22"/>
          <w:szCs w:val="16"/>
        </w:rPr>
        <w:t>J. Phys. Chem. C</w:t>
      </w:r>
      <w:r w:rsidRPr="000C3FED">
        <w:rPr>
          <w:rFonts w:ascii="Arial" w:hAnsi="Arial" w:cs="Arial"/>
          <w:iCs/>
          <w:color w:val="263238"/>
          <w:sz w:val="22"/>
          <w:szCs w:val="16"/>
        </w:rPr>
        <w:t>,</w:t>
      </w:r>
      <w:r w:rsidRPr="000C3FED">
        <w:rPr>
          <w:rFonts w:ascii="Arial" w:hAnsi="Arial" w:cs="Arial"/>
          <w:i/>
          <w:color w:val="263238"/>
          <w:sz w:val="22"/>
          <w:szCs w:val="16"/>
        </w:rPr>
        <w:t xml:space="preserve"> </w:t>
      </w:r>
      <w:r w:rsidRPr="000C3FED">
        <w:rPr>
          <w:rFonts w:ascii="Arial" w:hAnsi="Arial" w:cs="Arial"/>
          <w:b/>
          <w:color w:val="263238"/>
          <w:sz w:val="22"/>
          <w:szCs w:val="16"/>
        </w:rPr>
        <w:t>2019</w:t>
      </w:r>
      <w:r w:rsidRPr="000C3FED">
        <w:rPr>
          <w:rFonts w:ascii="Arial" w:hAnsi="Arial" w:cs="Arial"/>
          <w:color w:val="263238"/>
          <w:sz w:val="22"/>
          <w:szCs w:val="16"/>
        </w:rPr>
        <w:t xml:space="preserve">, </w:t>
      </w:r>
      <w:r w:rsidRPr="000C3FED">
        <w:rPr>
          <w:rFonts w:ascii="Arial" w:hAnsi="Arial" w:cs="Arial"/>
          <w:i/>
          <w:color w:val="263238"/>
          <w:sz w:val="22"/>
          <w:szCs w:val="16"/>
        </w:rPr>
        <w:t>123</w:t>
      </w:r>
      <w:r w:rsidRPr="000C3FED">
        <w:rPr>
          <w:rFonts w:ascii="Arial" w:hAnsi="Arial" w:cs="Arial"/>
          <w:color w:val="263238"/>
          <w:sz w:val="22"/>
          <w:szCs w:val="16"/>
        </w:rPr>
        <w:t>, 16288–16293. DOI: 10.1021/acs.jpcc.9b04179</w:t>
      </w:r>
    </w:p>
    <w:p w:rsidR="00337EE1" w:rsidRPr="000C3FED" w:rsidRDefault="00337EE1" w:rsidP="00337EE1">
      <w:pPr>
        <w:pStyle w:val="EndNoteBibliography"/>
        <w:widowControl w:val="0"/>
        <w:spacing w:after="0"/>
        <w:rPr>
          <w:rFonts w:ascii="Arial" w:hAnsi="Arial" w:cs="Arial"/>
          <w:color w:val="263238"/>
          <w:sz w:val="22"/>
          <w:szCs w:val="16"/>
        </w:rPr>
      </w:pPr>
      <w:r w:rsidRPr="000C3FED">
        <w:rPr>
          <w:rFonts w:ascii="Arial" w:hAnsi="Arial" w:cs="Arial"/>
          <w:color w:val="263238"/>
          <w:sz w:val="22"/>
          <w:szCs w:val="16"/>
        </w:rPr>
        <w:t xml:space="preserve">D. A. Barskiy, K. V. Kovtunov, I. V. Koptyug, P. He, K. A. Groome, Q. A. Best, F. Shi, B. M. Goodson, R. V. Shchepin, A. M. Coffey, K. W. Waddell, E. Y. Chekmenev, </w:t>
      </w:r>
      <w:r w:rsidRPr="000C3FED">
        <w:rPr>
          <w:rFonts w:ascii="Arial" w:hAnsi="Arial" w:cs="Arial"/>
          <w:i/>
          <w:color w:val="263238"/>
          <w:sz w:val="22"/>
          <w:szCs w:val="16"/>
        </w:rPr>
        <w:t>J. Am. Chem. Soc.</w:t>
      </w:r>
      <w:r w:rsidRPr="000C3FED">
        <w:rPr>
          <w:rFonts w:ascii="Arial" w:hAnsi="Arial" w:cs="Arial"/>
          <w:iCs/>
          <w:color w:val="263238"/>
          <w:sz w:val="22"/>
          <w:szCs w:val="16"/>
        </w:rPr>
        <w:t>,</w:t>
      </w:r>
      <w:r w:rsidRPr="000C3FED">
        <w:rPr>
          <w:rFonts w:ascii="Arial" w:hAnsi="Arial" w:cs="Arial"/>
          <w:i/>
          <w:color w:val="263238"/>
          <w:sz w:val="22"/>
          <w:szCs w:val="16"/>
        </w:rPr>
        <w:t xml:space="preserve"> </w:t>
      </w:r>
      <w:r w:rsidRPr="000C3FED">
        <w:rPr>
          <w:rFonts w:ascii="Arial" w:hAnsi="Arial" w:cs="Arial"/>
          <w:b/>
          <w:color w:val="263238"/>
          <w:sz w:val="22"/>
          <w:szCs w:val="16"/>
        </w:rPr>
        <w:t>2014</w:t>
      </w:r>
      <w:r w:rsidRPr="000C3FED">
        <w:rPr>
          <w:rFonts w:ascii="Arial" w:hAnsi="Arial" w:cs="Arial"/>
          <w:color w:val="263238"/>
          <w:sz w:val="22"/>
          <w:szCs w:val="16"/>
        </w:rPr>
        <w:t xml:space="preserve">, </w:t>
      </w:r>
      <w:r w:rsidRPr="000C3FED">
        <w:rPr>
          <w:rFonts w:ascii="Arial" w:hAnsi="Arial" w:cs="Arial"/>
          <w:i/>
          <w:color w:val="263238"/>
          <w:sz w:val="22"/>
          <w:szCs w:val="16"/>
        </w:rPr>
        <w:t>136</w:t>
      </w:r>
      <w:r w:rsidRPr="000C3FED">
        <w:rPr>
          <w:rFonts w:ascii="Arial" w:hAnsi="Arial" w:cs="Arial"/>
          <w:color w:val="263238"/>
          <w:sz w:val="22"/>
          <w:szCs w:val="16"/>
        </w:rPr>
        <w:t>, 3322–3325. DOI: 10.1021/Ja501052p</w:t>
      </w:r>
    </w:p>
    <w:p w:rsidR="00337EE1" w:rsidRPr="000C3FED" w:rsidRDefault="00337EE1" w:rsidP="00337EE1">
      <w:pPr>
        <w:pStyle w:val="EndNoteBibliography"/>
        <w:spacing w:after="0"/>
        <w:rPr>
          <w:rFonts w:ascii="Arial" w:hAnsi="Arial" w:cs="Arial"/>
          <w:color w:val="263238"/>
          <w:sz w:val="22"/>
          <w:szCs w:val="16"/>
        </w:rPr>
      </w:pPr>
      <w:r w:rsidRPr="000C3FED">
        <w:rPr>
          <w:rFonts w:ascii="Arial" w:hAnsi="Arial" w:cs="Arial"/>
          <w:color w:val="263238"/>
          <w:sz w:val="22"/>
          <w:szCs w:val="16"/>
        </w:rPr>
        <w:t xml:space="preserve">A. S. Kiryutin, A. V. Yurkovskaya, H. Zimmermann, H.-M. Vieth, K. L. Ivanov, </w:t>
      </w:r>
      <w:r w:rsidRPr="000C3FED">
        <w:rPr>
          <w:rFonts w:ascii="Arial" w:hAnsi="Arial" w:cs="Arial"/>
          <w:i/>
          <w:color w:val="263238"/>
          <w:sz w:val="22"/>
          <w:szCs w:val="16"/>
        </w:rPr>
        <w:t>Magn. Reson. Chem.</w:t>
      </w:r>
      <w:r w:rsidRPr="000C3FED">
        <w:rPr>
          <w:rFonts w:ascii="Arial" w:hAnsi="Arial" w:cs="Arial"/>
          <w:iCs/>
          <w:color w:val="263238"/>
          <w:sz w:val="22"/>
          <w:szCs w:val="16"/>
        </w:rPr>
        <w:t>,</w:t>
      </w:r>
      <w:r w:rsidRPr="000C3FED">
        <w:rPr>
          <w:rFonts w:ascii="Arial" w:hAnsi="Arial" w:cs="Arial"/>
          <w:i/>
          <w:color w:val="263238"/>
          <w:sz w:val="22"/>
          <w:szCs w:val="16"/>
        </w:rPr>
        <w:t xml:space="preserve"> </w:t>
      </w:r>
      <w:r w:rsidRPr="000C3FED">
        <w:rPr>
          <w:rFonts w:ascii="Arial" w:hAnsi="Arial" w:cs="Arial"/>
          <w:b/>
          <w:color w:val="263238"/>
          <w:sz w:val="22"/>
          <w:szCs w:val="16"/>
        </w:rPr>
        <w:t>2018</w:t>
      </w:r>
      <w:r w:rsidRPr="000C3FED">
        <w:rPr>
          <w:rFonts w:ascii="Arial" w:hAnsi="Arial" w:cs="Arial"/>
          <w:color w:val="263238"/>
          <w:sz w:val="22"/>
          <w:szCs w:val="16"/>
        </w:rPr>
        <w:t xml:space="preserve">, </w:t>
      </w:r>
      <w:r w:rsidRPr="000C3FED">
        <w:rPr>
          <w:rFonts w:ascii="Arial" w:hAnsi="Arial" w:cs="Arial"/>
          <w:i/>
          <w:color w:val="263238"/>
          <w:sz w:val="22"/>
          <w:szCs w:val="16"/>
        </w:rPr>
        <w:t>56</w:t>
      </w:r>
      <w:r w:rsidRPr="000C3FED">
        <w:rPr>
          <w:rFonts w:ascii="Arial" w:hAnsi="Arial" w:cs="Arial"/>
          <w:color w:val="263238"/>
          <w:sz w:val="22"/>
          <w:szCs w:val="16"/>
        </w:rPr>
        <w:t>, 651–662. DOI: 10.1002/mrc.4694</w:t>
      </w:r>
    </w:p>
    <w:p w:rsidR="00337EE1" w:rsidRPr="000C3FED" w:rsidRDefault="00337EE1" w:rsidP="00337EE1">
      <w:pPr>
        <w:pStyle w:val="EndNoteBibliography"/>
        <w:spacing w:after="0"/>
        <w:rPr>
          <w:rFonts w:ascii="Arial" w:hAnsi="Arial" w:cs="Arial"/>
          <w:color w:val="263238"/>
          <w:sz w:val="22"/>
          <w:szCs w:val="16"/>
        </w:rPr>
      </w:pPr>
      <w:r w:rsidRPr="000C3FED">
        <w:rPr>
          <w:rFonts w:ascii="Arial" w:hAnsi="Arial" w:cs="Arial"/>
          <w:color w:val="263238"/>
          <w:sz w:val="22"/>
          <w:szCs w:val="16"/>
        </w:rPr>
        <w:t xml:space="preserve">I. V. Zhukov, A. S. Kiryutin, A. V. Yurkovskaya, Yu. A. Grishin, H.-M. Vieth, K. L. Ivanov, </w:t>
      </w:r>
      <w:r w:rsidRPr="000C3FED">
        <w:rPr>
          <w:rFonts w:ascii="Arial" w:hAnsi="Arial" w:cs="Arial"/>
          <w:i/>
          <w:color w:val="263238"/>
          <w:sz w:val="22"/>
          <w:szCs w:val="16"/>
        </w:rPr>
        <w:t>Phys. Chem. Chem. Phys.</w:t>
      </w:r>
      <w:r w:rsidRPr="000C3FED">
        <w:rPr>
          <w:rFonts w:ascii="Arial" w:hAnsi="Arial" w:cs="Arial"/>
          <w:iCs/>
          <w:color w:val="263238"/>
          <w:sz w:val="22"/>
          <w:szCs w:val="16"/>
        </w:rPr>
        <w:t>,</w:t>
      </w:r>
      <w:r w:rsidRPr="000C3FED">
        <w:rPr>
          <w:rFonts w:ascii="Arial" w:hAnsi="Arial" w:cs="Arial"/>
          <w:i/>
          <w:color w:val="263238"/>
          <w:sz w:val="22"/>
          <w:szCs w:val="16"/>
        </w:rPr>
        <w:t xml:space="preserve"> </w:t>
      </w:r>
      <w:r w:rsidRPr="000C3FED">
        <w:rPr>
          <w:rFonts w:ascii="Arial" w:hAnsi="Arial" w:cs="Arial"/>
          <w:b/>
          <w:color w:val="263238"/>
          <w:sz w:val="22"/>
          <w:szCs w:val="16"/>
        </w:rPr>
        <w:t>2018</w:t>
      </w:r>
      <w:r w:rsidRPr="000C3FED">
        <w:rPr>
          <w:rFonts w:ascii="Arial" w:hAnsi="Arial" w:cs="Arial"/>
          <w:color w:val="263238"/>
          <w:sz w:val="22"/>
          <w:szCs w:val="16"/>
        </w:rPr>
        <w:t xml:space="preserve">, </w:t>
      </w:r>
      <w:r w:rsidRPr="000C3FED">
        <w:rPr>
          <w:rFonts w:ascii="Arial" w:hAnsi="Arial" w:cs="Arial"/>
          <w:i/>
          <w:color w:val="263238"/>
          <w:sz w:val="22"/>
          <w:szCs w:val="16"/>
        </w:rPr>
        <w:t>20</w:t>
      </w:r>
      <w:r w:rsidRPr="000C3FED">
        <w:rPr>
          <w:rFonts w:ascii="Arial" w:hAnsi="Arial" w:cs="Arial"/>
          <w:color w:val="263238"/>
          <w:sz w:val="22"/>
          <w:szCs w:val="16"/>
        </w:rPr>
        <w:t>, 12396–12405. DOI: 10.1039/C7CP08529J</w:t>
      </w:r>
    </w:p>
    <w:p w:rsidR="00337EE1" w:rsidRPr="000C3FED" w:rsidRDefault="00337EE1" w:rsidP="00337EE1">
      <w:pPr>
        <w:pStyle w:val="EndNoteBibliography"/>
        <w:spacing w:after="0"/>
        <w:rPr>
          <w:rFonts w:ascii="Arial" w:hAnsi="Arial" w:cs="Arial"/>
          <w:color w:val="263238"/>
          <w:sz w:val="22"/>
          <w:szCs w:val="16"/>
        </w:rPr>
      </w:pPr>
      <w:r w:rsidRPr="000C3FED">
        <w:rPr>
          <w:rFonts w:ascii="Arial" w:hAnsi="Arial" w:cs="Arial"/>
          <w:color w:val="263238"/>
          <w:sz w:val="22"/>
          <w:szCs w:val="16"/>
        </w:rPr>
        <w:t xml:space="preserve">I. Kownacki, M. Kubicki, K. Szubert, B. Marciniec, </w:t>
      </w:r>
      <w:r w:rsidRPr="000C3FED">
        <w:rPr>
          <w:rFonts w:ascii="Arial" w:hAnsi="Arial" w:cs="Arial"/>
          <w:i/>
          <w:color w:val="263238"/>
          <w:sz w:val="22"/>
          <w:szCs w:val="16"/>
        </w:rPr>
        <w:t>J. Organomet. Chem.</w:t>
      </w:r>
      <w:r w:rsidRPr="000C3FED">
        <w:rPr>
          <w:rFonts w:ascii="Arial" w:hAnsi="Arial" w:cs="Arial"/>
          <w:iCs/>
          <w:color w:val="263238"/>
          <w:sz w:val="22"/>
          <w:szCs w:val="16"/>
        </w:rPr>
        <w:t>,</w:t>
      </w:r>
      <w:r w:rsidRPr="000C3FED">
        <w:rPr>
          <w:rFonts w:ascii="Arial" w:hAnsi="Arial" w:cs="Arial"/>
          <w:i/>
          <w:color w:val="263238"/>
          <w:sz w:val="22"/>
          <w:szCs w:val="16"/>
        </w:rPr>
        <w:t xml:space="preserve"> </w:t>
      </w:r>
      <w:r w:rsidRPr="000C3FED">
        <w:rPr>
          <w:rFonts w:ascii="Arial" w:hAnsi="Arial" w:cs="Arial"/>
          <w:b/>
          <w:color w:val="263238"/>
          <w:sz w:val="22"/>
          <w:szCs w:val="16"/>
        </w:rPr>
        <w:t>2008</w:t>
      </w:r>
      <w:r w:rsidRPr="000C3FED">
        <w:rPr>
          <w:rFonts w:ascii="Arial" w:hAnsi="Arial" w:cs="Arial"/>
          <w:color w:val="263238"/>
          <w:sz w:val="22"/>
          <w:szCs w:val="16"/>
        </w:rPr>
        <w:t xml:space="preserve">, </w:t>
      </w:r>
      <w:r w:rsidRPr="000C3FED">
        <w:rPr>
          <w:rFonts w:ascii="Arial" w:hAnsi="Arial" w:cs="Arial"/>
          <w:i/>
          <w:color w:val="263238"/>
          <w:sz w:val="22"/>
          <w:szCs w:val="16"/>
        </w:rPr>
        <w:t>693</w:t>
      </w:r>
      <w:r w:rsidRPr="000C3FED">
        <w:rPr>
          <w:rFonts w:ascii="Arial" w:hAnsi="Arial" w:cs="Arial"/>
          <w:color w:val="263238"/>
          <w:sz w:val="22"/>
          <w:szCs w:val="16"/>
        </w:rPr>
        <w:t>, 321–328. DOI:10.1016/j.jorganchem.2007.11.013</w:t>
      </w:r>
    </w:p>
    <w:p w:rsidR="00337EE1" w:rsidRPr="000C3FED" w:rsidRDefault="00337EE1" w:rsidP="00337EE1">
      <w:pPr>
        <w:pStyle w:val="EndNoteBibliography"/>
        <w:spacing w:after="0"/>
        <w:rPr>
          <w:rFonts w:ascii="Arial" w:hAnsi="Arial" w:cs="Arial"/>
          <w:color w:val="263238"/>
          <w:sz w:val="22"/>
          <w:szCs w:val="16"/>
        </w:rPr>
      </w:pPr>
      <w:r w:rsidRPr="000C3FED">
        <w:rPr>
          <w:rFonts w:ascii="Arial" w:hAnsi="Arial" w:cs="Arial"/>
          <w:color w:val="263238"/>
          <w:sz w:val="22"/>
          <w:szCs w:val="16"/>
        </w:rPr>
        <w:t xml:space="preserve">T. L. Hwang, A. J. Shaka, </w:t>
      </w:r>
      <w:r w:rsidRPr="000C3FED">
        <w:rPr>
          <w:rFonts w:ascii="Arial" w:hAnsi="Arial" w:cs="Arial"/>
          <w:i/>
          <w:color w:val="263238"/>
          <w:sz w:val="22"/>
          <w:szCs w:val="16"/>
        </w:rPr>
        <w:t>J. Magn. Reson.</w:t>
      </w:r>
      <w:r w:rsidRPr="000C3FED">
        <w:rPr>
          <w:rFonts w:ascii="Arial" w:hAnsi="Arial" w:cs="Arial"/>
          <w:iCs/>
          <w:color w:val="263238"/>
          <w:sz w:val="22"/>
          <w:szCs w:val="16"/>
        </w:rPr>
        <w:t>,</w:t>
      </w:r>
      <w:r w:rsidRPr="000C3FED">
        <w:rPr>
          <w:rFonts w:ascii="Arial" w:hAnsi="Arial" w:cs="Arial"/>
          <w:i/>
          <w:color w:val="263238"/>
          <w:sz w:val="22"/>
          <w:szCs w:val="16"/>
        </w:rPr>
        <w:t xml:space="preserve"> Ser. A</w:t>
      </w:r>
      <w:r w:rsidRPr="000C3FED">
        <w:rPr>
          <w:rFonts w:ascii="Arial" w:hAnsi="Arial" w:cs="Arial"/>
          <w:iCs/>
          <w:color w:val="263238"/>
          <w:sz w:val="22"/>
          <w:szCs w:val="16"/>
        </w:rPr>
        <w:t>,</w:t>
      </w:r>
      <w:r w:rsidRPr="000C3FED">
        <w:rPr>
          <w:rFonts w:ascii="Arial" w:hAnsi="Arial" w:cs="Arial"/>
          <w:i/>
          <w:color w:val="263238"/>
          <w:sz w:val="22"/>
          <w:szCs w:val="16"/>
        </w:rPr>
        <w:t xml:space="preserve"> </w:t>
      </w:r>
      <w:r w:rsidRPr="000C3FED">
        <w:rPr>
          <w:rFonts w:ascii="Arial" w:hAnsi="Arial" w:cs="Arial"/>
          <w:b/>
          <w:color w:val="263238"/>
          <w:sz w:val="22"/>
          <w:szCs w:val="16"/>
        </w:rPr>
        <w:t>1995</w:t>
      </w:r>
      <w:r w:rsidRPr="000C3FED">
        <w:rPr>
          <w:rFonts w:ascii="Arial" w:hAnsi="Arial" w:cs="Arial"/>
          <w:color w:val="263238"/>
          <w:sz w:val="22"/>
          <w:szCs w:val="16"/>
        </w:rPr>
        <w:t xml:space="preserve">, </w:t>
      </w:r>
      <w:r w:rsidRPr="000C3FED">
        <w:rPr>
          <w:rFonts w:ascii="Arial" w:hAnsi="Arial" w:cs="Arial"/>
          <w:i/>
          <w:color w:val="263238"/>
          <w:sz w:val="22"/>
          <w:szCs w:val="16"/>
        </w:rPr>
        <w:t>112</w:t>
      </w:r>
      <w:r w:rsidRPr="000C3FED">
        <w:rPr>
          <w:rFonts w:ascii="Arial" w:hAnsi="Arial" w:cs="Arial"/>
          <w:color w:val="263238"/>
          <w:sz w:val="22"/>
          <w:szCs w:val="16"/>
        </w:rPr>
        <w:t>, 275–279. DOI: 10.1006/jmra.1995.1047</w:t>
      </w:r>
    </w:p>
    <w:p w:rsidR="001704B0" w:rsidRPr="000C3FED" w:rsidRDefault="00337EE1" w:rsidP="00337EE1">
      <w:pPr>
        <w:pStyle w:val="htmlparentstyle"/>
        <w:spacing w:line="240" w:lineRule="auto"/>
        <w:rPr>
          <w:rFonts w:cs="Arial"/>
          <w:sz w:val="32"/>
          <w:lang w:val="en-US"/>
        </w:rPr>
      </w:pPr>
      <w:proofErr w:type="gramStart"/>
      <w:r w:rsidRPr="000C3FED">
        <w:rPr>
          <w:rFonts w:cs="Arial"/>
          <w:bCs/>
          <w:szCs w:val="16"/>
          <w:lang w:val="en-US"/>
        </w:rPr>
        <w:t xml:space="preserve">O. G. </w:t>
      </w:r>
      <w:proofErr w:type="spellStart"/>
      <w:r w:rsidRPr="000C3FED">
        <w:rPr>
          <w:rFonts w:cs="Arial"/>
          <w:bCs/>
          <w:szCs w:val="16"/>
          <w:lang w:val="en-US"/>
        </w:rPr>
        <w:t>Salnikov</w:t>
      </w:r>
      <w:proofErr w:type="spellEnd"/>
      <w:r w:rsidRPr="000C3FED">
        <w:rPr>
          <w:rFonts w:cs="Arial"/>
          <w:bCs/>
          <w:szCs w:val="16"/>
          <w:lang w:val="en-US"/>
        </w:rPr>
        <w:t xml:space="preserve">, C. D. </w:t>
      </w:r>
      <w:proofErr w:type="spellStart"/>
      <w:r w:rsidRPr="000C3FED">
        <w:rPr>
          <w:rFonts w:cs="Arial"/>
          <w:bCs/>
          <w:szCs w:val="16"/>
          <w:lang w:val="en-US"/>
        </w:rPr>
        <w:t>Assaf</w:t>
      </w:r>
      <w:proofErr w:type="spellEnd"/>
      <w:r w:rsidRPr="000C3FED">
        <w:rPr>
          <w:rFonts w:cs="Arial"/>
          <w:bCs/>
          <w:szCs w:val="16"/>
          <w:lang w:val="en-US"/>
        </w:rPr>
        <w:t xml:space="preserve">, A. P. Yi, S. B. </w:t>
      </w:r>
      <w:proofErr w:type="spellStart"/>
      <w:r w:rsidRPr="000C3FED">
        <w:rPr>
          <w:rFonts w:cs="Arial"/>
          <w:bCs/>
          <w:szCs w:val="16"/>
          <w:lang w:val="en-US"/>
        </w:rPr>
        <w:t>Duckett</w:t>
      </w:r>
      <w:proofErr w:type="spellEnd"/>
      <w:r w:rsidRPr="000C3FED">
        <w:rPr>
          <w:rFonts w:cs="Arial"/>
          <w:bCs/>
          <w:szCs w:val="16"/>
          <w:lang w:val="en-US"/>
        </w:rPr>
        <w:t xml:space="preserve">, E. Y. </w:t>
      </w:r>
      <w:proofErr w:type="spellStart"/>
      <w:r w:rsidRPr="000C3FED">
        <w:rPr>
          <w:rFonts w:cs="Arial"/>
          <w:bCs/>
          <w:szCs w:val="16"/>
          <w:lang w:val="en-US"/>
        </w:rPr>
        <w:t>Chekmenev</w:t>
      </w:r>
      <w:proofErr w:type="spellEnd"/>
      <w:r w:rsidRPr="000C3FED">
        <w:rPr>
          <w:rFonts w:cs="Arial"/>
          <w:bCs/>
          <w:szCs w:val="16"/>
          <w:lang w:val="en-US"/>
        </w:rPr>
        <w:t>, J.-B.</w:t>
      </w:r>
      <w:proofErr w:type="gramEnd"/>
      <w:r w:rsidRPr="000C3FED">
        <w:rPr>
          <w:rFonts w:cs="Arial"/>
          <w:bCs/>
          <w:szCs w:val="16"/>
          <w:lang w:val="en-US"/>
        </w:rPr>
        <w:t xml:space="preserve"> </w:t>
      </w:r>
      <w:proofErr w:type="spellStart"/>
      <w:r w:rsidRPr="000C3FED">
        <w:rPr>
          <w:rFonts w:cs="Arial"/>
          <w:bCs/>
          <w:szCs w:val="16"/>
          <w:lang w:val="en-US"/>
        </w:rPr>
        <w:t>Hövener</w:t>
      </w:r>
      <w:proofErr w:type="spellEnd"/>
      <w:r w:rsidRPr="000C3FED">
        <w:rPr>
          <w:rFonts w:cs="Arial"/>
          <w:bCs/>
          <w:szCs w:val="16"/>
          <w:lang w:val="en-US"/>
        </w:rPr>
        <w:t xml:space="preserve">, I. V. </w:t>
      </w:r>
      <w:proofErr w:type="spellStart"/>
      <w:r w:rsidRPr="000C3FED">
        <w:rPr>
          <w:rFonts w:cs="Arial"/>
          <w:bCs/>
          <w:szCs w:val="16"/>
          <w:lang w:val="en-US"/>
        </w:rPr>
        <w:t>Koptyug</w:t>
      </w:r>
      <w:proofErr w:type="spellEnd"/>
      <w:r w:rsidRPr="000C3FED">
        <w:rPr>
          <w:rFonts w:cs="Arial"/>
          <w:bCs/>
          <w:szCs w:val="16"/>
          <w:lang w:val="en-US"/>
        </w:rPr>
        <w:t xml:space="preserve">, A. N. </w:t>
      </w:r>
      <w:proofErr w:type="spellStart"/>
      <w:r w:rsidRPr="000C3FED">
        <w:rPr>
          <w:rFonts w:cs="Arial"/>
          <w:bCs/>
          <w:szCs w:val="16"/>
          <w:lang w:val="en-US"/>
        </w:rPr>
        <w:t>Pravdivtsev</w:t>
      </w:r>
      <w:proofErr w:type="spellEnd"/>
      <w:r w:rsidRPr="000C3FED">
        <w:rPr>
          <w:rFonts w:cs="Arial"/>
          <w:bCs/>
          <w:szCs w:val="16"/>
          <w:lang w:val="en-US"/>
        </w:rPr>
        <w:t xml:space="preserve">, </w:t>
      </w:r>
      <w:r w:rsidRPr="000C3FED">
        <w:rPr>
          <w:rFonts w:cs="Arial"/>
          <w:bCs/>
          <w:i/>
          <w:szCs w:val="16"/>
          <w:lang w:val="en-US"/>
        </w:rPr>
        <w:t>Anal. Chem.</w:t>
      </w:r>
      <w:r w:rsidRPr="000C3FED">
        <w:rPr>
          <w:rFonts w:cs="Arial"/>
          <w:bCs/>
          <w:iCs/>
          <w:szCs w:val="16"/>
          <w:lang w:val="en-US"/>
        </w:rPr>
        <w:t xml:space="preserve">, </w:t>
      </w:r>
      <w:r w:rsidRPr="000C3FED">
        <w:rPr>
          <w:rFonts w:cs="Arial"/>
          <w:szCs w:val="16"/>
          <w:lang w:val="en-US"/>
        </w:rPr>
        <w:t>2024</w:t>
      </w:r>
      <w:r w:rsidRPr="000C3FED">
        <w:rPr>
          <w:rFonts w:cs="Arial"/>
          <w:bCs/>
          <w:szCs w:val="16"/>
          <w:lang w:val="en-US"/>
        </w:rPr>
        <w:t xml:space="preserve">, </w:t>
      </w:r>
      <w:r w:rsidRPr="000C3FED">
        <w:rPr>
          <w:rFonts w:cs="Arial"/>
          <w:bCs/>
          <w:i/>
          <w:szCs w:val="16"/>
          <w:lang w:val="en-US"/>
        </w:rPr>
        <w:t>96</w:t>
      </w:r>
      <w:r w:rsidRPr="000C3FED">
        <w:rPr>
          <w:rFonts w:cs="Arial"/>
          <w:bCs/>
          <w:szCs w:val="16"/>
          <w:lang w:val="en-US"/>
        </w:rPr>
        <w:t>, 11790–11799. DOI: 10.1021/acs.analchem.4c01374</w:t>
      </w:r>
    </w:p>
    <w:sectPr w:rsidR="001704B0" w:rsidRPr="000C3FED"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BD2" w:rsidRDefault="00864BD2" w:rsidP="00427E5A">
      <w:pPr>
        <w:spacing w:after="0" w:line="240" w:lineRule="auto"/>
      </w:pPr>
      <w:r>
        <w:separator/>
      </w:r>
    </w:p>
    <w:p w:rsidR="00864BD2" w:rsidRDefault="00864BD2"/>
  </w:endnote>
  <w:endnote w:type="continuationSeparator" w:id="0">
    <w:p w:rsidR="00864BD2" w:rsidRDefault="00864BD2" w:rsidP="00427E5A">
      <w:pPr>
        <w:spacing w:after="0" w:line="240" w:lineRule="auto"/>
      </w:pPr>
      <w:r>
        <w:continuationSeparator/>
      </w:r>
    </w:p>
    <w:p w:rsidR="00864BD2" w:rsidRDefault="00864BD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BD2" w:rsidRDefault="00864BD2" w:rsidP="00427E5A">
      <w:pPr>
        <w:spacing w:after="0" w:line="240" w:lineRule="auto"/>
      </w:pPr>
      <w:r>
        <w:separator/>
      </w:r>
    </w:p>
    <w:p w:rsidR="00864BD2" w:rsidRDefault="00864BD2"/>
  </w:footnote>
  <w:footnote w:type="continuationSeparator" w:id="0">
    <w:p w:rsidR="00864BD2" w:rsidRDefault="00864BD2" w:rsidP="00427E5A">
      <w:pPr>
        <w:spacing w:after="0" w:line="240" w:lineRule="auto"/>
      </w:pPr>
      <w:r>
        <w:continuationSeparator/>
      </w:r>
    </w:p>
    <w:p w:rsidR="00864BD2" w:rsidRDefault="00864BD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3FED"/>
    <w:rsid w:val="000C6B71"/>
    <w:rsid w:val="000C7F0D"/>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E47E4"/>
    <w:rsid w:val="002F424B"/>
    <w:rsid w:val="0031578F"/>
    <w:rsid w:val="00315C19"/>
    <w:rsid w:val="003163D8"/>
    <w:rsid w:val="00321C31"/>
    <w:rsid w:val="00335163"/>
    <w:rsid w:val="00337EE1"/>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482D"/>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64BD2"/>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0EF6"/>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0DA0"/>
    <w:rsid w:val="00C0130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01F1"/>
    <w:rsid w:val="00D118AB"/>
    <w:rsid w:val="00D12AFB"/>
    <w:rsid w:val="00D22C36"/>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0ABA"/>
    <w:rsid w:val="00EB2FCC"/>
    <w:rsid w:val="00EB6228"/>
    <w:rsid w:val="00EE0429"/>
    <w:rsid w:val="00EE4066"/>
    <w:rsid w:val="00EE5CC8"/>
    <w:rsid w:val="00EE7A60"/>
    <w:rsid w:val="00EF625A"/>
    <w:rsid w:val="00EF6BD4"/>
    <w:rsid w:val="00EF70D8"/>
    <w:rsid w:val="00F01C7B"/>
    <w:rsid w:val="00F24736"/>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571C"/>
    <w:rsid w:val="00FB689E"/>
    <w:rsid w:val="00FD0D30"/>
    <w:rsid w:val="00FD2F8B"/>
    <w:rsid w:val="00FD2FDA"/>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 w:type="paragraph" w:customStyle="1" w:styleId="Header1">
    <w:name w:val="Header 1"/>
    <w:basedOn w:val="a"/>
    <w:link w:val="Header10"/>
    <w:qFormat/>
    <w:rsid w:val="00337EE1"/>
    <w:pPr>
      <w:spacing w:before="200"/>
    </w:pPr>
    <w:rPr>
      <w:rFonts w:ascii="Arial" w:hAnsi="Arial" w:cs="Arial"/>
      <w:b/>
      <w:lang w:val="en-US"/>
    </w:rPr>
  </w:style>
  <w:style w:type="paragraph" w:customStyle="1" w:styleId="MainText">
    <w:name w:val="Main Text"/>
    <w:basedOn w:val="a"/>
    <w:link w:val="MainText0"/>
    <w:qFormat/>
    <w:rsid w:val="00337EE1"/>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337EE1"/>
    <w:rPr>
      <w:rFonts w:ascii="Arial" w:hAnsi="Arial" w:cs="Arial"/>
      <w:b/>
      <w:lang w:val="en-US"/>
    </w:rPr>
  </w:style>
  <w:style w:type="paragraph" w:customStyle="1" w:styleId="Captions">
    <w:name w:val="Captions"/>
    <w:basedOn w:val="MainText"/>
    <w:next w:val="MainText"/>
    <w:link w:val="Captions0"/>
    <w:qFormat/>
    <w:rsid w:val="00337EE1"/>
    <w:pPr>
      <w:spacing w:before="200" w:line="240" w:lineRule="auto"/>
    </w:pPr>
    <w:rPr>
      <w:b/>
    </w:rPr>
  </w:style>
  <w:style w:type="character" w:customStyle="1" w:styleId="MainText0">
    <w:name w:val="Main Text Знак"/>
    <w:basedOn w:val="a0"/>
    <w:link w:val="MainText"/>
    <w:rsid w:val="00337EE1"/>
    <w:rPr>
      <w:rFonts w:ascii="Times New Roman" w:hAnsi="Times New Roman" w:cs="Times New Roman"/>
      <w:sz w:val="18"/>
      <w:szCs w:val="18"/>
      <w:lang w:val="en-US"/>
    </w:rPr>
  </w:style>
  <w:style w:type="character" w:customStyle="1" w:styleId="Captions0">
    <w:name w:val="Captions Знак"/>
    <w:basedOn w:val="a0"/>
    <w:link w:val="Captions"/>
    <w:rsid w:val="00337EE1"/>
    <w:rPr>
      <w:rFonts w:ascii="Times New Roman" w:hAnsi="Times New Roman" w:cs="Times New Roman"/>
      <w:b/>
      <w:sz w:val="18"/>
      <w:szCs w:val="18"/>
      <w:lang w:val="en-US"/>
    </w:rPr>
  </w:style>
  <w:style w:type="paragraph" w:customStyle="1" w:styleId="EndNoteBibliography">
    <w:name w:val="EndNote Bibliography"/>
    <w:basedOn w:val="a"/>
    <w:link w:val="EndNoteBibliography0"/>
    <w:rsid w:val="00337EE1"/>
    <w:pPr>
      <w:spacing w:line="240" w:lineRule="auto"/>
      <w:jc w:val="both"/>
    </w:pPr>
    <w:rPr>
      <w:rFonts w:ascii="Times New Roman" w:hAnsi="Times New Roman" w:cs="Times New Roman"/>
      <w:noProof/>
      <w:sz w:val="18"/>
      <w:lang w:val="en-US"/>
    </w:rPr>
  </w:style>
  <w:style w:type="character" w:customStyle="1" w:styleId="EndNoteBibliography0">
    <w:name w:val="EndNote Bibliography Знак"/>
    <w:basedOn w:val="a0"/>
    <w:link w:val="EndNoteBibliography"/>
    <w:rsid w:val="00337EE1"/>
    <w:rPr>
      <w:rFonts w:ascii="Times New Roman" w:hAnsi="Times New Roman" w:cs="Times New Roman"/>
      <w:noProof/>
      <w:sz w:val="1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8A893-6721-4F9E-933C-91F7622D6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1505</Words>
  <Characters>8582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36</cp:revision>
  <dcterms:created xsi:type="dcterms:W3CDTF">2025-07-01T17:14:00Z</dcterms:created>
  <dcterms:modified xsi:type="dcterms:W3CDTF">2025-07-19T16:05:00Z</dcterms:modified>
</cp:coreProperties>
</file>