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5D1A9A"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5D1A9A">
        <w:rPr>
          <w:rFonts w:ascii="Times New Roman" w:hAnsi="Times New Roman" w:cs="Times New Roman"/>
          <w:sz w:val="36"/>
          <w:szCs w:val="36"/>
          <w:lang w:val="en-US"/>
        </w:rPr>
        <w:t xml:space="preserve">, </w:t>
      </w:r>
      <w:r w:rsidR="005D1A9A" w:rsidRPr="005D1A9A">
        <w:rPr>
          <w:rFonts w:ascii="Times New Roman" w:hAnsi="Times New Roman" w:cs="Times New Roman"/>
          <w:sz w:val="36"/>
          <w:szCs w:val="36"/>
          <w:lang w:val="en-US"/>
        </w:rPr>
        <w:t>40</w:t>
      </w:r>
      <w:r w:rsidR="00F27BF3" w:rsidRPr="006118F4">
        <w:rPr>
          <w:rFonts w:ascii="Times New Roman" w:hAnsi="Times New Roman" w:cs="Times New Roman"/>
          <w:sz w:val="36"/>
          <w:szCs w:val="36"/>
          <w:lang w:val="en-US"/>
        </w:rPr>
        <w:t>–</w:t>
      </w:r>
      <w:r w:rsidR="005D1A9A" w:rsidRPr="005D1A9A">
        <w:rPr>
          <w:rFonts w:ascii="Times New Roman" w:hAnsi="Times New Roman" w:cs="Times New Roman"/>
          <w:sz w:val="36"/>
          <w:szCs w:val="36"/>
          <w:lang w:val="en-US"/>
        </w:rPr>
        <w:t>41</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r w:rsidR="006370EF">
        <w:fldChar w:fldCharType="begin"/>
      </w:r>
      <w:r w:rsidR="006370EF" w:rsidRPr="007E11BE">
        <w:rPr>
          <w:lang w:val="en-US"/>
        </w:rPr>
        <w:instrText>HYPERLINK "http://doi.org/10.32931/io2507a"</w:instrText>
      </w:r>
      <w:r w:rsidR="006370EF">
        <w:fldChar w:fldCharType="separate"/>
      </w:r>
      <w:r w:rsidR="005D1A9A">
        <w:rPr>
          <w:rFonts w:ascii="Times New Roman" w:hAnsi="Times New Roman" w:cs="Times New Roman"/>
          <w:b/>
          <w:sz w:val="24"/>
          <w:szCs w:val="24"/>
          <w:lang w:val="en-US"/>
        </w:rPr>
        <w:t>10.32931/io25</w:t>
      </w:r>
      <w:r w:rsidR="005D1A9A" w:rsidRPr="005D1A9A">
        <w:rPr>
          <w:rFonts w:ascii="Times New Roman" w:hAnsi="Times New Roman" w:cs="Times New Roman"/>
          <w:b/>
          <w:sz w:val="24"/>
          <w:szCs w:val="24"/>
          <w:lang w:val="en-US"/>
        </w:rPr>
        <w:t>54</w:t>
      </w:r>
      <w:r w:rsidR="0091084F" w:rsidRPr="00FD0D30">
        <w:rPr>
          <w:rFonts w:ascii="Times New Roman" w:hAnsi="Times New Roman" w:cs="Times New Roman"/>
          <w:b/>
          <w:sz w:val="24"/>
          <w:szCs w:val="24"/>
          <w:lang w:val="en-US"/>
        </w:rPr>
        <w:t>a</w:t>
      </w:r>
      <w:r w:rsidR="006370EF">
        <w:fldChar w:fldCharType="end"/>
      </w:r>
    </w:p>
    <w:p w:rsidR="002801B8" w:rsidRPr="005D1A9A" w:rsidRDefault="005D1A9A" w:rsidP="005D1A9A">
      <w:pPr>
        <w:pStyle w:val="ArticleTitle"/>
      </w:pPr>
      <w:r>
        <w:t>QD–</w:t>
      </w:r>
      <w:proofErr w:type="spellStart"/>
      <w:r>
        <w:t>Aptamer</w:t>
      </w:r>
      <w:proofErr w:type="spellEnd"/>
      <w:r>
        <w:t xml:space="preserve"> </w:t>
      </w:r>
      <w:proofErr w:type="spellStart"/>
      <w:r>
        <w:t>Biocomplexes</w:t>
      </w:r>
      <w:proofErr w:type="spellEnd"/>
      <w:r>
        <w:t xml:space="preserve"> with Specificity to the</w:t>
      </w:r>
      <w:r>
        <w:br/>
        <w:t>Epidermal Growth Factor R</w:t>
      </w:r>
      <w:r w:rsidRPr="005D1A9A">
        <w:t>eceptor</w:t>
      </w:r>
    </w:p>
    <w:p w:rsidR="00F46F0E" w:rsidRPr="005D1A9A" w:rsidRDefault="005D1A9A" w:rsidP="005D1A9A">
      <w:pPr>
        <w:pStyle w:val="Authors"/>
      </w:pPr>
      <w:r w:rsidRPr="005D1A9A">
        <w:t>M. V. Grigoreva, O. A. Otmakhova, O. N. Karpov*</w:t>
      </w:r>
    </w:p>
    <w:p w:rsidR="008518EA" w:rsidRPr="0091084F" w:rsidRDefault="005D1A9A" w:rsidP="005D1A9A">
      <w:pPr>
        <w:pStyle w:val="Affelations"/>
      </w:pPr>
      <w:proofErr w:type="spellStart"/>
      <w:r w:rsidRPr="001A22A0">
        <w:t>Topchiev</w:t>
      </w:r>
      <w:proofErr w:type="spellEnd"/>
      <w:r w:rsidRPr="001A22A0">
        <w:t xml:space="preserve"> Institute of Petrochemical Synthesis, Russian Academy of Sciences,</w:t>
      </w:r>
      <w:r>
        <w:t xml:space="preserve"> </w:t>
      </w:r>
      <w:proofErr w:type="spellStart"/>
      <w:r w:rsidRPr="001A22A0">
        <w:t>Leninskii</w:t>
      </w:r>
      <w:proofErr w:type="spellEnd"/>
      <w:r w:rsidRPr="001A22A0">
        <w:t xml:space="preserve"> pr. 29, Moscow, 119991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5D1A9A" w:rsidRPr="001A22A0">
        <w:rPr>
          <w:rFonts w:eastAsia="Times New Roman"/>
        </w:rPr>
        <w:t xml:space="preserve">O. N. </w:t>
      </w:r>
      <w:proofErr w:type="spellStart"/>
      <w:r w:rsidR="005D1A9A" w:rsidRPr="001A22A0">
        <w:rPr>
          <w:rFonts w:eastAsia="Times New Roman"/>
        </w:rPr>
        <w:t>Karpov</w:t>
      </w:r>
      <w:proofErr w:type="spellEnd"/>
      <w:r w:rsidR="00D31C2D" w:rsidRPr="005827E1">
        <w:t>, e-mail:</w:t>
      </w:r>
      <w:r w:rsidR="00F27BF3" w:rsidRPr="005827E1">
        <w:t xml:space="preserve"> </w:t>
      </w:r>
      <w:r w:rsidR="005D1A9A" w:rsidRPr="001A22A0">
        <w:rPr>
          <w:rFonts w:eastAsia="Times New Roman"/>
        </w:rPr>
        <w:t>o.karpov@ips.ac.ru</w:t>
      </w:r>
      <w:r w:rsidR="00C01303" w:rsidRPr="005827E1">
        <w:br/>
      </w:r>
      <w:r w:rsidR="005D1A9A">
        <w:t>Received 26</w:t>
      </w:r>
      <w:r w:rsidRPr="005827E1">
        <w:t xml:space="preserve"> </w:t>
      </w:r>
      <w:r w:rsidR="005D1A9A">
        <w:t>Nov</w:t>
      </w:r>
      <w:r w:rsidRPr="005827E1">
        <w:t xml:space="preserve">ember 2024; accepted </w:t>
      </w:r>
      <w:r w:rsidR="005D1A9A">
        <w:t>6</w:t>
      </w:r>
      <w:r w:rsidR="001704B0" w:rsidRPr="005827E1">
        <w:t xml:space="preserve"> </w:t>
      </w:r>
      <w:r w:rsidR="005D1A9A">
        <w:t>April</w:t>
      </w:r>
      <w:r w:rsidR="001704B0" w:rsidRPr="005827E1">
        <w:t xml:space="preserve"> </w:t>
      </w:r>
      <w:r w:rsidR="00F27BF3" w:rsidRPr="005827E1">
        <w:t>202</w:t>
      </w:r>
      <w:r w:rsidR="005D1A9A">
        <w:t>5</w:t>
      </w:r>
    </w:p>
    <w:p w:rsidR="00D118AB" w:rsidRPr="008518EA" w:rsidRDefault="00F46F0E" w:rsidP="0068614A">
      <w:pPr>
        <w:pStyle w:val="MainHeader"/>
      </w:pPr>
      <w:r w:rsidRPr="000843DF">
        <w:t>Abstract</w:t>
      </w:r>
    </w:p>
    <w:p w:rsidR="00D118AB" w:rsidRPr="007B0653" w:rsidRDefault="00D118AB" w:rsidP="00A00249">
      <w:pPr>
        <w:pStyle w:val="AbsFig"/>
        <w:rPr>
          <w:lang w:val="en-US"/>
        </w:rPr>
      </w:pPr>
    </w:p>
    <w:p w:rsidR="001704B0" w:rsidRDefault="00A00249" w:rsidP="001704B0">
      <w:pPr>
        <w:pStyle w:val="AbsText"/>
      </w:pPr>
      <w:r w:rsidRPr="001A22A0">
        <w:rPr>
          <w:rFonts w:eastAsia="Times New Roman"/>
          <w:color w:val="131413"/>
        </w:rPr>
        <w:t xml:space="preserve">Complexes based on quantum dots (QDs) and </w:t>
      </w:r>
      <w:proofErr w:type="spellStart"/>
      <w:r w:rsidRPr="001A22A0">
        <w:rPr>
          <w:rFonts w:eastAsia="Times New Roman"/>
          <w:color w:val="131413"/>
        </w:rPr>
        <w:t>aptamers</w:t>
      </w:r>
      <w:proofErr w:type="spellEnd"/>
      <w:r w:rsidRPr="001A22A0">
        <w:rPr>
          <w:rFonts w:eastAsia="Times New Roman"/>
          <w:color w:val="131413"/>
        </w:rPr>
        <w:t xml:space="preserve"> can combine the luminescence properties of </w:t>
      </w:r>
      <w:proofErr w:type="spellStart"/>
      <w:r w:rsidRPr="001A22A0">
        <w:rPr>
          <w:rFonts w:eastAsia="Times New Roman"/>
          <w:color w:val="131413"/>
        </w:rPr>
        <w:t>nanoparticles</w:t>
      </w:r>
      <w:proofErr w:type="spellEnd"/>
      <w:r w:rsidRPr="001A22A0">
        <w:rPr>
          <w:rFonts w:eastAsia="Times New Roman"/>
          <w:color w:val="131413"/>
        </w:rPr>
        <w:t xml:space="preserve"> and the specificity of interaction of an </w:t>
      </w:r>
      <w:proofErr w:type="spellStart"/>
      <w:r w:rsidRPr="001A22A0">
        <w:rPr>
          <w:rFonts w:eastAsia="Times New Roman"/>
          <w:color w:val="131413"/>
        </w:rPr>
        <w:t>aptamer</w:t>
      </w:r>
      <w:proofErr w:type="spellEnd"/>
      <w:r w:rsidRPr="001A22A0">
        <w:rPr>
          <w:rFonts w:eastAsia="Times New Roman"/>
          <w:color w:val="131413"/>
        </w:rPr>
        <w:t xml:space="preserve"> with a target. In this work, a method for obtaining the complexes of QDs of various types (</w:t>
      </w:r>
      <w:proofErr w:type="spellStart"/>
      <w:r w:rsidRPr="001A22A0">
        <w:rPr>
          <w:rFonts w:eastAsia="Times New Roman"/>
          <w:color w:val="131413"/>
        </w:rPr>
        <w:t>CdSe</w:t>
      </w:r>
      <w:proofErr w:type="spellEnd"/>
      <w:r w:rsidRPr="001A22A0">
        <w:rPr>
          <w:rFonts w:eastAsia="Times New Roman"/>
          <w:color w:val="131413"/>
        </w:rPr>
        <w:t>/</w:t>
      </w:r>
      <w:proofErr w:type="spellStart"/>
      <w:r w:rsidRPr="001A22A0">
        <w:rPr>
          <w:rFonts w:eastAsia="Times New Roman"/>
          <w:color w:val="131413"/>
        </w:rPr>
        <w:t>ZnS</w:t>
      </w:r>
      <w:proofErr w:type="spellEnd"/>
      <w:r w:rsidRPr="001A22A0">
        <w:rPr>
          <w:rFonts w:eastAsia="Times New Roman"/>
          <w:color w:val="131413"/>
        </w:rPr>
        <w:t xml:space="preserve"> and </w:t>
      </w:r>
      <w:proofErr w:type="spellStart"/>
      <w:r w:rsidRPr="001A22A0">
        <w:rPr>
          <w:rFonts w:eastAsia="Times New Roman"/>
          <w:color w:val="131413"/>
        </w:rPr>
        <w:t>InP</w:t>
      </w:r>
      <w:proofErr w:type="spellEnd"/>
      <w:r w:rsidRPr="001A22A0">
        <w:rPr>
          <w:rFonts w:eastAsia="Times New Roman"/>
          <w:color w:val="131413"/>
        </w:rPr>
        <w:t>/</w:t>
      </w:r>
      <w:proofErr w:type="spellStart"/>
      <w:r w:rsidRPr="001A22A0">
        <w:rPr>
          <w:rFonts w:eastAsia="Times New Roman"/>
          <w:color w:val="131413"/>
        </w:rPr>
        <w:t>ZnS</w:t>
      </w:r>
      <w:proofErr w:type="spellEnd"/>
      <w:r w:rsidRPr="001A22A0">
        <w:rPr>
          <w:rFonts w:eastAsia="Times New Roman"/>
          <w:color w:val="131413"/>
        </w:rPr>
        <w:t xml:space="preserve">) with DNA </w:t>
      </w:r>
      <w:proofErr w:type="spellStart"/>
      <w:r w:rsidRPr="001A22A0">
        <w:rPr>
          <w:rFonts w:eastAsia="Times New Roman"/>
          <w:color w:val="131413"/>
        </w:rPr>
        <w:t>aptamers</w:t>
      </w:r>
      <w:proofErr w:type="spellEnd"/>
      <w:r w:rsidRPr="001A22A0">
        <w:rPr>
          <w:rFonts w:eastAsia="Times New Roman"/>
          <w:color w:val="131413"/>
        </w:rPr>
        <w:t xml:space="preserve"> Gol1 and U8 was proposed. These </w:t>
      </w:r>
      <w:proofErr w:type="spellStart"/>
      <w:r w:rsidRPr="001A22A0">
        <w:rPr>
          <w:rFonts w:eastAsia="Times New Roman"/>
          <w:color w:val="131413"/>
        </w:rPr>
        <w:t>aptamers</w:t>
      </w:r>
      <w:proofErr w:type="spellEnd"/>
      <w:r w:rsidRPr="001A22A0">
        <w:rPr>
          <w:rFonts w:eastAsia="Times New Roman"/>
          <w:color w:val="131413"/>
        </w:rPr>
        <w:t xml:space="preserve"> determine the specificity of interaction with the epidermal growth factor receptor (EGFR). The complexes obtained have great potential in the field of optical visualization and diagnostics of </w:t>
      </w:r>
      <w:proofErr w:type="spellStart"/>
      <w:r w:rsidRPr="001A22A0">
        <w:rPr>
          <w:rFonts w:eastAsia="Times New Roman"/>
          <w:color w:val="131413"/>
        </w:rPr>
        <w:t>oncological</w:t>
      </w:r>
      <w:proofErr w:type="spellEnd"/>
      <w:r w:rsidRPr="001A22A0">
        <w:rPr>
          <w:rFonts w:eastAsia="Times New Roman"/>
          <w:color w:val="131413"/>
        </w:rPr>
        <w:t xml:space="preserve"> diseases.</w:t>
      </w:r>
    </w:p>
    <w:p w:rsidR="00166162" w:rsidRPr="00EF6BD4" w:rsidRDefault="00F46F0E" w:rsidP="00EF6BD4">
      <w:pPr>
        <w:pStyle w:val="Keywords"/>
        <w:rPr>
          <w:szCs w:val="20"/>
        </w:rPr>
      </w:pPr>
      <w:r w:rsidRPr="00EF6BD4">
        <w:rPr>
          <w:b/>
        </w:rPr>
        <w:t>Key words:</w:t>
      </w:r>
      <w:r w:rsidR="00A00249" w:rsidRPr="00A00249">
        <w:t xml:space="preserve"> </w:t>
      </w:r>
      <w:r w:rsidR="00A00249" w:rsidRPr="001A22A0">
        <w:t>q</w:t>
      </w:r>
      <w:r w:rsidR="00A00249" w:rsidRPr="001A22A0">
        <w:rPr>
          <w:rFonts w:eastAsia="Times New Roman"/>
          <w:color w:val="000000"/>
        </w:rPr>
        <w:t xml:space="preserve">uantum dot, </w:t>
      </w:r>
      <w:proofErr w:type="spellStart"/>
      <w:r w:rsidR="00A00249" w:rsidRPr="001A22A0">
        <w:rPr>
          <w:rFonts w:eastAsia="Times New Roman"/>
          <w:color w:val="000000"/>
        </w:rPr>
        <w:t>aptamer</w:t>
      </w:r>
      <w:proofErr w:type="spellEnd"/>
      <w:r w:rsidR="00A00249" w:rsidRPr="001A22A0">
        <w:rPr>
          <w:rFonts w:eastAsia="Times New Roman"/>
          <w:color w:val="000000"/>
        </w:rPr>
        <w:t>, luminescence</w:t>
      </w:r>
      <w:r w:rsidR="001704B0" w:rsidRPr="001704B0">
        <w:t>.</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A00249" w:rsidRPr="007E11BE" w:rsidRDefault="00A00249" w:rsidP="00A00249">
      <w:pPr>
        <w:pStyle w:val="Text"/>
        <w:rPr>
          <w:lang w:val="en-US"/>
        </w:rPr>
      </w:pPr>
      <w:r w:rsidRPr="007E11BE">
        <w:rPr>
          <w:lang w:val="en-US"/>
        </w:rPr>
        <w:t>Owing to the unique optical properties and stability, quantum dots are increasingly considered as luminescent markers in the development of new biosensors for clinical diagnostics and various immunobiological studies [1, 2]. Along with high stability, these systems may also exhibit specific interactions with certain targets. To create them, QDs of various structures were used, including CdSe/ZnS and InP/ZnS bearing functional groups on the particle surface, which offer the possibility of further modification with ligands such as aptamers [3]. Aptamers are oligonucleotides with a complex tertiary structure, which ensures the ability to perform diverse functions, for example, molecular recognition—the ability to structurally bind with both small and large molecules [4, 5]. Oligonucleotide aptamers offer a number of advantages such as the versatile and rapid synthesis, chemical stability, non-toxicity, as well as the possibility to modify the structure and introduce different functional groups into the main chain. The aptamers Gol1 [6] and U8 [7] are known for their specificity to bind with the epidermal growth factor receptor. The EGFR is a transmembrane protein of both healthy and cancerous cells and acts as a receptor for the epidermal growth factor (EGF) normally required to stimulate healthy cell growth and differentiation. However, the presence of the EGFR on the cell surface in larger quantities is a globally recognized marker of oncological diseases [8].</w:t>
      </w:r>
    </w:p>
    <w:p w:rsidR="00A00249" w:rsidRPr="001A22A0" w:rsidRDefault="00A00249" w:rsidP="00A00249">
      <w:pPr>
        <w:pStyle w:val="MainHeader"/>
      </w:pPr>
      <w:r w:rsidRPr="001A22A0">
        <w:t>Results and discussion</w:t>
      </w:r>
    </w:p>
    <w:p w:rsidR="00A00249" w:rsidRPr="001A22A0" w:rsidRDefault="00A00249" w:rsidP="00A00249">
      <w:pPr>
        <w:pStyle w:val="Text"/>
        <w:rPr>
          <w:lang w:val="en-US"/>
        </w:rPr>
      </w:pPr>
      <w:r w:rsidRPr="001A22A0">
        <w:rPr>
          <w:lang w:val="en-US"/>
        </w:rPr>
        <w:lastRenderedPageBreak/>
        <w:t>This work was aimed at obtaining QD–</w:t>
      </w:r>
      <w:proofErr w:type="spellStart"/>
      <w:r w:rsidRPr="001A22A0">
        <w:rPr>
          <w:lang w:val="en-US"/>
        </w:rPr>
        <w:t>aptamer</w:t>
      </w:r>
      <w:proofErr w:type="spellEnd"/>
      <w:r w:rsidRPr="001A22A0">
        <w:rPr>
          <w:lang w:val="en-US"/>
        </w:rPr>
        <w:t xml:space="preserve"> complexes featuring the luminescence properties of QDs and selectivity of </w:t>
      </w:r>
      <w:proofErr w:type="spellStart"/>
      <w:r w:rsidRPr="001A22A0">
        <w:rPr>
          <w:lang w:val="en-US"/>
        </w:rPr>
        <w:t>aptamers</w:t>
      </w:r>
      <w:proofErr w:type="spellEnd"/>
      <w:r w:rsidRPr="001A22A0">
        <w:rPr>
          <w:lang w:val="en-US"/>
        </w:rPr>
        <w:t xml:space="preserve">. Two different types of </w:t>
      </w:r>
      <w:proofErr w:type="spellStart"/>
      <w:r w:rsidRPr="001A22A0">
        <w:rPr>
          <w:lang w:val="en-US"/>
        </w:rPr>
        <w:t>nanoparticles</w:t>
      </w:r>
      <w:proofErr w:type="spellEnd"/>
      <w:r w:rsidRPr="001A22A0">
        <w:rPr>
          <w:lang w:val="en-US"/>
        </w:rPr>
        <w:t xml:space="preserve"> were used: </w:t>
      </w:r>
      <w:proofErr w:type="spellStart"/>
      <w:r w:rsidRPr="001A22A0">
        <w:rPr>
          <w:lang w:val="en-US"/>
        </w:rPr>
        <w:t>CdSe</w:t>
      </w:r>
      <w:proofErr w:type="spellEnd"/>
      <w:r w:rsidRPr="001A22A0">
        <w:rPr>
          <w:lang w:val="en-US"/>
        </w:rPr>
        <w:t>/</w:t>
      </w:r>
      <w:proofErr w:type="spellStart"/>
      <w:r w:rsidRPr="001A22A0">
        <w:rPr>
          <w:lang w:val="en-US"/>
        </w:rPr>
        <w:t>ZnS</w:t>
      </w:r>
      <w:proofErr w:type="spellEnd"/>
      <w:r w:rsidRPr="001A22A0">
        <w:rPr>
          <w:lang w:val="en-US"/>
        </w:rPr>
        <w:t xml:space="preserve"> with a high quantum yield and stability and </w:t>
      </w:r>
      <w:proofErr w:type="spellStart"/>
      <w:r w:rsidRPr="001A22A0">
        <w:rPr>
          <w:lang w:val="en-US"/>
        </w:rPr>
        <w:t>InP</w:t>
      </w:r>
      <w:proofErr w:type="spellEnd"/>
      <w:r w:rsidRPr="001A22A0">
        <w:rPr>
          <w:lang w:val="en-US"/>
        </w:rPr>
        <w:t>/</w:t>
      </w:r>
      <w:proofErr w:type="spellStart"/>
      <w:r w:rsidRPr="001A22A0">
        <w:rPr>
          <w:lang w:val="en-US"/>
        </w:rPr>
        <w:t>ZnS</w:t>
      </w:r>
      <w:proofErr w:type="spellEnd"/>
      <w:r w:rsidRPr="001A22A0">
        <w:rPr>
          <w:lang w:val="en-US"/>
        </w:rPr>
        <w:t xml:space="preserve"> based on low-toxicity atoms.</w:t>
      </w:r>
    </w:p>
    <w:p w:rsidR="00A00249" w:rsidRPr="001A22A0" w:rsidRDefault="00A00249" w:rsidP="00A00249">
      <w:pPr>
        <w:pStyle w:val="Text"/>
        <w:rPr>
          <w:lang w:val="en-US"/>
        </w:rPr>
      </w:pPr>
      <w:r w:rsidRPr="001A22A0">
        <w:rPr>
          <w:lang w:val="en-US"/>
        </w:rPr>
        <w:t xml:space="preserve">The QDs are coated with hydrophilic high-molecular </w:t>
      </w:r>
      <w:proofErr w:type="spellStart"/>
      <w:r w:rsidRPr="001A22A0">
        <w:rPr>
          <w:lang w:val="en-US"/>
        </w:rPr>
        <w:t>ligands</w:t>
      </w:r>
      <w:proofErr w:type="spellEnd"/>
      <w:r w:rsidRPr="001A22A0">
        <w:rPr>
          <w:lang w:val="en-US"/>
        </w:rPr>
        <w:t xml:space="preserve">, which, in addition to the ability of imparting water solubility, have functional </w:t>
      </w:r>
      <w:proofErr w:type="spellStart"/>
      <w:r w:rsidRPr="001A22A0">
        <w:rPr>
          <w:lang w:val="en-US"/>
        </w:rPr>
        <w:t>carboxy</w:t>
      </w:r>
      <w:proofErr w:type="spellEnd"/>
      <w:r w:rsidRPr="001A22A0">
        <w:rPr>
          <w:lang w:val="en-US"/>
        </w:rPr>
        <w:t xml:space="preserve"> groups, ensuring the possibility of their further modification. In order to create the complexes with high affinity to the EGFR, two DNA </w:t>
      </w:r>
      <w:proofErr w:type="spellStart"/>
      <w:r w:rsidRPr="001A22A0">
        <w:rPr>
          <w:lang w:val="en-US"/>
        </w:rPr>
        <w:t>aptamers</w:t>
      </w:r>
      <w:proofErr w:type="spellEnd"/>
      <w:r w:rsidRPr="001A22A0">
        <w:rPr>
          <w:lang w:val="en-US"/>
        </w:rPr>
        <w:t xml:space="preserve">, namely, Gol1 and U8 were selected in order to provide specific interaction with the EGFR protein on the cell surface. For binding with </w:t>
      </w:r>
      <w:proofErr w:type="spellStart"/>
      <w:r w:rsidRPr="001A22A0">
        <w:rPr>
          <w:lang w:val="en-US"/>
        </w:rPr>
        <w:t>carboxy</w:t>
      </w:r>
      <w:proofErr w:type="spellEnd"/>
      <w:r w:rsidRPr="001A22A0">
        <w:rPr>
          <w:lang w:val="en-US"/>
        </w:rPr>
        <w:t xml:space="preserve"> groups on the QD surface, the </w:t>
      </w:r>
      <w:proofErr w:type="spellStart"/>
      <w:r w:rsidRPr="001A22A0">
        <w:rPr>
          <w:lang w:val="en-US"/>
        </w:rPr>
        <w:t>aptamers</w:t>
      </w:r>
      <w:proofErr w:type="spellEnd"/>
      <w:r w:rsidRPr="001A22A0">
        <w:rPr>
          <w:lang w:val="en-US"/>
        </w:rPr>
        <w:t xml:space="preserve"> were additionally modified with amino groups. The sequences of the </w:t>
      </w:r>
      <w:proofErr w:type="spellStart"/>
      <w:r w:rsidRPr="001A22A0">
        <w:rPr>
          <w:lang w:val="en-US"/>
        </w:rPr>
        <w:t>aptamers</w:t>
      </w:r>
      <w:proofErr w:type="spellEnd"/>
      <w:r w:rsidRPr="001A22A0">
        <w:rPr>
          <w:lang w:val="en-US"/>
        </w:rPr>
        <w:t xml:space="preserve"> in use were as follows:</w:t>
      </w:r>
    </w:p>
    <w:p w:rsidR="00A00249" w:rsidRPr="001A22A0" w:rsidRDefault="00A00249" w:rsidP="00A00249">
      <w:pPr>
        <w:pStyle w:val="Text"/>
        <w:rPr>
          <w:lang w:val="en-US"/>
        </w:rPr>
      </w:pPr>
      <w:r w:rsidRPr="001A22A0">
        <w:rPr>
          <w:lang w:val="en-US"/>
        </w:rPr>
        <w:t xml:space="preserve">– </w:t>
      </w:r>
      <w:proofErr w:type="gramStart"/>
      <w:r w:rsidRPr="001A22A0">
        <w:rPr>
          <w:lang w:val="en-US"/>
        </w:rPr>
        <w:t>amino-Gol1</w:t>
      </w:r>
      <w:proofErr w:type="gramEnd"/>
      <w:r w:rsidRPr="001A22A0">
        <w:rPr>
          <w:lang w:val="en-US"/>
        </w:rPr>
        <w:t>: NH</w:t>
      </w:r>
      <w:r w:rsidRPr="001A22A0">
        <w:rPr>
          <w:vertAlign w:val="subscript"/>
          <w:lang w:val="en-US"/>
        </w:rPr>
        <w:t>2</w:t>
      </w:r>
      <w:r w:rsidRPr="001A22A0">
        <w:rPr>
          <w:lang w:val="en-US"/>
        </w:rPr>
        <w:t>-C</w:t>
      </w:r>
      <w:r w:rsidRPr="001A22A0">
        <w:rPr>
          <w:vertAlign w:val="subscript"/>
          <w:lang w:val="en-US"/>
        </w:rPr>
        <w:t>6</w:t>
      </w:r>
      <w:r w:rsidRPr="001A22A0">
        <w:rPr>
          <w:lang w:val="en-US"/>
        </w:rPr>
        <w:t>H</w:t>
      </w:r>
      <w:r w:rsidRPr="001A22A0">
        <w:rPr>
          <w:vertAlign w:val="subscript"/>
          <w:lang w:val="en-US"/>
        </w:rPr>
        <w:t>12</w:t>
      </w:r>
      <w:r w:rsidRPr="001A22A0">
        <w:rPr>
          <w:lang w:val="en-US"/>
        </w:rPr>
        <w:t>-gcc-ggc-att-ttg-acg-ccg-ccc-cgg-ctg-ctt-att-atg-ctcc-ggg-gca-tat-ggc,</w:t>
      </w:r>
    </w:p>
    <w:p w:rsidR="00A00249" w:rsidRPr="001A22A0" w:rsidRDefault="00A00249" w:rsidP="00A00249">
      <w:pPr>
        <w:pStyle w:val="Text"/>
        <w:rPr>
          <w:lang w:val="en-US"/>
        </w:rPr>
      </w:pPr>
      <w:r w:rsidRPr="001A22A0">
        <w:rPr>
          <w:lang w:val="en-US"/>
        </w:rPr>
        <w:t xml:space="preserve">– </w:t>
      </w:r>
      <w:proofErr w:type="gramStart"/>
      <w:r w:rsidRPr="001A22A0">
        <w:rPr>
          <w:lang w:val="en-US"/>
        </w:rPr>
        <w:t>amino-U8</w:t>
      </w:r>
      <w:proofErr w:type="gramEnd"/>
      <w:r w:rsidRPr="001A22A0">
        <w:rPr>
          <w:lang w:val="en-US"/>
        </w:rPr>
        <w:t>: NH</w:t>
      </w:r>
      <w:r w:rsidRPr="001A22A0">
        <w:rPr>
          <w:vertAlign w:val="subscript"/>
          <w:lang w:val="en-US"/>
        </w:rPr>
        <w:t>2</w:t>
      </w:r>
      <w:r w:rsidRPr="001A22A0">
        <w:rPr>
          <w:lang w:val="en-US"/>
        </w:rPr>
        <w:t>-C</w:t>
      </w:r>
      <w:r w:rsidRPr="001A22A0">
        <w:rPr>
          <w:vertAlign w:val="subscript"/>
          <w:lang w:val="en-US"/>
        </w:rPr>
        <w:t>6</w:t>
      </w:r>
      <w:r w:rsidRPr="001A22A0">
        <w:rPr>
          <w:lang w:val="en-US"/>
        </w:rPr>
        <w:t>H</w:t>
      </w:r>
      <w:r w:rsidRPr="001A22A0">
        <w:rPr>
          <w:vertAlign w:val="subscript"/>
          <w:lang w:val="en-US"/>
        </w:rPr>
        <w:t>12</w:t>
      </w:r>
      <w:r w:rsidRPr="001A22A0">
        <w:rPr>
          <w:lang w:val="en-US"/>
        </w:rPr>
        <w:t>-atc-cag-agt-gac-gca-gca-tga-atc-ttt-tct-ttt-ggt-ttt-gat-att-tat-agt-tgg-tga-atg-gac-acg-gtg-gct-tagt.</w:t>
      </w:r>
    </w:p>
    <w:p w:rsidR="00A00249" w:rsidRDefault="00A00249" w:rsidP="00A00249">
      <w:pPr>
        <w:pStyle w:val="Text"/>
        <w:rPr>
          <w:lang w:val="en-US"/>
        </w:rPr>
      </w:pPr>
      <w:r w:rsidRPr="001A22A0">
        <w:rPr>
          <w:lang w:val="en-US"/>
        </w:rPr>
        <w:t xml:space="preserve">The reactions between </w:t>
      </w:r>
      <w:proofErr w:type="spellStart"/>
      <w:r w:rsidRPr="001A22A0">
        <w:rPr>
          <w:lang w:val="en-US"/>
        </w:rPr>
        <w:t>carboxy</w:t>
      </w:r>
      <w:proofErr w:type="spellEnd"/>
      <w:r w:rsidRPr="001A22A0">
        <w:rPr>
          <w:lang w:val="en-US"/>
        </w:rPr>
        <w:t xml:space="preserve"> groups of the QDs and amino groups of the </w:t>
      </w:r>
      <w:proofErr w:type="spellStart"/>
      <w:r w:rsidRPr="001A22A0">
        <w:rPr>
          <w:lang w:val="en-US"/>
        </w:rPr>
        <w:t>aptamers</w:t>
      </w:r>
      <w:proofErr w:type="spellEnd"/>
      <w:r w:rsidRPr="001A22A0">
        <w:rPr>
          <w:lang w:val="en-US"/>
        </w:rPr>
        <w:t xml:space="preserve"> were accomplished using </w:t>
      </w:r>
      <w:r w:rsidRPr="001A22A0">
        <w:rPr>
          <w:i/>
          <w:iCs/>
          <w:lang w:val="en-US"/>
        </w:rPr>
        <w:t>N</w:t>
      </w:r>
      <w:r w:rsidRPr="001A22A0">
        <w:rPr>
          <w:lang w:val="en-US"/>
        </w:rPr>
        <w:t>-(4-dimethylaminopropyl)-</w:t>
      </w:r>
      <w:proofErr w:type="spellStart"/>
      <w:r w:rsidRPr="001A22A0">
        <w:rPr>
          <w:i/>
          <w:iCs/>
          <w:lang w:val="en-US"/>
        </w:rPr>
        <w:t>N'</w:t>
      </w:r>
      <w:r w:rsidRPr="001A22A0">
        <w:rPr>
          <w:lang w:val="en-US"/>
        </w:rPr>
        <w:t>-ethylcarbodiimide</w:t>
      </w:r>
      <w:proofErr w:type="spellEnd"/>
      <w:r w:rsidRPr="001A22A0">
        <w:rPr>
          <w:lang w:val="en-US"/>
        </w:rPr>
        <w:t xml:space="preserve"> hydrochloride (EDC) and </w:t>
      </w:r>
      <w:r w:rsidRPr="001A22A0">
        <w:rPr>
          <w:i/>
          <w:iCs/>
          <w:lang w:val="en-US"/>
        </w:rPr>
        <w:t>N</w:t>
      </w:r>
      <w:r w:rsidRPr="001A22A0">
        <w:rPr>
          <w:lang w:val="en-US"/>
        </w:rPr>
        <w:t>-</w:t>
      </w:r>
      <w:proofErr w:type="spellStart"/>
      <w:r w:rsidRPr="001A22A0">
        <w:rPr>
          <w:lang w:val="en-US"/>
        </w:rPr>
        <w:t>hydroxysuccinimide</w:t>
      </w:r>
      <w:proofErr w:type="spellEnd"/>
      <w:r w:rsidRPr="001A22A0">
        <w:rPr>
          <w:lang w:val="en-US"/>
        </w:rPr>
        <w:t xml:space="preserve"> (NHS) as activators (Fig. 1).</w:t>
      </w:r>
    </w:p>
    <w:p w:rsidR="007D1ECD" w:rsidRPr="007E11BE" w:rsidRDefault="007D1ECD" w:rsidP="007D1ECD">
      <w:pPr>
        <w:pStyle w:val="Illustration"/>
        <w:rPr>
          <w:rFonts w:ascii="Times New Roman" w:eastAsia="Times New Roman" w:hAnsi="Times New Roman" w:cs="Times New Roman"/>
          <w:color w:val="131413"/>
          <w:lang w:val="en-US"/>
        </w:rPr>
      </w:pPr>
    </w:p>
    <w:p w:rsidR="007D1ECD" w:rsidRPr="007D1ECD" w:rsidRDefault="007D1ECD" w:rsidP="007D1ECD">
      <w:pPr>
        <w:pStyle w:val="IllustrationDescription"/>
        <w:rPr>
          <w:sz w:val="18"/>
          <w:szCs w:val="18"/>
        </w:rPr>
      </w:pPr>
      <w:proofErr w:type="gramStart"/>
      <w:r w:rsidRPr="001A22A0">
        <w:rPr>
          <w:b/>
        </w:rPr>
        <w:t>Figure 1.</w:t>
      </w:r>
      <w:proofErr w:type="gramEnd"/>
      <w:r w:rsidRPr="001A22A0">
        <w:rPr>
          <w:b/>
        </w:rPr>
        <w:t xml:space="preserve"> </w:t>
      </w:r>
      <w:proofErr w:type="gramStart"/>
      <w:r w:rsidRPr="001A22A0">
        <w:t>Synthesis of the QD–</w:t>
      </w:r>
      <w:proofErr w:type="spellStart"/>
      <w:r w:rsidRPr="001A22A0">
        <w:t>aptamer</w:t>
      </w:r>
      <w:proofErr w:type="spellEnd"/>
      <w:r w:rsidRPr="001A22A0">
        <w:t xml:space="preserve"> complexes.</w:t>
      </w:r>
      <w:proofErr w:type="gramEnd"/>
    </w:p>
    <w:p w:rsidR="00A00249" w:rsidRDefault="00A00249" w:rsidP="00A00249">
      <w:pPr>
        <w:pStyle w:val="Text"/>
        <w:rPr>
          <w:lang w:val="en-US"/>
        </w:rPr>
      </w:pPr>
      <w:r w:rsidRPr="001A22A0">
        <w:rPr>
          <w:lang w:val="en-US"/>
        </w:rPr>
        <w:t xml:space="preserve">The </w:t>
      </w:r>
      <w:proofErr w:type="spellStart"/>
      <w:r w:rsidRPr="001A22A0">
        <w:rPr>
          <w:lang w:val="en-US"/>
        </w:rPr>
        <w:t>aptamer</w:t>
      </w:r>
      <w:proofErr w:type="spellEnd"/>
      <w:r w:rsidRPr="001A22A0">
        <w:rPr>
          <w:lang w:val="en-US"/>
        </w:rPr>
        <w:t xml:space="preserve"> binding with the QD was confirmed by the results of light scattering studies, which revealed a change in the hydrodynamic radius of the particles before and after the reaction. As an example, Fig. 2 shows the dependences for </w:t>
      </w:r>
      <w:proofErr w:type="spellStart"/>
      <w:r w:rsidRPr="001A22A0">
        <w:rPr>
          <w:lang w:val="en-US"/>
        </w:rPr>
        <w:t>InP</w:t>
      </w:r>
      <w:proofErr w:type="spellEnd"/>
      <w:r w:rsidRPr="001A22A0">
        <w:rPr>
          <w:lang w:val="en-US"/>
        </w:rPr>
        <w:t>/</w:t>
      </w:r>
      <w:proofErr w:type="spellStart"/>
      <w:r w:rsidRPr="001A22A0">
        <w:rPr>
          <w:lang w:val="en-US"/>
        </w:rPr>
        <w:t>ZnS</w:t>
      </w:r>
      <w:proofErr w:type="spellEnd"/>
      <w:r w:rsidRPr="001A22A0">
        <w:rPr>
          <w:lang w:val="en-US"/>
        </w:rPr>
        <w:t xml:space="preserve"> QDs with Gol1 and U8 </w:t>
      </w:r>
      <w:proofErr w:type="spellStart"/>
      <w:r w:rsidRPr="001A22A0">
        <w:rPr>
          <w:lang w:val="en-US"/>
        </w:rPr>
        <w:t>aptamers</w:t>
      </w:r>
      <w:proofErr w:type="spellEnd"/>
      <w:r w:rsidRPr="001A22A0">
        <w:rPr>
          <w:lang w:val="en-US"/>
        </w:rPr>
        <w:t xml:space="preserve"> in water.</w:t>
      </w:r>
    </w:p>
    <w:p w:rsidR="007D1ECD" w:rsidRPr="007E11BE" w:rsidRDefault="007D1ECD" w:rsidP="007D1ECD">
      <w:pPr>
        <w:pStyle w:val="Illustration"/>
        <w:rPr>
          <w:lang w:val="en-US"/>
        </w:rPr>
      </w:pPr>
    </w:p>
    <w:p w:rsidR="007D1ECD" w:rsidRPr="007D1ECD" w:rsidRDefault="007D1ECD" w:rsidP="007D1ECD">
      <w:pPr>
        <w:pStyle w:val="IllustrationDescription"/>
        <w:rPr>
          <w:sz w:val="18"/>
          <w:szCs w:val="18"/>
        </w:rPr>
      </w:pPr>
      <w:proofErr w:type="gramStart"/>
      <w:r w:rsidRPr="001A22A0">
        <w:rPr>
          <w:b/>
        </w:rPr>
        <w:t>Figure 2.</w:t>
      </w:r>
      <w:proofErr w:type="gramEnd"/>
      <w:r w:rsidRPr="001A22A0">
        <w:t xml:space="preserve"> </w:t>
      </w:r>
      <w:proofErr w:type="gramStart"/>
      <w:r w:rsidRPr="001A22A0">
        <w:t xml:space="preserve">Hydrodynamic radii of </w:t>
      </w:r>
      <w:proofErr w:type="spellStart"/>
      <w:r w:rsidRPr="001A22A0">
        <w:t>InP</w:t>
      </w:r>
      <w:proofErr w:type="spellEnd"/>
      <w:r w:rsidRPr="001A22A0">
        <w:t>/</w:t>
      </w:r>
      <w:proofErr w:type="spellStart"/>
      <w:r w:rsidRPr="001A22A0">
        <w:t>ZnS</w:t>
      </w:r>
      <w:proofErr w:type="spellEnd"/>
      <w:r w:rsidRPr="001A22A0">
        <w:t xml:space="preserve"> quantum dots before and after attachment of Gol1 and U8 </w:t>
      </w:r>
      <w:proofErr w:type="spellStart"/>
      <w:r w:rsidRPr="001A22A0">
        <w:t>aptamers</w:t>
      </w:r>
      <w:proofErr w:type="spellEnd"/>
      <w:r w:rsidRPr="001A22A0">
        <w:t>.</w:t>
      </w:r>
      <w:proofErr w:type="gramEnd"/>
    </w:p>
    <w:p w:rsidR="00A00249" w:rsidRDefault="00A00249" w:rsidP="00A00249">
      <w:pPr>
        <w:pStyle w:val="Text"/>
        <w:rPr>
          <w:lang w:val="en-US"/>
        </w:rPr>
      </w:pPr>
      <w:r w:rsidRPr="001A22A0">
        <w:rPr>
          <w:lang w:val="en-US"/>
        </w:rPr>
        <w:t xml:space="preserve">The initial hydrodynamic radius of </w:t>
      </w:r>
      <w:proofErr w:type="spellStart"/>
      <w:r w:rsidRPr="001A22A0">
        <w:rPr>
          <w:lang w:val="en-US"/>
        </w:rPr>
        <w:t>InP</w:t>
      </w:r>
      <w:proofErr w:type="spellEnd"/>
      <w:r w:rsidRPr="001A22A0">
        <w:rPr>
          <w:lang w:val="en-US"/>
        </w:rPr>
        <w:t>/</w:t>
      </w:r>
      <w:proofErr w:type="spellStart"/>
      <w:r w:rsidRPr="001A22A0">
        <w:rPr>
          <w:lang w:val="en-US"/>
        </w:rPr>
        <w:t>ZnS</w:t>
      </w:r>
      <w:proofErr w:type="spellEnd"/>
      <w:r w:rsidRPr="001A22A0">
        <w:rPr>
          <w:lang w:val="en-US"/>
        </w:rPr>
        <w:t xml:space="preserve"> QD was 10.8 nm. The particle radius increased to 14.6 nm after binding of the QD with both of the </w:t>
      </w:r>
      <w:proofErr w:type="spellStart"/>
      <w:r w:rsidRPr="001A22A0">
        <w:rPr>
          <w:lang w:val="en-US"/>
        </w:rPr>
        <w:t>aptamers</w:t>
      </w:r>
      <w:proofErr w:type="spellEnd"/>
      <w:r w:rsidRPr="001A22A0">
        <w:rPr>
          <w:lang w:val="en-US"/>
        </w:rPr>
        <w:t xml:space="preserve">. The hydrodynamic radius of </w:t>
      </w:r>
      <w:proofErr w:type="spellStart"/>
      <w:r w:rsidRPr="001A22A0">
        <w:rPr>
          <w:lang w:val="en-US"/>
        </w:rPr>
        <w:t>CdSe</w:t>
      </w:r>
      <w:proofErr w:type="spellEnd"/>
      <w:r w:rsidRPr="001A22A0">
        <w:rPr>
          <w:lang w:val="en-US"/>
        </w:rPr>
        <w:t>/</w:t>
      </w:r>
      <w:proofErr w:type="spellStart"/>
      <w:r w:rsidRPr="001A22A0">
        <w:rPr>
          <w:lang w:val="en-US"/>
        </w:rPr>
        <w:t>ZnS</w:t>
      </w:r>
      <w:proofErr w:type="spellEnd"/>
      <w:r w:rsidRPr="001A22A0">
        <w:rPr>
          <w:lang w:val="en-US"/>
        </w:rPr>
        <w:t xml:space="preserve"> QD in pure form without </w:t>
      </w:r>
      <w:proofErr w:type="spellStart"/>
      <w:r w:rsidRPr="001A22A0">
        <w:rPr>
          <w:lang w:val="en-US"/>
        </w:rPr>
        <w:t>aptamers</w:t>
      </w:r>
      <w:proofErr w:type="spellEnd"/>
      <w:r w:rsidRPr="001A22A0">
        <w:rPr>
          <w:lang w:val="en-US"/>
        </w:rPr>
        <w:t xml:space="preserve"> was 10.8 nm. The radius of the particles of </w:t>
      </w:r>
      <w:proofErr w:type="spellStart"/>
      <w:r w:rsidRPr="001A22A0">
        <w:rPr>
          <w:lang w:val="en-US"/>
        </w:rPr>
        <w:t>CdSe</w:t>
      </w:r>
      <w:proofErr w:type="spellEnd"/>
      <w:r w:rsidRPr="001A22A0">
        <w:rPr>
          <w:lang w:val="en-US"/>
        </w:rPr>
        <w:t xml:space="preserve">/ZnS–Gol1 complex was 14.6 nm and that of </w:t>
      </w:r>
      <w:proofErr w:type="spellStart"/>
      <w:r w:rsidRPr="001A22A0">
        <w:rPr>
          <w:lang w:val="en-US"/>
        </w:rPr>
        <w:t>CdSe</w:t>
      </w:r>
      <w:proofErr w:type="spellEnd"/>
      <w:r w:rsidRPr="001A22A0">
        <w:rPr>
          <w:lang w:val="en-US"/>
        </w:rPr>
        <w:t>/ZnS–U8 complex was 17.0 nm (Table 1).</w:t>
      </w:r>
    </w:p>
    <w:p w:rsidR="007D1ECD" w:rsidRPr="001A22A0" w:rsidRDefault="007D1ECD" w:rsidP="007D1ECD">
      <w:pPr>
        <w:pStyle w:val="TableDescription"/>
        <w:rPr>
          <w:lang w:val="en-US"/>
        </w:rPr>
      </w:pPr>
      <w:proofErr w:type="gramStart"/>
      <w:r w:rsidRPr="001A22A0">
        <w:rPr>
          <w:b/>
          <w:lang w:val="en-US"/>
        </w:rPr>
        <w:t>Table 1.</w:t>
      </w:r>
      <w:proofErr w:type="gramEnd"/>
      <w:r w:rsidRPr="001A22A0">
        <w:rPr>
          <w:lang w:val="en-US"/>
        </w:rPr>
        <w:t xml:space="preserve"> Hydrodynamic radii of the QDs and QD–</w:t>
      </w:r>
      <w:proofErr w:type="spellStart"/>
      <w:r w:rsidRPr="001A22A0">
        <w:rPr>
          <w:lang w:val="en-US"/>
        </w:rPr>
        <w:t>aptamer</w:t>
      </w:r>
      <w:proofErr w:type="spellEnd"/>
      <w:r w:rsidRPr="001A22A0">
        <w:rPr>
          <w:lang w:val="en-US"/>
        </w:rPr>
        <w:t xml:space="preserve"> complexes</w:t>
      </w:r>
    </w:p>
    <w:tbl>
      <w:tblPr>
        <w:tblW w:w="0" w:type="auto"/>
        <w:jc w:val="center"/>
        <w:tblLook w:val="0400"/>
      </w:tblPr>
      <w:tblGrid>
        <w:gridCol w:w="1139"/>
        <w:gridCol w:w="995"/>
        <w:gridCol w:w="1050"/>
        <w:gridCol w:w="883"/>
      </w:tblGrid>
      <w:tr w:rsidR="007D1ECD" w:rsidRPr="001A22A0" w:rsidTr="002A1127">
        <w:trPr>
          <w:trHeight w:val="227"/>
          <w:jc w:val="center"/>
        </w:trPr>
        <w:tc>
          <w:tcPr>
            <w:tcW w:w="0" w:type="auto"/>
            <w:vMerge w:val="restart"/>
            <w:tcBorders>
              <w:top w:val="single" w:sz="4" w:space="0" w:color="auto"/>
            </w:tcBorders>
            <w:vAlign w:val="center"/>
          </w:tcPr>
          <w:p w:rsidR="007D1ECD" w:rsidRPr="001A22A0" w:rsidRDefault="007D1ECD" w:rsidP="002A1127">
            <w:pPr>
              <w:pStyle w:val="ArticleTable"/>
            </w:pPr>
            <w:r w:rsidRPr="001A22A0">
              <w:t>QD</w:t>
            </w:r>
          </w:p>
        </w:tc>
        <w:tc>
          <w:tcPr>
            <w:tcW w:w="0" w:type="auto"/>
            <w:gridSpan w:val="3"/>
            <w:tcBorders>
              <w:top w:val="single" w:sz="4" w:space="0" w:color="auto"/>
              <w:bottom w:val="single" w:sz="4" w:space="0" w:color="auto"/>
            </w:tcBorders>
            <w:vAlign w:val="center"/>
          </w:tcPr>
          <w:p w:rsidR="007D1ECD" w:rsidRPr="001A22A0" w:rsidRDefault="007D1ECD" w:rsidP="002A1127">
            <w:pPr>
              <w:pStyle w:val="ArticleTable"/>
              <w:rPr>
                <w:i/>
              </w:rPr>
            </w:pPr>
            <w:proofErr w:type="spellStart"/>
            <w:r w:rsidRPr="001A22A0">
              <w:rPr>
                <w:i/>
                <w:iCs/>
              </w:rPr>
              <w:t>R</w:t>
            </w:r>
            <w:r w:rsidRPr="001A22A0">
              <w:rPr>
                <w:vertAlign w:val="subscript"/>
              </w:rPr>
              <w:t>h</w:t>
            </w:r>
            <w:proofErr w:type="spellEnd"/>
            <w:r w:rsidRPr="001A22A0">
              <w:t>, ± 0.5 nm</w:t>
            </w:r>
          </w:p>
        </w:tc>
      </w:tr>
      <w:tr w:rsidR="007D1ECD" w:rsidRPr="001A22A0" w:rsidTr="002A1127">
        <w:trPr>
          <w:trHeight w:val="227"/>
          <w:jc w:val="center"/>
        </w:trPr>
        <w:tc>
          <w:tcPr>
            <w:tcW w:w="0" w:type="auto"/>
            <w:vMerge/>
            <w:tcBorders>
              <w:bottom w:val="single" w:sz="4" w:space="0" w:color="auto"/>
            </w:tcBorders>
            <w:vAlign w:val="center"/>
          </w:tcPr>
          <w:p w:rsidR="007D1ECD" w:rsidRPr="001A22A0" w:rsidRDefault="007D1ECD" w:rsidP="002A1127">
            <w:pPr>
              <w:pStyle w:val="ArticleTable"/>
            </w:pPr>
          </w:p>
        </w:tc>
        <w:tc>
          <w:tcPr>
            <w:tcW w:w="0" w:type="auto"/>
            <w:tcBorders>
              <w:top w:val="single" w:sz="4" w:space="0" w:color="auto"/>
              <w:bottom w:val="single" w:sz="4" w:space="0" w:color="auto"/>
            </w:tcBorders>
            <w:vAlign w:val="center"/>
          </w:tcPr>
          <w:p w:rsidR="007D1ECD" w:rsidRPr="001A22A0" w:rsidRDefault="007D1ECD" w:rsidP="002A1127">
            <w:pPr>
              <w:pStyle w:val="ArticleTable"/>
              <w:rPr>
                <w:i/>
              </w:rPr>
            </w:pPr>
            <w:r w:rsidRPr="001A22A0">
              <w:t>Pure QD</w:t>
            </w:r>
          </w:p>
        </w:tc>
        <w:tc>
          <w:tcPr>
            <w:tcW w:w="0" w:type="auto"/>
            <w:tcBorders>
              <w:top w:val="single" w:sz="4" w:space="0" w:color="auto"/>
              <w:bottom w:val="single" w:sz="4" w:space="0" w:color="auto"/>
            </w:tcBorders>
            <w:vAlign w:val="center"/>
          </w:tcPr>
          <w:p w:rsidR="007D1ECD" w:rsidRPr="001A22A0" w:rsidRDefault="007D1ECD" w:rsidP="002A1127">
            <w:pPr>
              <w:pStyle w:val="ArticleTable"/>
              <w:rPr>
                <w:i/>
              </w:rPr>
            </w:pPr>
            <w:r w:rsidRPr="001A22A0">
              <w:t>QD–</w:t>
            </w:r>
            <w:r w:rsidRPr="001A22A0">
              <w:rPr>
                <w:i/>
              </w:rPr>
              <w:t>Gol1</w:t>
            </w:r>
          </w:p>
        </w:tc>
        <w:tc>
          <w:tcPr>
            <w:tcW w:w="0" w:type="auto"/>
            <w:tcBorders>
              <w:top w:val="single" w:sz="4" w:space="0" w:color="auto"/>
              <w:bottom w:val="single" w:sz="4" w:space="0" w:color="auto"/>
            </w:tcBorders>
            <w:vAlign w:val="center"/>
          </w:tcPr>
          <w:p w:rsidR="007D1ECD" w:rsidRPr="001A22A0" w:rsidRDefault="007D1ECD" w:rsidP="002A1127">
            <w:pPr>
              <w:pStyle w:val="ArticleTable"/>
              <w:rPr>
                <w:i/>
              </w:rPr>
            </w:pPr>
            <w:r w:rsidRPr="001A22A0">
              <w:t>QD–</w:t>
            </w:r>
            <w:r w:rsidRPr="001A22A0">
              <w:rPr>
                <w:i/>
              </w:rPr>
              <w:t>U8</w:t>
            </w:r>
          </w:p>
        </w:tc>
      </w:tr>
      <w:tr w:rsidR="007D1ECD" w:rsidRPr="001A22A0" w:rsidTr="002A1127">
        <w:trPr>
          <w:trHeight w:val="227"/>
          <w:jc w:val="center"/>
        </w:trPr>
        <w:tc>
          <w:tcPr>
            <w:tcW w:w="0" w:type="auto"/>
            <w:tcBorders>
              <w:top w:val="single" w:sz="4" w:space="0" w:color="auto"/>
            </w:tcBorders>
            <w:vAlign w:val="center"/>
          </w:tcPr>
          <w:p w:rsidR="007D1ECD" w:rsidRPr="001A22A0" w:rsidRDefault="007D1ECD" w:rsidP="002A1127">
            <w:pPr>
              <w:pStyle w:val="ArticleTable"/>
            </w:pPr>
            <w:proofErr w:type="spellStart"/>
            <w:r w:rsidRPr="001A22A0">
              <w:t>CdSe</w:t>
            </w:r>
            <w:proofErr w:type="spellEnd"/>
            <w:r w:rsidRPr="001A22A0">
              <w:t>/</w:t>
            </w:r>
            <w:proofErr w:type="spellStart"/>
            <w:r w:rsidRPr="001A22A0">
              <w:t>ZnS</w:t>
            </w:r>
            <w:proofErr w:type="spellEnd"/>
          </w:p>
        </w:tc>
        <w:tc>
          <w:tcPr>
            <w:tcW w:w="0" w:type="auto"/>
            <w:tcBorders>
              <w:top w:val="single" w:sz="4" w:space="0" w:color="auto"/>
            </w:tcBorders>
            <w:vAlign w:val="center"/>
          </w:tcPr>
          <w:p w:rsidR="007D1ECD" w:rsidRPr="001A22A0" w:rsidRDefault="007D1ECD" w:rsidP="002A1127">
            <w:pPr>
              <w:pStyle w:val="ArticleTable"/>
            </w:pPr>
            <w:r w:rsidRPr="001A22A0">
              <w:t>10.8</w:t>
            </w:r>
          </w:p>
        </w:tc>
        <w:tc>
          <w:tcPr>
            <w:tcW w:w="0" w:type="auto"/>
            <w:tcBorders>
              <w:top w:val="single" w:sz="4" w:space="0" w:color="auto"/>
            </w:tcBorders>
            <w:vAlign w:val="center"/>
          </w:tcPr>
          <w:p w:rsidR="007D1ECD" w:rsidRPr="001A22A0" w:rsidRDefault="007D1ECD" w:rsidP="002A1127">
            <w:pPr>
              <w:pStyle w:val="ArticleTable"/>
            </w:pPr>
            <w:r w:rsidRPr="001A22A0">
              <w:t>14.6</w:t>
            </w:r>
          </w:p>
        </w:tc>
        <w:tc>
          <w:tcPr>
            <w:tcW w:w="0" w:type="auto"/>
            <w:tcBorders>
              <w:top w:val="single" w:sz="4" w:space="0" w:color="auto"/>
            </w:tcBorders>
            <w:vAlign w:val="center"/>
          </w:tcPr>
          <w:p w:rsidR="007D1ECD" w:rsidRPr="001A22A0" w:rsidRDefault="007D1ECD" w:rsidP="002A1127">
            <w:pPr>
              <w:pStyle w:val="ArticleTable"/>
            </w:pPr>
            <w:r w:rsidRPr="001A22A0">
              <w:t>17.0</w:t>
            </w:r>
          </w:p>
        </w:tc>
      </w:tr>
      <w:tr w:rsidR="007D1ECD" w:rsidRPr="001A22A0" w:rsidTr="002A1127">
        <w:trPr>
          <w:trHeight w:val="227"/>
          <w:jc w:val="center"/>
        </w:trPr>
        <w:tc>
          <w:tcPr>
            <w:tcW w:w="0" w:type="auto"/>
            <w:tcBorders>
              <w:bottom w:val="single" w:sz="4" w:space="0" w:color="auto"/>
            </w:tcBorders>
            <w:vAlign w:val="center"/>
          </w:tcPr>
          <w:p w:rsidR="007D1ECD" w:rsidRPr="001A22A0" w:rsidRDefault="007D1ECD" w:rsidP="002A1127">
            <w:pPr>
              <w:pStyle w:val="ArticleTable"/>
            </w:pPr>
            <w:proofErr w:type="spellStart"/>
            <w:r w:rsidRPr="001A22A0">
              <w:t>InP</w:t>
            </w:r>
            <w:proofErr w:type="spellEnd"/>
            <w:r w:rsidRPr="001A22A0">
              <w:t>/</w:t>
            </w:r>
            <w:proofErr w:type="spellStart"/>
            <w:r w:rsidRPr="001A22A0">
              <w:t>ZnS</w:t>
            </w:r>
            <w:proofErr w:type="spellEnd"/>
          </w:p>
        </w:tc>
        <w:tc>
          <w:tcPr>
            <w:tcW w:w="0" w:type="auto"/>
            <w:tcBorders>
              <w:bottom w:val="single" w:sz="4" w:space="0" w:color="auto"/>
            </w:tcBorders>
            <w:vAlign w:val="center"/>
          </w:tcPr>
          <w:p w:rsidR="007D1ECD" w:rsidRPr="001A22A0" w:rsidRDefault="007D1ECD" w:rsidP="002A1127">
            <w:pPr>
              <w:pStyle w:val="ArticleTable"/>
            </w:pPr>
            <w:r w:rsidRPr="001A22A0">
              <w:t>10.8</w:t>
            </w:r>
          </w:p>
        </w:tc>
        <w:tc>
          <w:tcPr>
            <w:tcW w:w="0" w:type="auto"/>
            <w:tcBorders>
              <w:bottom w:val="single" w:sz="4" w:space="0" w:color="auto"/>
            </w:tcBorders>
            <w:vAlign w:val="center"/>
          </w:tcPr>
          <w:p w:rsidR="007D1ECD" w:rsidRPr="001A22A0" w:rsidRDefault="007D1ECD" w:rsidP="002A1127">
            <w:pPr>
              <w:pStyle w:val="ArticleTable"/>
            </w:pPr>
            <w:r w:rsidRPr="001A22A0">
              <w:t>14.6</w:t>
            </w:r>
          </w:p>
        </w:tc>
        <w:tc>
          <w:tcPr>
            <w:tcW w:w="0" w:type="auto"/>
            <w:tcBorders>
              <w:bottom w:val="single" w:sz="4" w:space="0" w:color="auto"/>
            </w:tcBorders>
            <w:vAlign w:val="center"/>
          </w:tcPr>
          <w:p w:rsidR="007D1ECD" w:rsidRPr="001A22A0" w:rsidRDefault="007D1ECD" w:rsidP="002A1127">
            <w:pPr>
              <w:pStyle w:val="ArticleTable"/>
            </w:pPr>
            <w:r w:rsidRPr="001A22A0">
              <w:t>14.6</w:t>
            </w:r>
          </w:p>
        </w:tc>
      </w:tr>
    </w:tbl>
    <w:p w:rsidR="00A00249" w:rsidRDefault="00A00249" w:rsidP="007D1ECD">
      <w:pPr>
        <w:pStyle w:val="Text"/>
        <w:spacing w:before="200"/>
        <w:rPr>
          <w:lang w:val="en-US"/>
        </w:rPr>
      </w:pPr>
      <w:r w:rsidRPr="001A22A0">
        <w:rPr>
          <w:lang w:val="en-US"/>
        </w:rPr>
        <w:t xml:space="preserve">Upon the </w:t>
      </w:r>
      <w:proofErr w:type="spellStart"/>
      <w:r w:rsidRPr="001A22A0">
        <w:rPr>
          <w:lang w:val="en-US"/>
        </w:rPr>
        <w:t>aptamer</w:t>
      </w:r>
      <w:proofErr w:type="spellEnd"/>
      <w:r w:rsidRPr="001A22A0">
        <w:rPr>
          <w:lang w:val="en-US"/>
        </w:rPr>
        <w:t xml:space="preserve"> interaction with the surface of the quantum dots, an increase in the hydrodynamic radius of the </w:t>
      </w:r>
      <w:proofErr w:type="spellStart"/>
      <w:r w:rsidRPr="001A22A0">
        <w:rPr>
          <w:lang w:val="en-US"/>
        </w:rPr>
        <w:t>nanoparticles</w:t>
      </w:r>
      <w:proofErr w:type="spellEnd"/>
      <w:r w:rsidRPr="001A22A0">
        <w:rPr>
          <w:lang w:val="en-US"/>
        </w:rPr>
        <w:t xml:space="preserve"> was observed in all cases, which is associated with the attachment of the </w:t>
      </w:r>
      <w:proofErr w:type="spellStart"/>
      <w:r w:rsidRPr="001A22A0">
        <w:rPr>
          <w:lang w:val="en-US"/>
        </w:rPr>
        <w:t>aptamer</w:t>
      </w:r>
      <w:proofErr w:type="spellEnd"/>
      <w:r w:rsidRPr="001A22A0">
        <w:rPr>
          <w:lang w:val="en-US"/>
        </w:rPr>
        <w:t xml:space="preserve"> to the polymeric stabilizer through an amide bond.</w:t>
      </w:r>
    </w:p>
    <w:p w:rsidR="00A00249" w:rsidRPr="001A22A0" w:rsidRDefault="00A00249" w:rsidP="00A00249">
      <w:pPr>
        <w:pStyle w:val="MainHeader"/>
      </w:pPr>
      <w:r w:rsidRPr="001A22A0">
        <w:t>Experimental section</w:t>
      </w:r>
    </w:p>
    <w:p w:rsidR="00A00249" w:rsidRPr="001A22A0" w:rsidRDefault="00A00249" w:rsidP="00A00249">
      <w:pPr>
        <w:pStyle w:val="Text"/>
        <w:rPr>
          <w:lang w:val="en-US"/>
        </w:rPr>
      </w:pPr>
      <w:r w:rsidRPr="001A22A0">
        <w:rPr>
          <w:lang w:val="en-US"/>
        </w:rPr>
        <w:t>The QD–</w:t>
      </w:r>
      <w:proofErr w:type="spellStart"/>
      <w:r w:rsidRPr="001A22A0">
        <w:rPr>
          <w:lang w:val="en-US"/>
        </w:rPr>
        <w:t>aptamer</w:t>
      </w:r>
      <w:proofErr w:type="spellEnd"/>
      <w:r w:rsidRPr="001A22A0">
        <w:rPr>
          <w:lang w:val="en-US"/>
        </w:rPr>
        <w:t xml:space="preserve"> complexes were synthesized using the following procedure based on the material from Ref. [9].</w:t>
      </w:r>
    </w:p>
    <w:p w:rsidR="00A00249" w:rsidRPr="007E11BE" w:rsidRDefault="00A00249" w:rsidP="00A00249">
      <w:pPr>
        <w:pStyle w:val="Text"/>
        <w:rPr>
          <w:b/>
          <w:bCs/>
          <w:lang w:val="en-US"/>
        </w:rPr>
      </w:pPr>
      <w:r w:rsidRPr="007E11BE">
        <w:rPr>
          <w:bCs/>
          <w:i/>
          <w:iCs/>
          <w:lang w:val="en-US"/>
        </w:rPr>
        <w:t>N</w:t>
      </w:r>
      <w:r w:rsidRPr="007E11BE">
        <w:rPr>
          <w:bCs/>
          <w:lang w:val="en-US"/>
        </w:rPr>
        <w:t>-(4-Dimethylaminopropyl)-</w:t>
      </w:r>
      <w:r w:rsidRPr="007E11BE">
        <w:rPr>
          <w:bCs/>
          <w:i/>
          <w:iCs/>
          <w:lang w:val="en-US"/>
        </w:rPr>
        <w:t>N'</w:t>
      </w:r>
      <w:r w:rsidRPr="007E11BE">
        <w:rPr>
          <w:bCs/>
          <w:lang w:val="en-US"/>
        </w:rPr>
        <w:t xml:space="preserve">-ethylcarbodiimide hydrochloride (0.8 mM, 20 </w:t>
      </w:r>
      <w:r w:rsidRPr="001A22A0">
        <w:rPr>
          <w:bCs/>
        </w:rPr>
        <w:t>μ</w:t>
      </w:r>
      <w:r w:rsidRPr="007E11BE">
        <w:rPr>
          <w:bCs/>
          <w:lang w:val="en-US"/>
        </w:rPr>
        <w:t xml:space="preserve">L) and </w:t>
      </w:r>
      <w:r w:rsidRPr="007E11BE">
        <w:rPr>
          <w:bCs/>
          <w:i/>
          <w:iCs/>
          <w:lang w:val="en-US"/>
        </w:rPr>
        <w:t>N</w:t>
      </w:r>
      <w:r w:rsidRPr="007E11BE">
        <w:rPr>
          <w:bCs/>
          <w:lang w:val="en-US"/>
        </w:rPr>
        <w:t xml:space="preserve">-hydroxysuccinimide (0.8 mM, 20 </w:t>
      </w:r>
      <w:r w:rsidRPr="001A22A0">
        <w:rPr>
          <w:bCs/>
        </w:rPr>
        <w:t>μ</w:t>
      </w:r>
      <w:r w:rsidRPr="007E11BE">
        <w:rPr>
          <w:bCs/>
          <w:lang w:val="en-US"/>
        </w:rPr>
        <w:t xml:space="preserve">L) were added to a solution of the QD in water (5 </w:t>
      </w:r>
      <w:r w:rsidRPr="001A22A0">
        <w:rPr>
          <w:bCs/>
        </w:rPr>
        <w:t>μ</w:t>
      </w:r>
      <w:r w:rsidRPr="007E11BE">
        <w:rPr>
          <w:bCs/>
          <w:lang w:val="en-US"/>
        </w:rPr>
        <w:t xml:space="preserve">M, 12 </w:t>
      </w:r>
      <w:r w:rsidRPr="001A22A0">
        <w:rPr>
          <w:bCs/>
        </w:rPr>
        <w:t>μ</w:t>
      </w:r>
      <w:r w:rsidRPr="007E11BE">
        <w:rPr>
          <w:bCs/>
          <w:lang w:val="en-US"/>
        </w:rPr>
        <w:t xml:space="preserve">L). The mixture was incubated in the dark at room temperature for 90 min and then purified from the activators by the dialysis using an Amicon Ultra 30 kDa centrifugal concentrator (centrifuged 3 times, washing with water, 10000 rpm for 10 min). Then an aptamer solution (50 </w:t>
      </w:r>
      <w:r w:rsidRPr="001A22A0">
        <w:rPr>
          <w:bCs/>
        </w:rPr>
        <w:t>μ</w:t>
      </w:r>
      <w:r w:rsidRPr="007E11BE">
        <w:rPr>
          <w:bCs/>
          <w:lang w:val="en-US"/>
        </w:rPr>
        <w:t xml:space="preserve">L) was added to </w:t>
      </w:r>
      <w:r w:rsidRPr="007E11BE">
        <w:rPr>
          <w:bCs/>
          <w:lang w:val="en-US"/>
        </w:rPr>
        <w:lastRenderedPageBreak/>
        <w:t>the activated QD solution. The mixture was incubated in the dark at room temperature for 90 min and then purified from the excess aptamer and activators by the dialysis using an Amicon Ultra 100 kDa centrifugal concentrator (centrifuged 3 times, washing with water, 10000 rpm for 10 min).</w:t>
      </w:r>
    </w:p>
    <w:p w:rsidR="00A00249" w:rsidRPr="001A22A0" w:rsidRDefault="00A00249" w:rsidP="00A00249">
      <w:pPr>
        <w:pStyle w:val="MainHeader"/>
      </w:pPr>
      <w:r w:rsidRPr="001A22A0">
        <w:t>Conclusions</w:t>
      </w:r>
    </w:p>
    <w:p w:rsidR="00A00249" w:rsidRPr="001A22A0" w:rsidRDefault="00A00249" w:rsidP="00A00249">
      <w:pPr>
        <w:pStyle w:val="Text"/>
        <w:rPr>
          <w:bCs/>
          <w:lang w:val="en-US"/>
        </w:rPr>
      </w:pPr>
      <w:r w:rsidRPr="001A22A0">
        <w:rPr>
          <w:lang w:val="en-US"/>
        </w:rPr>
        <w:t xml:space="preserve">Hence, the method for obtaining and isolating the </w:t>
      </w:r>
      <w:proofErr w:type="spellStart"/>
      <w:r w:rsidRPr="001A22A0">
        <w:rPr>
          <w:lang w:val="en-US"/>
        </w:rPr>
        <w:t>aptamer</w:t>
      </w:r>
      <w:proofErr w:type="spellEnd"/>
      <w:r w:rsidRPr="001A22A0">
        <w:rPr>
          <w:lang w:val="en-US"/>
        </w:rPr>
        <w:t xml:space="preserve"> complexes with </w:t>
      </w:r>
      <w:proofErr w:type="spellStart"/>
      <w:r w:rsidRPr="001A22A0">
        <w:rPr>
          <w:lang w:val="en-US"/>
        </w:rPr>
        <w:t>nanoparticles</w:t>
      </w:r>
      <w:proofErr w:type="spellEnd"/>
      <w:r w:rsidRPr="001A22A0">
        <w:rPr>
          <w:lang w:val="en-US"/>
        </w:rPr>
        <w:t xml:space="preserve"> </w:t>
      </w:r>
      <w:r w:rsidRPr="001A22A0">
        <w:rPr>
          <w:i/>
          <w:iCs/>
          <w:lang w:val="en-US"/>
        </w:rPr>
        <w:t>via</w:t>
      </w:r>
      <w:r w:rsidRPr="001A22A0">
        <w:rPr>
          <w:lang w:val="en-US"/>
        </w:rPr>
        <w:t xml:space="preserve"> a strong amide bond was elaborated. For this purpose, the QDs of different structures (</w:t>
      </w:r>
      <w:proofErr w:type="spellStart"/>
      <w:r w:rsidRPr="001A22A0">
        <w:rPr>
          <w:lang w:val="en-US"/>
        </w:rPr>
        <w:t>CdSe</w:t>
      </w:r>
      <w:proofErr w:type="spellEnd"/>
      <w:r w:rsidRPr="001A22A0">
        <w:rPr>
          <w:lang w:val="en-US"/>
        </w:rPr>
        <w:t>/</w:t>
      </w:r>
      <w:proofErr w:type="spellStart"/>
      <w:r w:rsidRPr="001A22A0">
        <w:rPr>
          <w:lang w:val="en-US"/>
        </w:rPr>
        <w:t>ZnS</w:t>
      </w:r>
      <w:proofErr w:type="spellEnd"/>
      <w:r w:rsidRPr="001A22A0">
        <w:rPr>
          <w:lang w:val="en-US"/>
        </w:rPr>
        <w:t xml:space="preserve"> and </w:t>
      </w:r>
      <w:proofErr w:type="spellStart"/>
      <w:r w:rsidRPr="001A22A0">
        <w:rPr>
          <w:lang w:val="en-US"/>
        </w:rPr>
        <w:t>InP</w:t>
      </w:r>
      <w:proofErr w:type="spellEnd"/>
      <w:r w:rsidRPr="001A22A0">
        <w:rPr>
          <w:lang w:val="en-US"/>
        </w:rPr>
        <w:t>/</w:t>
      </w:r>
      <w:proofErr w:type="spellStart"/>
      <w:r w:rsidRPr="001A22A0">
        <w:rPr>
          <w:lang w:val="en-US"/>
        </w:rPr>
        <w:t>ZnS</w:t>
      </w:r>
      <w:proofErr w:type="spellEnd"/>
      <w:r w:rsidRPr="001A22A0">
        <w:rPr>
          <w:lang w:val="en-US"/>
        </w:rPr>
        <w:t xml:space="preserve">) with active COOH groups on the surface were obtained and bound with the </w:t>
      </w:r>
      <w:proofErr w:type="spellStart"/>
      <w:r w:rsidRPr="001A22A0">
        <w:rPr>
          <w:lang w:val="en-US"/>
        </w:rPr>
        <w:t>aptamers</w:t>
      </w:r>
      <w:proofErr w:type="spellEnd"/>
      <w:r w:rsidRPr="001A22A0">
        <w:rPr>
          <w:lang w:val="en-US"/>
        </w:rPr>
        <w:t xml:space="preserve"> bearing NH</w:t>
      </w:r>
      <w:r w:rsidRPr="001A22A0">
        <w:rPr>
          <w:vertAlign w:val="subscript"/>
          <w:lang w:val="en-US"/>
        </w:rPr>
        <w:t>2</w:t>
      </w:r>
      <w:r w:rsidRPr="001A22A0">
        <w:rPr>
          <w:lang w:val="en-US"/>
        </w:rPr>
        <w:t xml:space="preserve"> groups. An increase in the hydrodynamic radius of the </w:t>
      </w:r>
      <w:proofErr w:type="spellStart"/>
      <w:r w:rsidRPr="001A22A0">
        <w:rPr>
          <w:lang w:val="en-US"/>
        </w:rPr>
        <w:t>nanoparticles</w:t>
      </w:r>
      <w:proofErr w:type="spellEnd"/>
      <w:r w:rsidRPr="001A22A0">
        <w:rPr>
          <w:lang w:val="en-US"/>
        </w:rPr>
        <w:t xml:space="preserve"> after modification indicated the formation of the QD–</w:t>
      </w:r>
      <w:proofErr w:type="spellStart"/>
      <w:r w:rsidRPr="001A22A0">
        <w:rPr>
          <w:lang w:val="en-US"/>
        </w:rPr>
        <w:t>aptamer</w:t>
      </w:r>
      <w:proofErr w:type="spellEnd"/>
      <w:r w:rsidRPr="001A22A0">
        <w:rPr>
          <w:lang w:val="en-US"/>
        </w:rPr>
        <w:t xml:space="preserve"> complexes.</w:t>
      </w:r>
    </w:p>
    <w:p w:rsidR="00A00249" w:rsidRPr="001A22A0" w:rsidRDefault="00A00249" w:rsidP="00A00249">
      <w:pPr>
        <w:pStyle w:val="MainHeader"/>
      </w:pPr>
      <w:r w:rsidRPr="001A22A0">
        <w:t>Acknowledgements</w:t>
      </w:r>
    </w:p>
    <w:p w:rsidR="00A00249" w:rsidRPr="007E11BE" w:rsidRDefault="00A00249" w:rsidP="00A00249">
      <w:pPr>
        <w:pStyle w:val="Text"/>
        <w:rPr>
          <w:lang w:val="en-US"/>
        </w:rPr>
      </w:pPr>
      <w:r w:rsidRPr="007E11BE">
        <w:rPr>
          <w:color w:val="000000"/>
          <w:lang w:val="en-US"/>
        </w:rPr>
        <w:t xml:space="preserve">This work was supported by the Russian Science </w:t>
      </w:r>
      <w:r w:rsidRPr="007E11BE">
        <w:rPr>
          <w:lang w:val="en-US"/>
        </w:rPr>
        <w:t>Foundation (project no. 24-23-00551, https://rscf.ru/project/24-23-00551/).</w:t>
      </w:r>
    </w:p>
    <w:p w:rsidR="00A00249" w:rsidRPr="001A22A0" w:rsidRDefault="00A00249" w:rsidP="00A00249">
      <w:pPr>
        <w:pStyle w:val="MainHeader"/>
      </w:pPr>
      <w:r w:rsidRPr="001A22A0">
        <w:t>References</w:t>
      </w:r>
    </w:p>
    <w:p w:rsidR="00A00249" w:rsidRPr="007E11BE" w:rsidRDefault="00A00249" w:rsidP="00A00249">
      <w:pPr>
        <w:widowControl w:val="0"/>
        <w:spacing w:after="0" w:line="240" w:lineRule="auto"/>
        <w:jc w:val="both"/>
        <w:rPr>
          <w:rFonts w:ascii="Arial" w:eastAsia="Times New Roman" w:hAnsi="Arial" w:cs="Arial"/>
          <w:color w:val="263238"/>
          <w:szCs w:val="16"/>
          <w:lang w:val="en-US"/>
        </w:rPr>
      </w:pPr>
      <w:r w:rsidRPr="007E11BE">
        <w:rPr>
          <w:rFonts w:ascii="Arial" w:eastAsia="Times New Roman" w:hAnsi="Arial" w:cs="Arial"/>
          <w:color w:val="263238"/>
          <w:szCs w:val="16"/>
          <w:lang w:val="en-US"/>
        </w:rPr>
        <w:t xml:space="preserve">J. </w:t>
      </w:r>
      <w:proofErr w:type="spellStart"/>
      <w:r w:rsidRPr="007E11BE">
        <w:rPr>
          <w:rFonts w:ascii="Arial" w:eastAsia="Times New Roman" w:hAnsi="Arial" w:cs="Arial"/>
          <w:color w:val="263238"/>
          <w:szCs w:val="16"/>
          <w:lang w:val="en-US"/>
        </w:rPr>
        <w:t>Mohammadi</w:t>
      </w:r>
      <w:proofErr w:type="spellEnd"/>
      <w:r w:rsidRPr="007E11BE">
        <w:rPr>
          <w:rFonts w:ascii="Arial" w:eastAsia="Times New Roman" w:hAnsi="Arial" w:cs="Arial"/>
          <w:color w:val="263238"/>
          <w:szCs w:val="16"/>
          <w:lang w:val="en-US"/>
        </w:rPr>
        <w:t xml:space="preserve">, A. </w:t>
      </w:r>
      <w:proofErr w:type="spellStart"/>
      <w:r w:rsidRPr="007E11BE">
        <w:rPr>
          <w:rFonts w:ascii="Arial" w:eastAsia="Times New Roman" w:hAnsi="Arial" w:cs="Arial"/>
          <w:color w:val="263238"/>
          <w:szCs w:val="16"/>
          <w:lang w:val="en-US"/>
        </w:rPr>
        <w:t>Hheidari</w:t>
      </w:r>
      <w:proofErr w:type="spellEnd"/>
      <w:r w:rsidRPr="007E11BE">
        <w:rPr>
          <w:rFonts w:ascii="Arial" w:eastAsia="Times New Roman" w:hAnsi="Arial" w:cs="Arial"/>
          <w:color w:val="263238"/>
          <w:szCs w:val="16"/>
          <w:lang w:val="en-US"/>
        </w:rPr>
        <w:t xml:space="preserve">, S. </w:t>
      </w:r>
      <w:proofErr w:type="spellStart"/>
      <w:r w:rsidRPr="007E11BE">
        <w:rPr>
          <w:rFonts w:ascii="Arial" w:eastAsia="Times New Roman" w:hAnsi="Arial" w:cs="Arial"/>
          <w:color w:val="263238"/>
          <w:szCs w:val="16"/>
          <w:lang w:val="en-US"/>
        </w:rPr>
        <w:t>Sardari</w:t>
      </w:r>
      <w:proofErr w:type="spellEnd"/>
      <w:r w:rsidRPr="007E11BE">
        <w:rPr>
          <w:rFonts w:ascii="Arial" w:eastAsia="Times New Roman" w:hAnsi="Arial" w:cs="Arial"/>
          <w:color w:val="263238"/>
          <w:szCs w:val="16"/>
          <w:lang w:val="en-US"/>
        </w:rPr>
        <w:t xml:space="preserve">, M. </w:t>
      </w:r>
      <w:proofErr w:type="spellStart"/>
      <w:r w:rsidRPr="007E11BE">
        <w:rPr>
          <w:rFonts w:ascii="Arial" w:eastAsia="Times New Roman" w:hAnsi="Arial" w:cs="Arial"/>
          <w:color w:val="263238"/>
          <w:szCs w:val="16"/>
          <w:lang w:val="en-US"/>
        </w:rPr>
        <w:t>Nouri</w:t>
      </w:r>
      <w:proofErr w:type="spellEnd"/>
      <w:r w:rsidRPr="007E11BE">
        <w:rPr>
          <w:rFonts w:ascii="Arial" w:eastAsia="Times New Roman" w:hAnsi="Arial" w:cs="Arial"/>
          <w:color w:val="263238"/>
          <w:szCs w:val="16"/>
          <w:lang w:val="en-US"/>
        </w:rPr>
        <w:t xml:space="preserve">, S. </w:t>
      </w:r>
      <w:proofErr w:type="spellStart"/>
      <w:r w:rsidRPr="007E11BE">
        <w:rPr>
          <w:rFonts w:ascii="Arial" w:eastAsia="Times New Roman" w:hAnsi="Arial" w:cs="Arial"/>
          <w:color w:val="263238"/>
          <w:szCs w:val="16"/>
          <w:lang w:val="en-US"/>
        </w:rPr>
        <w:t>Ebrahimi</w:t>
      </w:r>
      <w:proofErr w:type="spellEnd"/>
      <w:r w:rsidRPr="007E11BE">
        <w:rPr>
          <w:rFonts w:ascii="Arial" w:eastAsia="Times New Roman" w:hAnsi="Arial" w:cs="Arial"/>
          <w:color w:val="263238"/>
          <w:szCs w:val="16"/>
          <w:lang w:val="en-US"/>
        </w:rPr>
        <w:t xml:space="preserve">, A. </w:t>
      </w:r>
      <w:proofErr w:type="spellStart"/>
      <w:r w:rsidRPr="007E11BE">
        <w:rPr>
          <w:rFonts w:ascii="Arial" w:eastAsia="Times New Roman" w:hAnsi="Arial" w:cs="Arial"/>
          <w:color w:val="263238"/>
          <w:szCs w:val="16"/>
          <w:lang w:val="en-US"/>
        </w:rPr>
        <w:t>Rahdar</w:t>
      </w:r>
      <w:proofErr w:type="spellEnd"/>
      <w:r w:rsidRPr="007E11BE">
        <w:rPr>
          <w:rFonts w:ascii="Arial" w:eastAsia="Times New Roman" w:hAnsi="Arial" w:cs="Arial"/>
          <w:color w:val="263238"/>
          <w:szCs w:val="16"/>
          <w:lang w:val="en-US"/>
        </w:rPr>
        <w:t xml:space="preserve">, E. </w:t>
      </w:r>
      <w:proofErr w:type="spellStart"/>
      <w:r w:rsidRPr="007E11BE">
        <w:rPr>
          <w:rFonts w:ascii="Arial" w:eastAsia="Times New Roman" w:hAnsi="Arial" w:cs="Arial"/>
          <w:color w:val="263238"/>
          <w:szCs w:val="16"/>
          <w:lang w:val="en-US"/>
        </w:rPr>
        <w:t>Pishbin</w:t>
      </w:r>
      <w:proofErr w:type="spellEnd"/>
      <w:r w:rsidRPr="007E11BE">
        <w:rPr>
          <w:rFonts w:ascii="Arial" w:eastAsia="Times New Roman" w:hAnsi="Arial" w:cs="Arial"/>
          <w:color w:val="263238"/>
          <w:szCs w:val="16"/>
          <w:lang w:val="en-US"/>
        </w:rPr>
        <w:t xml:space="preserve">, </w:t>
      </w:r>
      <w:r w:rsidRPr="007E11BE">
        <w:rPr>
          <w:rFonts w:ascii="Arial" w:eastAsia="Times New Roman" w:hAnsi="Arial" w:cs="Arial"/>
          <w:i/>
          <w:color w:val="263238"/>
          <w:szCs w:val="16"/>
          <w:lang w:val="en-US"/>
        </w:rPr>
        <w:t>Biomed Mater.</w:t>
      </w:r>
      <w:r w:rsidRPr="007E11BE">
        <w:rPr>
          <w:rFonts w:ascii="Arial" w:eastAsia="Times New Roman" w:hAnsi="Arial" w:cs="Arial"/>
          <w:iCs/>
          <w:color w:val="263238"/>
          <w:szCs w:val="16"/>
          <w:lang w:val="en-US"/>
        </w:rPr>
        <w:t>,</w:t>
      </w:r>
      <w:r w:rsidRPr="007E11BE">
        <w:rPr>
          <w:rFonts w:ascii="Arial" w:eastAsia="Times New Roman" w:hAnsi="Arial" w:cs="Arial"/>
          <w:color w:val="263238"/>
          <w:szCs w:val="16"/>
          <w:lang w:val="en-US"/>
        </w:rPr>
        <w:t xml:space="preserve"> </w:t>
      </w:r>
      <w:r w:rsidRPr="007E11BE">
        <w:rPr>
          <w:rFonts w:ascii="Arial" w:eastAsia="Times New Roman" w:hAnsi="Arial" w:cs="Arial"/>
          <w:b/>
          <w:color w:val="263238"/>
          <w:szCs w:val="16"/>
          <w:lang w:val="en-US"/>
        </w:rPr>
        <w:t>2024</w:t>
      </w:r>
      <w:r w:rsidRPr="007E11BE">
        <w:rPr>
          <w:rFonts w:ascii="Arial" w:eastAsia="Times New Roman" w:hAnsi="Arial" w:cs="Arial"/>
          <w:bCs/>
          <w:color w:val="263238"/>
          <w:szCs w:val="16"/>
          <w:lang w:val="en-US"/>
        </w:rPr>
        <w:t>,</w:t>
      </w:r>
      <w:r w:rsidRPr="007E11BE">
        <w:rPr>
          <w:rFonts w:ascii="Arial" w:eastAsia="Times New Roman" w:hAnsi="Arial" w:cs="Arial"/>
          <w:color w:val="263238"/>
          <w:szCs w:val="16"/>
          <w:lang w:val="en-US"/>
        </w:rPr>
        <w:t xml:space="preserve"> </w:t>
      </w:r>
      <w:r w:rsidRPr="007E11BE">
        <w:rPr>
          <w:rFonts w:ascii="Arial" w:eastAsia="Times New Roman" w:hAnsi="Arial" w:cs="Arial"/>
          <w:i/>
          <w:iCs/>
          <w:color w:val="263238"/>
          <w:szCs w:val="16"/>
          <w:lang w:val="en-US"/>
        </w:rPr>
        <w:t>19</w:t>
      </w:r>
      <w:r w:rsidRPr="007E11BE">
        <w:rPr>
          <w:rFonts w:ascii="Arial" w:eastAsia="Times New Roman" w:hAnsi="Arial" w:cs="Arial"/>
          <w:color w:val="263238"/>
          <w:szCs w:val="16"/>
          <w:lang w:val="en-US"/>
        </w:rPr>
        <w:t>, 052004. DOI: 10.1088/1748-605X/ad68af</w:t>
      </w:r>
    </w:p>
    <w:p w:rsidR="00A00249" w:rsidRPr="007E11BE" w:rsidRDefault="00A00249" w:rsidP="00A00249">
      <w:pPr>
        <w:widowControl w:val="0"/>
        <w:spacing w:after="0" w:line="240" w:lineRule="auto"/>
        <w:jc w:val="both"/>
        <w:rPr>
          <w:rFonts w:ascii="Arial" w:eastAsia="Times New Roman" w:hAnsi="Arial" w:cs="Arial"/>
          <w:color w:val="263238"/>
          <w:szCs w:val="16"/>
          <w:lang w:val="en-US"/>
        </w:rPr>
      </w:pPr>
      <w:r w:rsidRPr="007E11BE">
        <w:rPr>
          <w:rFonts w:ascii="Arial" w:eastAsia="Times New Roman" w:hAnsi="Arial" w:cs="Arial"/>
          <w:color w:val="263238"/>
          <w:szCs w:val="16"/>
          <w:lang w:val="en-US"/>
        </w:rPr>
        <w:t xml:space="preserve">Y. Shi, J. Fan, N. Li, Y. </w:t>
      </w:r>
      <w:proofErr w:type="spellStart"/>
      <w:r w:rsidRPr="007E11BE">
        <w:rPr>
          <w:rFonts w:ascii="Arial" w:eastAsia="Times New Roman" w:hAnsi="Arial" w:cs="Arial"/>
          <w:color w:val="263238"/>
          <w:szCs w:val="16"/>
          <w:lang w:val="en-US"/>
        </w:rPr>
        <w:t>Lv</w:t>
      </w:r>
      <w:proofErr w:type="spellEnd"/>
      <w:r w:rsidRPr="007E11BE">
        <w:rPr>
          <w:rFonts w:ascii="Arial" w:eastAsia="Times New Roman" w:hAnsi="Arial" w:cs="Arial"/>
          <w:color w:val="263238"/>
          <w:szCs w:val="16"/>
          <w:lang w:val="en-US"/>
        </w:rPr>
        <w:t xml:space="preserve">, S. Yu, Y. Zhang, Y. </w:t>
      </w:r>
      <w:proofErr w:type="spellStart"/>
      <w:r w:rsidRPr="007E11BE">
        <w:rPr>
          <w:rFonts w:ascii="Arial" w:eastAsia="Times New Roman" w:hAnsi="Arial" w:cs="Arial"/>
          <w:color w:val="263238"/>
          <w:szCs w:val="16"/>
          <w:lang w:val="en-US"/>
        </w:rPr>
        <w:t>Ye</w:t>
      </w:r>
      <w:proofErr w:type="spellEnd"/>
      <w:r w:rsidRPr="007E11BE">
        <w:rPr>
          <w:rFonts w:ascii="Arial" w:eastAsia="Times New Roman" w:hAnsi="Arial" w:cs="Arial"/>
          <w:color w:val="263238"/>
          <w:szCs w:val="16"/>
          <w:lang w:val="en-US"/>
        </w:rPr>
        <w:t xml:space="preserve">, R. Wu, H. </w:t>
      </w:r>
      <w:proofErr w:type="spellStart"/>
      <w:r w:rsidRPr="007E11BE">
        <w:rPr>
          <w:rFonts w:ascii="Arial" w:eastAsia="Times New Roman" w:hAnsi="Arial" w:cs="Arial"/>
          <w:color w:val="263238"/>
          <w:szCs w:val="16"/>
          <w:lang w:val="en-US"/>
        </w:rPr>
        <w:t>Shen</w:t>
      </w:r>
      <w:proofErr w:type="spellEnd"/>
      <w:r w:rsidRPr="007E11BE">
        <w:rPr>
          <w:rFonts w:ascii="Arial" w:eastAsia="Times New Roman" w:hAnsi="Arial" w:cs="Arial"/>
          <w:color w:val="263238"/>
          <w:szCs w:val="16"/>
          <w:lang w:val="en-US"/>
        </w:rPr>
        <w:t xml:space="preserve">, L. S. Li, </w:t>
      </w:r>
      <w:proofErr w:type="spellStart"/>
      <w:r w:rsidRPr="007E11BE">
        <w:rPr>
          <w:rFonts w:ascii="Arial" w:eastAsia="Times New Roman" w:hAnsi="Arial" w:cs="Arial"/>
          <w:i/>
          <w:color w:val="263238"/>
          <w:szCs w:val="16"/>
          <w:lang w:val="en-US"/>
        </w:rPr>
        <w:t>Talanta</w:t>
      </w:r>
      <w:proofErr w:type="spellEnd"/>
      <w:r w:rsidRPr="007E11BE">
        <w:rPr>
          <w:rFonts w:ascii="Arial" w:eastAsia="Times New Roman" w:hAnsi="Arial" w:cs="Arial"/>
          <w:i/>
          <w:color w:val="263238"/>
          <w:szCs w:val="16"/>
          <w:lang w:val="en-US"/>
        </w:rPr>
        <w:t>,</w:t>
      </w:r>
      <w:r w:rsidRPr="007E11BE">
        <w:rPr>
          <w:rFonts w:ascii="Arial" w:eastAsia="Times New Roman" w:hAnsi="Arial" w:cs="Arial"/>
          <w:color w:val="263238"/>
          <w:szCs w:val="16"/>
          <w:lang w:val="en-US"/>
        </w:rPr>
        <w:t xml:space="preserve"> </w:t>
      </w:r>
      <w:r w:rsidRPr="007E11BE">
        <w:rPr>
          <w:rFonts w:ascii="Arial" w:eastAsia="Times New Roman" w:hAnsi="Arial" w:cs="Arial"/>
          <w:b/>
          <w:color w:val="263238"/>
          <w:szCs w:val="16"/>
          <w:lang w:val="en-US"/>
        </w:rPr>
        <w:t>2024</w:t>
      </w:r>
      <w:r w:rsidRPr="007E11BE">
        <w:rPr>
          <w:rFonts w:ascii="Arial" w:eastAsia="Times New Roman" w:hAnsi="Arial" w:cs="Arial"/>
          <w:bCs/>
          <w:color w:val="263238"/>
          <w:szCs w:val="16"/>
          <w:lang w:val="en-US"/>
        </w:rPr>
        <w:t>,</w:t>
      </w:r>
      <w:r w:rsidRPr="007E11BE">
        <w:rPr>
          <w:rFonts w:ascii="Arial" w:eastAsia="Times New Roman" w:hAnsi="Arial" w:cs="Arial"/>
          <w:color w:val="263238"/>
          <w:szCs w:val="16"/>
          <w:lang w:val="en-US"/>
        </w:rPr>
        <w:t xml:space="preserve"> </w:t>
      </w:r>
      <w:r w:rsidRPr="007E11BE">
        <w:rPr>
          <w:rFonts w:ascii="Arial" w:eastAsia="Times New Roman" w:hAnsi="Arial" w:cs="Arial"/>
          <w:i/>
          <w:iCs/>
          <w:color w:val="263238"/>
          <w:szCs w:val="16"/>
          <w:lang w:val="en-US"/>
        </w:rPr>
        <w:t>276</w:t>
      </w:r>
      <w:r w:rsidRPr="007E11BE">
        <w:rPr>
          <w:rFonts w:ascii="Arial" w:eastAsia="Times New Roman" w:hAnsi="Arial" w:cs="Arial"/>
          <w:color w:val="263238"/>
          <w:szCs w:val="16"/>
          <w:lang w:val="en-US"/>
        </w:rPr>
        <w:t>, 126296. DOI: 10.1016/j.talanta.2024.126296</w:t>
      </w:r>
    </w:p>
    <w:p w:rsidR="00A00249" w:rsidRPr="007E11BE" w:rsidRDefault="00A00249" w:rsidP="00A00249">
      <w:pPr>
        <w:widowControl w:val="0"/>
        <w:spacing w:after="0" w:line="240" w:lineRule="auto"/>
        <w:jc w:val="both"/>
        <w:rPr>
          <w:rFonts w:ascii="Arial" w:eastAsia="Times New Roman" w:hAnsi="Arial" w:cs="Arial"/>
          <w:color w:val="263238"/>
          <w:szCs w:val="16"/>
          <w:lang w:val="en-US"/>
        </w:rPr>
      </w:pPr>
      <w:r w:rsidRPr="007E11BE">
        <w:rPr>
          <w:rFonts w:ascii="Arial" w:eastAsia="Times New Roman" w:hAnsi="Arial" w:cs="Arial"/>
          <w:color w:val="263238"/>
          <w:szCs w:val="16"/>
          <w:lang w:val="en-US"/>
        </w:rPr>
        <w:t xml:space="preserve">N. A. </w:t>
      </w:r>
      <w:proofErr w:type="spellStart"/>
      <w:r w:rsidRPr="007E11BE">
        <w:rPr>
          <w:rFonts w:ascii="Arial" w:eastAsia="Times New Roman" w:hAnsi="Arial" w:cs="Arial"/>
          <w:color w:val="263238"/>
          <w:szCs w:val="16"/>
          <w:lang w:val="en-US"/>
        </w:rPr>
        <w:t>Taranova</w:t>
      </w:r>
      <w:proofErr w:type="spellEnd"/>
      <w:r w:rsidRPr="007E11BE">
        <w:rPr>
          <w:rFonts w:ascii="Arial" w:eastAsia="Times New Roman" w:hAnsi="Arial" w:cs="Arial"/>
          <w:color w:val="263238"/>
          <w:szCs w:val="16"/>
          <w:lang w:val="en-US"/>
        </w:rPr>
        <w:t xml:space="preserve">, A. N. </w:t>
      </w:r>
      <w:proofErr w:type="spellStart"/>
      <w:r w:rsidRPr="007E11BE">
        <w:rPr>
          <w:rFonts w:ascii="Arial" w:eastAsia="Times New Roman" w:hAnsi="Arial" w:cs="Arial"/>
          <w:color w:val="263238"/>
          <w:szCs w:val="16"/>
          <w:lang w:val="en-US"/>
        </w:rPr>
        <w:t>Berlina</w:t>
      </w:r>
      <w:proofErr w:type="spellEnd"/>
      <w:r w:rsidRPr="007E11BE">
        <w:rPr>
          <w:rFonts w:ascii="Arial" w:eastAsia="Times New Roman" w:hAnsi="Arial" w:cs="Arial"/>
          <w:color w:val="263238"/>
          <w:szCs w:val="16"/>
          <w:lang w:val="en-US"/>
        </w:rPr>
        <w:t xml:space="preserve">, A. V. </w:t>
      </w:r>
      <w:proofErr w:type="spellStart"/>
      <w:r w:rsidRPr="007E11BE">
        <w:rPr>
          <w:rFonts w:ascii="Arial" w:eastAsia="Times New Roman" w:hAnsi="Arial" w:cs="Arial"/>
          <w:color w:val="263238"/>
          <w:szCs w:val="16"/>
          <w:lang w:val="en-US"/>
        </w:rPr>
        <w:t>Zherdev</w:t>
      </w:r>
      <w:proofErr w:type="spellEnd"/>
      <w:r w:rsidRPr="007E11BE">
        <w:rPr>
          <w:rFonts w:ascii="Arial" w:eastAsia="Times New Roman" w:hAnsi="Arial" w:cs="Arial"/>
          <w:color w:val="263238"/>
          <w:szCs w:val="16"/>
          <w:lang w:val="en-US"/>
        </w:rPr>
        <w:t xml:space="preserve">, B. B. </w:t>
      </w:r>
      <w:proofErr w:type="spellStart"/>
      <w:r w:rsidRPr="007E11BE">
        <w:rPr>
          <w:rFonts w:ascii="Arial" w:eastAsia="Times New Roman" w:hAnsi="Arial" w:cs="Arial"/>
          <w:color w:val="263238"/>
          <w:szCs w:val="16"/>
          <w:lang w:val="en-US"/>
        </w:rPr>
        <w:t>Dzantiev</w:t>
      </w:r>
      <w:proofErr w:type="spellEnd"/>
      <w:r w:rsidRPr="007E11BE">
        <w:rPr>
          <w:rFonts w:ascii="Arial" w:eastAsia="Times New Roman" w:hAnsi="Arial" w:cs="Arial"/>
          <w:color w:val="263238"/>
          <w:szCs w:val="16"/>
          <w:lang w:val="en-US"/>
        </w:rPr>
        <w:t xml:space="preserve">, </w:t>
      </w:r>
      <w:proofErr w:type="spellStart"/>
      <w:r w:rsidRPr="007E11BE">
        <w:rPr>
          <w:rFonts w:ascii="Arial" w:eastAsia="Times New Roman" w:hAnsi="Arial" w:cs="Arial"/>
          <w:i/>
          <w:color w:val="263238"/>
          <w:szCs w:val="16"/>
          <w:lang w:val="en-US"/>
        </w:rPr>
        <w:t>Biosens</w:t>
      </w:r>
      <w:proofErr w:type="spellEnd"/>
      <w:r w:rsidRPr="007E11BE">
        <w:rPr>
          <w:rFonts w:ascii="Arial" w:eastAsia="Times New Roman" w:hAnsi="Arial" w:cs="Arial"/>
          <w:i/>
          <w:color w:val="263238"/>
          <w:szCs w:val="16"/>
          <w:lang w:val="en-US"/>
        </w:rPr>
        <w:t xml:space="preserve">. </w:t>
      </w:r>
      <w:proofErr w:type="spellStart"/>
      <w:proofErr w:type="gramStart"/>
      <w:r w:rsidRPr="007E11BE">
        <w:rPr>
          <w:rFonts w:ascii="Arial" w:eastAsia="Times New Roman" w:hAnsi="Arial" w:cs="Arial"/>
          <w:i/>
          <w:color w:val="263238"/>
          <w:szCs w:val="16"/>
          <w:lang w:val="en-US"/>
        </w:rPr>
        <w:t>Bioelectron</w:t>
      </w:r>
      <w:proofErr w:type="spellEnd"/>
      <w:r w:rsidRPr="007E11BE">
        <w:rPr>
          <w:rFonts w:ascii="Arial" w:eastAsia="Times New Roman" w:hAnsi="Arial" w:cs="Arial"/>
          <w:i/>
          <w:color w:val="263238"/>
          <w:szCs w:val="16"/>
          <w:lang w:val="en-US"/>
        </w:rPr>
        <w:t>.</w:t>
      </w:r>
      <w:r w:rsidRPr="007E11BE">
        <w:rPr>
          <w:rFonts w:ascii="Arial" w:eastAsia="Times New Roman" w:hAnsi="Arial" w:cs="Arial"/>
          <w:color w:val="263238"/>
          <w:szCs w:val="16"/>
          <w:lang w:val="en-US"/>
        </w:rPr>
        <w:t>,</w:t>
      </w:r>
      <w:proofErr w:type="gramEnd"/>
      <w:r w:rsidRPr="007E11BE">
        <w:rPr>
          <w:rFonts w:ascii="Arial" w:eastAsia="Times New Roman" w:hAnsi="Arial" w:cs="Arial"/>
          <w:color w:val="263238"/>
          <w:szCs w:val="16"/>
          <w:lang w:val="en-US"/>
        </w:rPr>
        <w:t xml:space="preserve"> </w:t>
      </w:r>
      <w:r w:rsidRPr="007E11BE">
        <w:rPr>
          <w:rFonts w:ascii="Arial" w:eastAsia="Times New Roman" w:hAnsi="Arial" w:cs="Arial"/>
          <w:b/>
          <w:color w:val="263238"/>
          <w:szCs w:val="16"/>
          <w:lang w:val="en-US"/>
        </w:rPr>
        <w:t>2015</w:t>
      </w:r>
      <w:r w:rsidRPr="007E11BE">
        <w:rPr>
          <w:rFonts w:ascii="Arial" w:eastAsia="Times New Roman" w:hAnsi="Arial" w:cs="Arial"/>
          <w:bCs/>
          <w:color w:val="263238"/>
          <w:szCs w:val="16"/>
          <w:lang w:val="en-US"/>
        </w:rPr>
        <w:t>,</w:t>
      </w:r>
      <w:r w:rsidRPr="007E11BE">
        <w:rPr>
          <w:rFonts w:ascii="Arial" w:eastAsia="Times New Roman" w:hAnsi="Arial" w:cs="Arial"/>
          <w:color w:val="263238"/>
          <w:szCs w:val="16"/>
          <w:lang w:val="en-US"/>
        </w:rPr>
        <w:t xml:space="preserve"> </w:t>
      </w:r>
      <w:r w:rsidRPr="007E11BE">
        <w:rPr>
          <w:rFonts w:ascii="Arial" w:eastAsia="Times New Roman" w:hAnsi="Arial" w:cs="Arial"/>
          <w:i/>
          <w:iCs/>
          <w:color w:val="263238"/>
          <w:szCs w:val="16"/>
          <w:lang w:val="en-US"/>
        </w:rPr>
        <w:t>63</w:t>
      </w:r>
      <w:r w:rsidRPr="007E11BE">
        <w:rPr>
          <w:rFonts w:ascii="Arial" w:eastAsia="Times New Roman" w:hAnsi="Arial" w:cs="Arial"/>
          <w:color w:val="263238"/>
          <w:szCs w:val="16"/>
          <w:lang w:val="en-US"/>
        </w:rPr>
        <w:t>, 255–261. DOI: 10.1016/j.bios.2014.07.049</w:t>
      </w:r>
    </w:p>
    <w:p w:rsidR="00A00249" w:rsidRPr="007E11BE" w:rsidRDefault="00A00249" w:rsidP="00A00249">
      <w:pPr>
        <w:widowControl w:val="0"/>
        <w:spacing w:after="0" w:line="240" w:lineRule="auto"/>
        <w:jc w:val="both"/>
        <w:rPr>
          <w:rFonts w:ascii="Arial" w:eastAsia="Times New Roman" w:hAnsi="Arial" w:cs="Arial"/>
          <w:color w:val="263238"/>
          <w:szCs w:val="16"/>
          <w:lang w:val="en-US"/>
        </w:rPr>
      </w:pPr>
      <w:r w:rsidRPr="007E11BE">
        <w:rPr>
          <w:rFonts w:ascii="Arial" w:eastAsia="Times New Roman" w:hAnsi="Arial" w:cs="Arial"/>
          <w:color w:val="263238"/>
          <w:szCs w:val="16"/>
          <w:lang w:val="en-US"/>
        </w:rPr>
        <w:t xml:space="preserve">S. </w:t>
      </w:r>
      <w:proofErr w:type="spellStart"/>
      <w:r w:rsidRPr="007E11BE">
        <w:rPr>
          <w:rFonts w:ascii="Arial" w:eastAsia="Times New Roman" w:hAnsi="Arial" w:cs="Arial"/>
          <w:color w:val="263238"/>
          <w:szCs w:val="16"/>
          <w:lang w:val="en-US"/>
        </w:rPr>
        <w:t>Shigdar</w:t>
      </w:r>
      <w:proofErr w:type="spellEnd"/>
      <w:r w:rsidRPr="007E11BE">
        <w:rPr>
          <w:rFonts w:ascii="Arial" w:eastAsia="Times New Roman" w:hAnsi="Arial" w:cs="Arial"/>
          <w:color w:val="263238"/>
          <w:szCs w:val="16"/>
          <w:lang w:val="en-US"/>
        </w:rPr>
        <w:t xml:space="preserve">, B. </w:t>
      </w:r>
      <w:proofErr w:type="spellStart"/>
      <w:r w:rsidRPr="007E11BE">
        <w:rPr>
          <w:rFonts w:ascii="Arial" w:eastAsia="Times New Roman" w:hAnsi="Arial" w:cs="Arial"/>
          <w:color w:val="263238"/>
          <w:szCs w:val="16"/>
          <w:lang w:val="en-US"/>
        </w:rPr>
        <w:t>Schrand</w:t>
      </w:r>
      <w:proofErr w:type="spellEnd"/>
      <w:r w:rsidRPr="007E11BE">
        <w:rPr>
          <w:rFonts w:ascii="Arial" w:eastAsia="Times New Roman" w:hAnsi="Arial" w:cs="Arial"/>
          <w:color w:val="263238"/>
          <w:szCs w:val="16"/>
          <w:lang w:val="en-US"/>
        </w:rPr>
        <w:t xml:space="preserve">, P. H. </w:t>
      </w:r>
      <w:proofErr w:type="spellStart"/>
      <w:r w:rsidRPr="007E11BE">
        <w:rPr>
          <w:rFonts w:ascii="Arial" w:eastAsia="Times New Roman" w:hAnsi="Arial" w:cs="Arial"/>
          <w:color w:val="263238"/>
          <w:szCs w:val="16"/>
          <w:lang w:val="en-US"/>
        </w:rPr>
        <w:t>Giangrande</w:t>
      </w:r>
      <w:proofErr w:type="spellEnd"/>
      <w:r w:rsidRPr="007E11BE">
        <w:rPr>
          <w:rFonts w:ascii="Arial" w:eastAsia="Times New Roman" w:hAnsi="Arial" w:cs="Arial"/>
          <w:color w:val="263238"/>
          <w:szCs w:val="16"/>
          <w:lang w:val="en-US"/>
        </w:rPr>
        <w:t xml:space="preserve">, V. de </w:t>
      </w:r>
      <w:proofErr w:type="spellStart"/>
      <w:r w:rsidRPr="007E11BE">
        <w:rPr>
          <w:rFonts w:ascii="Arial" w:eastAsia="Times New Roman" w:hAnsi="Arial" w:cs="Arial"/>
          <w:color w:val="263238"/>
          <w:szCs w:val="16"/>
          <w:lang w:val="en-US"/>
        </w:rPr>
        <w:t>Franciscis</w:t>
      </w:r>
      <w:proofErr w:type="spellEnd"/>
      <w:r w:rsidRPr="007E11BE">
        <w:rPr>
          <w:rFonts w:ascii="Arial" w:eastAsia="Times New Roman" w:hAnsi="Arial" w:cs="Arial"/>
          <w:color w:val="263238"/>
          <w:szCs w:val="16"/>
          <w:lang w:val="en-US"/>
        </w:rPr>
        <w:t xml:space="preserve">, </w:t>
      </w:r>
      <w:r w:rsidRPr="007E11BE">
        <w:rPr>
          <w:rFonts w:ascii="Arial" w:eastAsia="Times New Roman" w:hAnsi="Arial" w:cs="Arial"/>
          <w:i/>
          <w:color w:val="263238"/>
          <w:szCs w:val="16"/>
          <w:lang w:val="en-US"/>
        </w:rPr>
        <w:t xml:space="preserve">Mol. </w:t>
      </w:r>
      <w:proofErr w:type="spellStart"/>
      <w:proofErr w:type="gramStart"/>
      <w:r w:rsidRPr="007E11BE">
        <w:rPr>
          <w:rFonts w:ascii="Arial" w:eastAsia="Times New Roman" w:hAnsi="Arial" w:cs="Arial"/>
          <w:i/>
          <w:color w:val="263238"/>
          <w:szCs w:val="16"/>
          <w:lang w:val="en-US"/>
        </w:rPr>
        <w:t>Ther</w:t>
      </w:r>
      <w:proofErr w:type="spellEnd"/>
      <w:r w:rsidRPr="007E11BE">
        <w:rPr>
          <w:rFonts w:ascii="Arial" w:eastAsia="Times New Roman" w:hAnsi="Arial" w:cs="Arial"/>
          <w:iCs/>
          <w:color w:val="263238"/>
          <w:szCs w:val="16"/>
          <w:lang w:val="en-US"/>
        </w:rPr>
        <w:t>.,</w:t>
      </w:r>
      <w:proofErr w:type="gramEnd"/>
      <w:r w:rsidRPr="007E11BE">
        <w:rPr>
          <w:rFonts w:ascii="Arial" w:eastAsia="Times New Roman" w:hAnsi="Arial" w:cs="Arial"/>
          <w:color w:val="263238"/>
          <w:szCs w:val="16"/>
          <w:lang w:val="en-US"/>
        </w:rPr>
        <w:t xml:space="preserve"> </w:t>
      </w:r>
      <w:r w:rsidRPr="007E11BE">
        <w:rPr>
          <w:rFonts w:ascii="Arial" w:eastAsia="Times New Roman" w:hAnsi="Arial" w:cs="Arial"/>
          <w:b/>
          <w:color w:val="263238"/>
          <w:szCs w:val="16"/>
          <w:lang w:val="en-US"/>
        </w:rPr>
        <w:t>2021</w:t>
      </w:r>
      <w:r w:rsidRPr="007E11BE">
        <w:rPr>
          <w:rFonts w:ascii="Arial" w:eastAsia="Times New Roman" w:hAnsi="Arial" w:cs="Arial"/>
          <w:bCs/>
          <w:color w:val="263238"/>
          <w:szCs w:val="16"/>
          <w:lang w:val="en-US"/>
        </w:rPr>
        <w:t>,</w:t>
      </w:r>
      <w:r w:rsidRPr="007E11BE">
        <w:rPr>
          <w:rFonts w:ascii="Arial" w:eastAsia="Times New Roman" w:hAnsi="Arial" w:cs="Arial"/>
          <w:color w:val="263238"/>
          <w:szCs w:val="16"/>
          <w:lang w:val="en-US"/>
        </w:rPr>
        <w:t xml:space="preserve"> </w:t>
      </w:r>
      <w:r w:rsidRPr="007E11BE">
        <w:rPr>
          <w:rFonts w:ascii="Arial" w:eastAsia="Times New Roman" w:hAnsi="Arial" w:cs="Arial"/>
          <w:i/>
          <w:iCs/>
          <w:color w:val="263238"/>
          <w:szCs w:val="16"/>
          <w:lang w:val="en-US"/>
        </w:rPr>
        <w:t>29</w:t>
      </w:r>
      <w:r w:rsidRPr="007E11BE">
        <w:rPr>
          <w:rFonts w:ascii="Arial" w:eastAsia="Times New Roman" w:hAnsi="Arial" w:cs="Arial"/>
          <w:color w:val="263238"/>
          <w:szCs w:val="16"/>
          <w:lang w:val="en-US"/>
        </w:rPr>
        <w:t>, 2396–2411. DOI: 10.1016/j.ymthe.2021.06.010</w:t>
      </w:r>
    </w:p>
    <w:p w:rsidR="00A00249" w:rsidRPr="007E11BE" w:rsidRDefault="00A00249" w:rsidP="00A00249">
      <w:pPr>
        <w:widowControl w:val="0"/>
        <w:spacing w:after="0" w:line="240" w:lineRule="auto"/>
        <w:jc w:val="both"/>
        <w:rPr>
          <w:rFonts w:ascii="Arial" w:eastAsia="Times New Roman" w:hAnsi="Arial" w:cs="Arial"/>
          <w:color w:val="263238"/>
          <w:szCs w:val="16"/>
          <w:lang w:val="en-US"/>
        </w:rPr>
      </w:pPr>
      <w:r w:rsidRPr="007E11BE">
        <w:rPr>
          <w:rFonts w:ascii="Arial" w:eastAsia="Times New Roman" w:hAnsi="Arial" w:cs="Arial"/>
          <w:color w:val="263238"/>
          <w:szCs w:val="16"/>
          <w:lang w:val="en-US"/>
        </w:rPr>
        <w:t xml:space="preserve">R. L. Pereira, I. C. </w:t>
      </w:r>
      <w:proofErr w:type="spellStart"/>
      <w:r w:rsidRPr="007E11BE">
        <w:rPr>
          <w:rFonts w:ascii="Arial" w:eastAsia="Times New Roman" w:hAnsi="Arial" w:cs="Arial"/>
          <w:color w:val="263238"/>
          <w:szCs w:val="16"/>
          <w:lang w:val="en-US"/>
        </w:rPr>
        <w:t>Nascimento</w:t>
      </w:r>
      <w:proofErr w:type="spellEnd"/>
      <w:r w:rsidRPr="007E11BE">
        <w:rPr>
          <w:rFonts w:ascii="Arial" w:eastAsia="Times New Roman" w:hAnsi="Arial" w:cs="Arial"/>
          <w:color w:val="263238"/>
          <w:szCs w:val="16"/>
          <w:lang w:val="en-US"/>
        </w:rPr>
        <w:t xml:space="preserve">, A. P. Santos, I. E. Y. </w:t>
      </w:r>
      <w:proofErr w:type="spellStart"/>
      <w:r w:rsidRPr="007E11BE">
        <w:rPr>
          <w:rFonts w:ascii="Arial" w:eastAsia="Times New Roman" w:hAnsi="Arial" w:cs="Arial"/>
          <w:color w:val="263238"/>
          <w:szCs w:val="16"/>
          <w:lang w:val="en-US"/>
        </w:rPr>
        <w:t>Ogusuku</w:t>
      </w:r>
      <w:proofErr w:type="spellEnd"/>
      <w:r w:rsidRPr="007E11BE">
        <w:rPr>
          <w:rFonts w:ascii="Arial" w:eastAsia="Times New Roman" w:hAnsi="Arial" w:cs="Arial"/>
          <w:color w:val="263238"/>
          <w:szCs w:val="16"/>
          <w:lang w:val="en-US"/>
        </w:rPr>
        <w:t xml:space="preserve">, C. </w:t>
      </w:r>
      <w:proofErr w:type="spellStart"/>
      <w:r w:rsidRPr="007E11BE">
        <w:rPr>
          <w:rFonts w:ascii="Arial" w:eastAsia="Times New Roman" w:hAnsi="Arial" w:cs="Arial"/>
          <w:color w:val="263238"/>
          <w:szCs w:val="16"/>
          <w:lang w:val="en-US"/>
        </w:rPr>
        <w:t>Lameu</w:t>
      </w:r>
      <w:proofErr w:type="spellEnd"/>
      <w:r w:rsidRPr="007E11BE">
        <w:rPr>
          <w:rFonts w:ascii="Arial" w:eastAsia="Times New Roman" w:hAnsi="Arial" w:cs="Arial"/>
          <w:color w:val="263238"/>
          <w:szCs w:val="16"/>
          <w:lang w:val="en-US"/>
        </w:rPr>
        <w:t xml:space="preserve">, G. Mayer, H. Ulrich, </w:t>
      </w:r>
      <w:proofErr w:type="spellStart"/>
      <w:r w:rsidRPr="007E11BE">
        <w:rPr>
          <w:rFonts w:ascii="Arial" w:eastAsia="Times New Roman" w:hAnsi="Arial" w:cs="Arial"/>
          <w:i/>
          <w:color w:val="263238"/>
          <w:szCs w:val="16"/>
          <w:lang w:val="en-US"/>
        </w:rPr>
        <w:t>Oncotarget</w:t>
      </w:r>
      <w:proofErr w:type="spellEnd"/>
      <w:r w:rsidRPr="007E11BE">
        <w:rPr>
          <w:rFonts w:ascii="Arial" w:eastAsia="Times New Roman" w:hAnsi="Arial" w:cs="Arial"/>
          <w:iCs/>
          <w:color w:val="263238"/>
          <w:szCs w:val="16"/>
          <w:lang w:val="en-US"/>
        </w:rPr>
        <w:t>,</w:t>
      </w:r>
      <w:r w:rsidRPr="007E11BE">
        <w:rPr>
          <w:rFonts w:ascii="Arial" w:eastAsia="Times New Roman" w:hAnsi="Arial" w:cs="Arial"/>
          <w:color w:val="263238"/>
          <w:szCs w:val="16"/>
          <w:lang w:val="en-US"/>
        </w:rPr>
        <w:t xml:space="preserve"> </w:t>
      </w:r>
      <w:r w:rsidRPr="007E11BE">
        <w:rPr>
          <w:rFonts w:ascii="Arial" w:eastAsia="Times New Roman" w:hAnsi="Arial" w:cs="Arial"/>
          <w:b/>
          <w:color w:val="263238"/>
          <w:szCs w:val="16"/>
          <w:lang w:val="en-US"/>
        </w:rPr>
        <w:t>2018</w:t>
      </w:r>
      <w:r w:rsidRPr="007E11BE">
        <w:rPr>
          <w:rFonts w:ascii="Arial" w:eastAsia="Times New Roman" w:hAnsi="Arial" w:cs="Arial"/>
          <w:bCs/>
          <w:color w:val="263238"/>
          <w:szCs w:val="16"/>
          <w:lang w:val="en-US"/>
        </w:rPr>
        <w:t>,</w:t>
      </w:r>
      <w:r w:rsidRPr="007E11BE">
        <w:rPr>
          <w:rFonts w:ascii="Arial" w:eastAsia="Times New Roman" w:hAnsi="Arial" w:cs="Arial"/>
          <w:color w:val="263238"/>
          <w:szCs w:val="16"/>
          <w:lang w:val="en-US"/>
        </w:rPr>
        <w:t xml:space="preserve"> </w:t>
      </w:r>
      <w:r w:rsidRPr="007E11BE">
        <w:rPr>
          <w:rFonts w:ascii="Arial" w:eastAsia="Times New Roman" w:hAnsi="Arial" w:cs="Arial"/>
          <w:i/>
          <w:iCs/>
          <w:color w:val="263238"/>
          <w:szCs w:val="16"/>
          <w:lang w:val="en-US"/>
        </w:rPr>
        <w:t>9</w:t>
      </w:r>
      <w:r w:rsidRPr="007E11BE">
        <w:rPr>
          <w:rFonts w:ascii="Arial" w:eastAsia="Times New Roman" w:hAnsi="Arial" w:cs="Arial"/>
          <w:color w:val="263238"/>
          <w:szCs w:val="16"/>
          <w:lang w:val="en-US"/>
        </w:rPr>
        <w:t>, 26934–26953. DOI: 10.18632/oncotarget.25260</w:t>
      </w:r>
    </w:p>
    <w:p w:rsidR="00A00249" w:rsidRPr="007E11BE" w:rsidRDefault="00A00249" w:rsidP="00A00249">
      <w:pPr>
        <w:widowControl w:val="0"/>
        <w:spacing w:after="0" w:line="240" w:lineRule="auto"/>
        <w:jc w:val="both"/>
        <w:rPr>
          <w:rFonts w:ascii="Arial" w:eastAsia="Times New Roman" w:hAnsi="Arial" w:cs="Arial"/>
          <w:color w:val="263238"/>
          <w:szCs w:val="16"/>
          <w:lang w:val="en-US"/>
        </w:rPr>
      </w:pPr>
      <w:r w:rsidRPr="007E11BE">
        <w:rPr>
          <w:rFonts w:ascii="Arial" w:eastAsia="Times New Roman" w:hAnsi="Arial" w:cs="Arial"/>
          <w:color w:val="263238"/>
          <w:szCs w:val="16"/>
          <w:lang w:val="en-US"/>
        </w:rPr>
        <w:t xml:space="preserve">V. A. </w:t>
      </w:r>
      <w:proofErr w:type="spellStart"/>
      <w:r w:rsidRPr="007E11BE">
        <w:rPr>
          <w:rFonts w:ascii="Arial" w:eastAsia="Times New Roman" w:hAnsi="Arial" w:cs="Arial"/>
          <w:color w:val="263238"/>
          <w:szCs w:val="16"/>
          <w:lang w:val="en-US"/>
        </w:rPr>
        <w:t>Il'in</w:t>
      </w:r>
      <w:proofErr w:type="spellEnd"/>
      <w:r w:rsidRPr="007E11BE">
        <w:rPr>
          <w:rFonts w:ascii="Arial" w:eastAsia="Times New Roman" w:hAnsi="Arial" w:cs="Arial"/>
          <w:color w:val="263238"/>
          <w:szCs w:val="16"/>
          <w:lang w:val="en-US"/>
        </w:rPr>
        <w:t xml:space="preserve">, E. V. </w:t>
      </w:r>
      <w:proofErr w:type="spellStart"/>
      <w:r w:rsidRPr="007E11BE">
        <w:rPr>
          <w:rFonts w:ascii="Arial" w:eastAsia="Times New Roman" w:hAnsi="Arial" w:cs="Arial"/>
          <w:color w:val="263238"/>
          <w:szCs w:val="16"/>
          <w:lang w:val="en-US"/>
        </w:rPr>
        <w:t>Pyzhik</w:t>
      </w:r>
      <w:proofErr w:type="spellEnd"/>
      <w:r w:rsidRPr="007E11BE">
        <w:rPr>
          <w:rFonts w:ascii="Arial" w:eastAsia="Times New Roman" w:hAnsi="Arial" w:cs="Arial"/>
          <w:color w:val="263238"/>
          <w:szCs w:val="16"/>
          <w:lang w:val="en-US"/>
        </w:rPr>
        <w:t xml:space="preserve">, A. B. </w:t>
      </w:r>
      <w:proofErr w:type="spellStart"/>
      <w:r w:rsidRPr="007E11BE">
        <w:rPr>
          <w:rFonts w:ascii="Arial" w:eastAsia="Times New Roman" w:hAnsi="Arial" w:cs="Arial"/>
          <w:color w:val="263238"/>
          <w:szCs w:val="16"/>
          <w:lang w:val="en-US"/>
        </w:rPr>
        <w:t>Balakhonov</w:t>
      </w:r>
      <w:proofErr w:type="spellEnd"/>
      <w:r w:rsidRPr="007E11BE">
        <w:rPr>
          <w:rFonts w:ascii="Arial" w:eastAsia="Times New Roman" w:hAnsi="Arial" w:cs="Arial"/>
          <w:color w:val="263238"/>
          <w:szCs w:val="16"/>
          <w:lang w:val="en-US"/>
        </w:rPr>
        <w:t xml:space="preserve">, M. A. </w:t>
      </w:r>
      <w:proofErr w:type="spellStart"/>
      <w:r w:rsidRPr="007E11BE">
        <w:rPr>
          <w:rFonts w:ascii="Arial" w:eastAsia="Times New Roman" w:hAnsi="Arial" w:cs="Arial"/>
          <w:color w:val="263238"/>
          <w:szCs w:val="16"/>
          <w:lang w:val="en-US"/>
        </w:rPr>
        <w:t>Kiryushin</w:t>
      </w:r>
      <w:proofErr w:type="spellEnd"/>
      <w:r w:rsidRPr="007E11BE">
        <w:rPr>
          <w:rFonts w:ascii="Arial" w:eastAsia="Times New Roman" w:hAnsi="Arial" w:cs="Arial"/>
          <w:color w:val="263238"/>
          <w:szCs w:val="16"/>
          <w:lang w:val="en-US"/>
        </w:rPr>
        <w:t xml:space="preserve">, E. V. </w:t>
      </w:r>
      <w:proofErr w:type="spellStart"/>
      <w:r w:rsidRPr="007E11BE">
        <w:rPr>
          <w:rFonts w:ascii="Arial" w:eastAsia="Times New Roman" w:hAnsi="Arial" w:cs="Arial"/>
          <w:color w:val="263238"/>
          <w:szCs w:val="16"/>
          <w:lang w:val="en-US"/>
        </w:rPr>
        <w:t>Shcherbatova</w:t>
      </w:r>
      <w:proofErr w:type="spellEnd"/>
      <w:r w:rsidRPr="007E11BE">
        <w:rPr>
          <w:rFonts w:ascii="Arial" w:eastAsia="Times New Roman" w:hAnsi="Arial" w:cs="Arial"/>
          <w:color w:val="263238"/>
          <w:szCs w:val="16"/>
          <w:lang w:val="en-US"/>
        </w:rPr>
        <w:t xml:space="preserve">, A. A. </w:t>
      </w:r>
      <w:proofErr w:type="spellStart"/>
      <w:r w:rsidRPr="007E11BE">
        <w:rPr>
          <w:rFonts w:ascii="Arial" w:eastAsia="Times New Roman" w:hAnsi="Arial" w:cs="Arial"/>
          <w:color w:val="263238"/>
          <w:szCs w:val="16"/>
          <w:lang w:val="en-US"/>
        </w:rPr>
        <w:t>Kuznetsov</w:t>
      </w:r>
      <w:proofErr w:type="spellEnd"/>
      <w:r w:rsidRPr="007E11BE">
        <w:rPr>
          <w:rFonts w:ascii="Arial" w:eastAsia="Times New Roman" w:hAnsi="Arial" w:cs="Arial"/>
          <w:color w:val="263238"/>
          <w:szCs w:val="16"/>
          <w:lang w:val="en-US"/>
        </w:rPr>
        <w:t xml:space="preserve">, P. A. </w:t>
      </w:r>
      <w:proofErr w:type="spellStart"/>
      <w:r w:rsidRPr="007E11BE">
        <w:rPr>
          <w:rFonts w:ascii="Arial" w:eastAsia="Times New Roman" w:hAnsi="Arial" w:cs="Arial"/>
          <w:color w:val="263238"/>
          <w:szCs w:val="16"/>
          <w:lang w:val="en-US"/>
        </w:rPr>
        <w:t>Kostin</w:t>
      </w:r>
      <w:proofErr w:type="spellEnd"/>
      <w:r w:rsidRPr="007E11BE">
        <w:rPr>
          <w:rFonts w:ascii="Arial" w:eastAsia="Times New Roman" w:hAnsi="Arial" w:cs="Arial"/>
          <w:color w:val="263238"/>
          <w:szCs w:val="16"/>
          <w:lang w:val="en-US"/>
        </w:rPr>
        <w:t xml:space="preserve">, A. V. </w:t>
      </w:r>
      <w:proofErr w:type="spellStart"/>
      <w:r w:rsidRPr="007E11BE">
        <w:rPr>
          <w:rFonts w:ascii="Arial" w:eastAsia="Times New Roman" w:hAnsi="Arial" w:cs="Arial"/>
          <w:color w:val="263238"/>
          <w:szCs w:val="16"/>
          <w:lang w:val="en-US"/>
        </w:rPr>
        <w:t>Golovin</w:t>
      </w:r>
      <w:proofErr w:type="spellEnd"/>
      <w:r w:rsidRPr="007E11BE">
        <w:rPr>
          <w:rFonts w:ascii="Arial" w:eastAsia="Times New Roman" w:hAnsi="Arial" w:cs="Arial"/>
          <w:color w:val="263238"/>
          <w:szCs w:val="16"/>
          <w:lang w:val="en-US"/>
        </w:rPr>
        <w:t xml:space="preserve">, V. A. </w:t>
      </w:r>
      <w:proofErr w:type="spellStart"/>
      <w:r w:rsidRPr="007E11BE">
        <w:rPr>
          <w:rFonts w:ascii="Arial" w:eastAsia="Times New Roman" w:hAnsi="Arial" w:cs="Arial"/>
          <w:color w:val="263238"/>
          <w:szCs w:val="16"/>
          <w:lang w:val="en-US"/>
        </w:rPr>
        <w:t>Korshun</w:t>
      </w:r>
      <w:proofErr w:type="spellEnd"/>
      <w:r w:rsidRPr="007E11BE">
        <w:rPr>
          <w:rFonts w:ascii="Arial" w:eastAsia="Times New Roman" w:hAnsi="Arial" w:cs="Arial"/>
          <w:color w:val="263238"/>
          <w:szCs w:val="16"/>
          <w:lang w:val="en-US"/>
        </w:rPr>
        <w:t xml:space="preserve">, V. A. </w:t>
      </w:r>
      <w:proofErr w:type="spellStart"/>
      <w:r w:rsidRPr="007E11BE">
        <w:rPr>
          <w:rFonts w:ascii="Arial" w:eastAsia="Times New Roman" w:hAnsi="Arial" w:cs="Arial"/>
          <w:color w:val="263238"/>
          <w:szCs w:val="16"/>
          <w:lang w:val="en-US"/>
        </w:rPr>
        <w:t>Brylev</w:t>
      </w:r>
      <w:proofErr w:type="spellEnd"/>
      <w:r w:rsidRPr="007E11BE">
        <w:rPr>
          <w:rFonts w:ascii="Arial" w:eastAsia="Times New Roman" w:hAnsi="Arial" w:cs="Arial"/>
          <w:color w:val="263238"/>
          <w:szCs w:val="16"/>
          <w:lang w:val="en-US"/>
        </w:rPr>
        <w:t xml:space="preserve">, K. A. </w:t>
      </w:r>
      <w:proofErr w:type="spellStart"/>
      <w:r w:rsidRPr="007E11BE">
        <w:rPr>
          <w:rFonts w:ascii="Arial" w:eastAsia="Times New Roman" w:hAnsi="Arial" w:cs="Arial"/>
          <w:color w:val="263238"/>
          <w:szCs w:val="16"/>
          <w:lang w:val="en-US"/>
        </w:rPr>
        <w:t>Sapozhnikova</w:t>
      </w:r>
      <w:proofErr w:type="spellEnd"/>
      <w:r w:rsidRPr="007E11BE">
        <w:rPr>
          <w:rFonts w:ascii="Arial" w:eastAsia="Times New Roman" w:hAnsi="Arial" w:cs="Arial"/>
          <w:color w:val="263238"/>
          <w:szCs w:val="16"/>
          <w:lang w:val="en-US"/>
        </w:rPr>
        <w:t xml:space="preserve">, A. M. </w:t>
      </w:r>
      <w:proofErr w:type="spellStart"/>
      <w:r w:rsidRPr="007E11BE">
        <w:rPr>
          <w:rFonts w:ascii="Arial" w:eastAsia="Times New Roman" w:hAnsi="Arial" w:cs="Arial"/>
          <w:color w:val="263238"/>
          <w:szCs w:val="16"/>
          <w:lang w:val="en-US"/>
        </w:rPr>
        <w:t>Kopylov</w:t>
      </w:r>
      <w:proofErr w:type="spellEnd"/>
      <w:r w:rsidRPr="007E11BE">
        <w:rPr>
          <w:rFonts w:ascii="Arial" w:eastAsia="Times New Roman" w:hAnsi="Arial" w:cs="Arial"/>
          <w:color w:val="263238"/>
          <w:szCs w:val="16"/>
          <w:lang w:val="en-US"/>
        </w:rPr>
        <w:t xml:space="preserve">, G. V. </w:t>
      </w:r>
      <w:proofErr w:type="spellStart"/>
      <w:r w:rsidRPr="007E11BE">
        <w:rPr>
          <w:rFonts w:ascii="Arial" w:eastAsia="Times New Roman" w:hAnsi="Arial" w:cs="Arial"/>
          <w:color w:val="263238"/>
          <w:szCs w:val="16"/>
          <w:lang w:val="en-US"/>
        </w:rPr>
        <w:t>Pavlova</w:t>
      </w:r>
      <w:proofErr w:type="spellEnd"/>
      <w:r w:rsidRPr="007E11BE">
        <w:rPr>
          <w:rFonts w:ascii="Arial" w:eastAsia="Times New Roman" w:hAnsi="Arial" w:cs="Arial"/>
          <w:color w:val="263238"/>
          <w:szCs w:val="16"/>
          <w:lang w:val="en-US"/>
        </w:rPr>
        <w:t xml:space="preserve">, I. N. </w:t>
      </w:r>
      <w:proofErr w:type="spellStart"/>
      <w:r w:rsidRPr="007E11BE">
        <w:rPr>
          <w:rFonts w:ascii="Arial" w:eastAsia="Times New Roman" w:hAnsi="Arial" w:cs="Arial"/>
          <w:color w:val="263238"/>
          <w:szCs w:val="16"/>
          <w:lang w:val="en-US"/>
        </w:rPr>
        <w:t>Pronin</w:t>
      </w:r>
      <w:proofErr w:type="spellEnd"/>
      <w:r w:rsidRPr="007E11BE">
        <w:rPr>
          <w:rFonts w:ascii="Arial" w:eastAsia="Times New Roman" w:hAnsi="Arial" w:cs="Arial"/>
          <w:color w:val="263238"/>
          <w:szCs w:val="16"/>
          <w:lang w:val="en-US"/>
        </w:rPr>
        <w:t xml:space="preserve">, </w:t>
      </w:r>
      <w:r w:rsidRPr="007E11BE">
        <w:rPr>
          <w:rFonts w:ascii="Arial" w:eastAsia="Times New Roman" w:hAnsi="Arial" w:cs="Arial"/>
          <w:i/>
          <w:color w:val="263238"/>
          <w:szCs w:val="16"/>
          <w:lang w:val="en-US"/>
        </w:rPr>
        <w:t>Molecules</w:t>
      </w:r>
      <w:r w:rsidRPr="007E11BE">
        <w:rPr>
          <w:rFonts w:ascii="Arial" w:eastAsia="Times New Roman" w:hAnsi="Arial" w:cs="Arial"/>
          <w:iCs/>
          <w:color w:val="263238"/>
          <w:szCs w:val="16"/>
          <w:lang w:val="en-US"/>
        </w:rPr>
        <w:t xml:space="preserve">, </w:t>
      </w:r>
      <w:r w:rsidRPr="007E11BE">
        <w:rPr>
          <w:rFonts w:ascii="Arial" w:eastAsia="Times New Roman" w:hAnsi="Arial" w:cs="Arial"/>
          <w:b/>
          <w:color w:val="263238"/>
          <w:szCs w:val="16"/>
          <w:lang w:val="en-US"/>
        </w:rPr>
        <w:t>2023</w:t>
      </w:r>
      <w:r w:rsidRPr="007E11BE">
        <w:rPr>
          <w:rFonts w:ascii="Arial" w:eastAsia="Times New Roman" w:hAnsi="Arial" w:cs="Arial"/>
          <w:color w:val="263238"/>
          <w:szCs w:val="16"/>
          <w:lang w:val="en-US"/>
        </w:rPr>
        <w:t xml:space="preserve">, </w:t>
      </w:r>
      <w:r w:rsidRPr="007E11BE">
        <w:rPr>
          <w:rFonts w:ascii="Arial" w:eastAsia="Times New Roman" w:hAnsi="Arial" w:cs="Arial"/>
          <w:i/>
          <w:iCs/>
          <w:color w:val="263238"/>
          <w:szCs w:val="16"/>
          <w:lang w:val="en-US"/>
        </w:rPr>
        <w:t>28</w:t>
      </w:r>
      <w:r w:rsidRPr="007E11BE">
        <w:rPr>
          <w:rFonts w:ascii="Arial" w:eastAsia="Times New Roman" w:hAnsi="Arial" w:cs="Arial"/>
          <w:color w:val="263238"/>
          <w:szCs w:val="16"/>
          <w:lang w:val="en-US"/>
        </w:rPr>
        <w:t>, 294. DOI: 10.3390/molecules28010294</w:t>
      </w:r>
    </w:p>
    <w:p w:rsidR="00A00249" w:rsidRPr="007E11BE" w:rsidRDefault="00A00249" w:rsidP="00A00249">
      <w:pPr>
        <w:widowControl w:val="0"/>
        <w:spacing w:after="0" w:line="240" w:lineRule="auto"/>
        <w:jc w:val="both"/>
        <w:rPr>
          <w:rFonts w:ascii="Arial" w:eastAsia="Times New Roman" w:hAnsi="Arial" w:cs="Arial"/>
          <w:color w:val="263238"/>
          <w:szCs w:val="16"/>
          <w:lang w:val="en-US"/>
        </w:rPr>
      </w:pPr>
      <w:r w:rsidRPr="007E11BE">
        <w:rPr>
          <w:rFonts w:ascii="Arial" w:eastAsia="Times New Roman" w:hAnsi="Arial" w:cs="Arial"/>
          <w:color w:val="263238"/>
          <w:szCs w:val="16"/>
          <w:lang w:val="en-US"/>
        </w:rPr>
        <w:t xml:space="preserve">X. Wu, H. Liang, Y. Tan, C. Yuan, S. Li, X. Li, G. Li, Y. Shi, X. Zhang, </w:t>
      </w:r>
      <w:proofErr w:type="spellStart"/>
      <w:r w:rsidRPr="007E11BE">
        <w:rPr>
          <w:rFonts w:ascii="Arial" w:eastAsia="Times New Roman" w:hAnsi="Arial" w:cs="Arial"/>
          <w:i/>
          <w:color w:val="263238"/>
          <w:szCs w:val="16"/>
          <w:lang w:val="en-US"/>
        </w:rPr>
        <w:t>PLoS</w:t>
      </w:r>
      <w:proofErr w:type="spellEnd"/>
      <w:r w:rsidRPr="007E11BE">
        <w:rPr>
          <w:rFonts w:ascii="Arial" w:eastAsia="Times New Roman" w:hAnsi="Arial" w:cs="Arial"/>
          <w:i/>
          <w:color w:val="263238"/>
          <w:szCs w:val="16"/>
          <w:lang w:val="en-US"/>
        </w:rPr>
        <w:t xml:space="preserve"> One</w:t>
      </w:r>
      <w:r w:rsidRPr="007E11BE">
        <w:rPr>
          <w:rFonts w:ascii="Arial" w:eastAsia="Times New Roman" w:hAnsi="Arial" w:cs="Arial"/>
          <w:color w:val="263238"/>
          <w:szCs w:val="16"/>
          <w:lang w:val="en-US"/>
        </w:rPr>
        <w:t xml:space="preserve">, </w:t>
      </w:r>
      <w:r w:rsidRPr="007E11BE">
        <w:rPr>
          <w:rFonts w:ascii="Arial" w:eastAsia="Times New Roman" w:hAnsi="Arial" w:cs="Arial"/>
          <w:b/>
          <w:color w:val="263238"/>
          <w:szCs w:val="16"/>
          <w:lang w:val="en-US"/>
        </w:rPr>
        <w:t>2014</w:t>
      </w:r>
      <w:r w:rsidRPr="007E11BE">
        <w:rPr>
          <w:rFonts w:ascii="Arial" w:eastAsia="Times New Roman" w:hAnsi="Arial" w:cs="Arial"/>
          <w:bCs/>
          <w:color w:val="263238"/>
          <w:szCs w:val="16"/>
          <w:lang w:val="en-US"/>
        </w:rPr>
        <w:t>,</w:t>
      </w:r>
      <w:r w:rsidRPr="007E11BE">
        <w:rPr>
          <w:rFonts w:ascii="Arial" w:eastAsia="Times New Roman" w:hAnsi="Arial" w:cs="Arial"/>
          <w:color w:val="263238"/>
          <w:szCs w:val="16"/>
          <w:lang w:val="en-US"/>
        </w:rPr>
        <w:t xml:space="preserve"> </w:t>
      </w:r>
      <w:r w:rsidRPr="007E11BE">
        <w:rPr>
          <w:rFonts w:ascii="Arial" w:eastAsia="Times New Roman" w:hAnsi="Arial" w:cs="Arial"/>
          <w:i/>
          <w:iCs/>
          <w:color w:val="263238"/>
          <w:szCs w:val="16"/>
          <w:lang w:val="en-US"/>
        </w:rPr>
        <w:t>9</w:t>
      </w:r>
      <w:r w:rsidRPr="007E11BE">
        <w:rPr>
          <w:rFonts w:ascii="Arial" w:eastAsia="Times New Roman" w:hAnsi="Arial" w:cs="Arial"/>
          <w:color w:val="263238"/>
          <w:szCs w:val="16"/>
          <w:lang w:val="en-US"/>
        </w:rPr>
        <w:t>, e90752. DOI: 10.1371/journal.pone.0090752</w:t>
      </w:r>
    </w:p>
    <w:p w:rsidR="00A00249" w:rsidRPr="007E11BE" w:rsidRDefault="00A00249" w:rsidP="00A00249">
      <w:pPr>
        <w:widowControl w:val="0"/>
        <w:spacing w:after="0" w:line="240" w:lineRule="auto"/>
        <w:jc w:val="both"/>
        <w:rPr>
          <w:rFonts w:ascii="Arial" w:eastAsia="Times New Roman" w:hAnsi="Arial" w:cs="Arial"/>
          <w:color w:val="263238"/>
          <w:szCs w:val="16"/>
          <w:lang w:val="en-US"/>
        </w:rPr>
      </w:pPr>
      <w:r w:rsidRPr="007E11BE">
        <w:rPr>
          <w:rFonts w:ascii="Arial" w:eastAsia="Times New Roman" w:hAnsi="Arial" w:cs="Arial"/>
          <w:color w:val="263238"/>
          <w:szCs w:val="16"/>
          <w:lang w:val="en-US"/>
        </w:rPr>
        <w:t xml:space="preserve">D. N. Louis, A. Perry, P. </w:t>
      </w:r>
      <w:proofErr w:type="spellStart"/>
      <w:r w:rsidRPr="007E11BE">
        <w:rPr>
          <w:rFonts w:ascii="Arial" w:eastAsia="Times New Roman" w:hAnsi="Arial" w:cs="Arial"/>
          <w:color w:val="263238"/>
          <w:szCs w:val="16"/>
          <w:lang w:val="en-US"/>
        </w:rPr>
        <w:t>Wesseling</w:t>
      </w:r>
      <w:proofErr w:type="spellEnd"/>
      <w:r w:rsidRPr="007E11BE">
        <w:rPr>
          <w:rFonts w:ascii="Arial" w:eastAsia="Times New Roman" w:hAnsi="Arial" w:cs="Arial"/>
          <w:color w:val="263238"/>
          <w:szCs w:val="16"/>
          <w:lang w:val="en-US"/>
        </w:rPr>
        <w:t xml:space="preserve">, D. J. Brat, I. A. Cree, D. </w:t>
      </w:r>
      <w:proofErr w:type="spellStart"/>
      <w:r w:rsidRPr="007E11BE">
        <w:rPr>
          <w:rFonts w:ascii="Arial" w:eastAsia="Times New Roman" w:hAnsi="Arial" w:cs="Arial"/>
          <w:color w:val="263238"/>
          <w:szCs w:val="16"/>
          <w:lang w:val="en-US"/>
        </w:rPr>
        <w:t>Figarella-Branger</w:t>
      </w:r>
      <w:proofErr w:type="spellEnd"/>
      <w:r w:rsidRPr="007E11BE">
        <w:rPr>
          <w:rFonts w:ascii="Arial" w:eastAsia="Times New Roman" w:hAnsi="Arial" w:cs="Arial"/>
          <w:color w:val="263238"/>
          <w:szCs w:val="16"/>
          <w:lang w:val="en-US"/>
        </w:rPr>
        <w:t xml:space="preserve">, C. Hawkins, H. K. Ng, S. M. </w:t>
      </w:r>
      <w:proofErr w:type="spellStart"/>
      <w:r w:rsidRPr="007E11BE">
        <w:rPr>
          <w:rFonts w:ascii="Arial" w:eastAsia="Times New Roman" w:hAnsi="Arial" w:cs="Arial"/>
          <w:color w:val="263238"/>
          <w:szCs w:val="16"/>
          <w:lang w:val="en-US"/>
        </w:rPr>
        <w:t>Pfister</w:t>
      </w:r>
      <w:proofErr w:type="spellEnd"/>
      <w:r w:rsidRPr="007E11BE">
        <w:rPr>
          <w:rFonts w:ascii="Arial" w:eastAsia="Times New Roman" w:hAnsi="Arial" w:cs="Arial"/>
          <w:color w:val="263238"/>
          <w:szCs w:val="16"/>
          <w:lang w:val="en-US"/>
        </w:rPr>
        <w:t xml:space="preserve">, G. </w:t>
      </w:r>
      <w:proofErr w:type="spellStart"/>
      <w:r w:rsidRPr="007E11BE">
        <w:rPr>
          <w:rFonts w:ascii="Arial" w:eastAsia="Times New Roman" w:hAnsi="Arial" w:cs="Arial"/>
          <w:color w:val="263238"/>
          <w:szCs w:val="16"/>
          <w:lang w:val="en-US"/>
        </w:rPr>
        <w:t>Reifenberger</w:t>
      </w:r>
      <w:proofErr w:type="spellEnd"/>
      <w:r w:rsidRPr="007E11BE">
        <w:rPr>
          <w:rFonts w:ascii="Arial" w:eastAsia="Times New Roman" w:hAnsi="Arial" w:cs="Arial"/>
          <w:color w:val="263238"/>
          <w:szCs w:val="16"/>
          <w:lang w:val="en-US"/>
        </w:rPr>
        <w:t xml:space="preserve">, R. </w:t>
      </w:r>
      <w:proofErr w:type="spellStart"/>
      <w:r w:rsidRPr="007E11BE">
        <w:rPr>
          <w:rFonts w:ascii="Arial" w:eastAsia="Times New Roman" w:hAnsi="Arial" w:cs="Arial"/>
          <w:color w:val="263238"/>
          <w:szCs w:val="16"/>
          <w:lang w:val="en-US"/>
        </w:rPr>
        <w:t>Soffietti</w:t>
      </w:r>
      <w:proofErr w:type="spellEnd"/>
      <w:r w:rsidRPr="007E11BE">
        <w:rPr>
          <w:rFonts w:ascii="Arial" w:eastAsia="Times New Roman" w:hAnsi="Arial" w:cs="Arial"/>
          <w:color w:val="263238"/>
          <w:szCs w:val="16"/>
          <w:lang w:val="en-US"/>
        </w:rPr>
        <w:t xml:space="preserve">, A. von </w:t>
      </w:r>
      <w:proofErr w:type="spellStart"/>
      <w:r w:rsidRPr="007E11BE">
        <w:rPr>
          <w:rFonts w:ascii="Arial" w:eastAsia="Times New Roman" w:hAnsi="Arial" w:cs="Arial"/>
          <w:color w:val="263238"/>
          <w:szCs w:val="16"/>
          <w:lang w:val="en-US"/>
        </w:rPr>
        <w:t>Deimling</w:t>
      </w:r>
      <w:proofErr w:type="spellEnd"/>
      <w:r w:rsidRPr="007E11BE">
        <w:rPr>
          <w:rFonts w:ascii="Arial" w:eastAsia="Times New Roman" w:hAnsi="Arial" w:cs="Arial"/>
          <w:color w:val="263238"/>
          <w:szCs w:val="16"/>
          <w:lang w:val="en-US"/>
        </w:rPr>
        <w:t xml:space="preserve">, D. W. Ellison, </w:t>
      </w:r>
      <w:proofErr w:type="spellStart"/>
      <w:r w:rsidRPr="007E11BE">
        <w:rPr>
          <w:rFonts w:ascii="Arial" w:eastAsia="Times New Roman" w:hAnsi="Arial" w:cs="Arial"/>
          <w:i/>
          <w:color w:val="263238"/>
          <w:szCs w:val="16"/>
          <w:lang w:val="en-US"/>
        </w:rPr>
        <w:t>Neuro</w:t>
      </w:r>
      <w:proofErr w:type="spellEnd"/>
      <w:r w:rsidRPr="007E11BE">
        <w:rPr>
          <w:rFonts w:ascii="Arial" w:eastAsia="Times New Roman" w:hAnsi="Arial" w:cs="Arial"/>
          <w:i/>
          <w:color w:val="263238"/>
          <w:szCs w:val="16"/>
          <w:lang w:val="en-US"/>
        </w:rPr>
        <w:t>-Oncology</w:t>
      </w:r>
      <w:r w:rsidRPr="007E11BE">
        <w:rPr>
          <w:rFonts w:ascii="Arial" w:eastAsia="Times New Roman" w:hAnsi="Arial" w:cs="Arial"/>
          <w:iCs/>
          <w:color w:val="263238"/>
          <w:szCs w:val="16"/>
          <w:lang w:val="en-US"/>
        </w:rPr>
        <w:t>,</w:t>
      </w:r>
      <w:r w:rsidRPr="007E11BE">
        <w:rPr>
          <w:rFonts w:ascii="Arial" w:eastAsia="Times New Roman" w:hAnsi="Arial" w:cs="Arial"/>
          <w:color w:val="263238"/>
          <w:szCs w:val="16"/>
          <w:lang w:val="en-US"/>
        </w:rPr>
        <w:t xml:space="preserve"> </w:t>
      </w:r>
      <w:r w:rsidRPr="007E11BE">
        <w:rPr>
          <w:rFonts w:ascii="Arial" w:eastAsia="Times New Roman" w:hAnsi="Arial" w:cs="Arial"/>
          <w:b/>
          <w:color w:val="263238"/>
          <w:szCs w:val="16"/>
          <w:lang w:val="en-US"/>
        </w:rPr>
        <w:t>2021</w:t>
      </w:r>
      <w:r w:rsidRPr="007E11BE">
        <w:rPr>
          <w:rFonts w:ascii="Arial" w:eastAsia="Times New Roman" w:hAnsi="Arial" w:cs="Arial"/>
          <w:bCs/>
          <w:color w:val="263238"/>
          <w:szCs w:val="16"/>
          <w:lang w:val="en-US"/>
        </w:rPr>
        <w:t>,</w:t>
      </w:r>
      <w:r w:rsidRPr="007E11BE">
        <w:rPr>
          <w:rFonts w:ascii="Arial" w:eastAsia="Times New Roman" w:hAnsi="Arial" w:cs="Arial"/>
          <w:color w:val="263238"/>
          <w:szCs w:val="16"/>
          <w:lang w:val="en-US"/>
        </w:rPr>
        <w:t xml:space="preserve"> </w:t>
      </w:r>
      <w:r w:rsidRPr="007E11BE">
        <w:rPr>
          <w:rFonts w:ascii="Arial" w:eastAsia="Times New Roman" w:hAnsi="Arial" w:cs="Arial"/>
          <w:i/>
          <w:iCs/>
          <w:color w:val="263238"/>
          <w:szCs w:val="16"/>
          <w:lang w:val="en-US"/>
        </w:rPr>
        <w:t>23</w:t>
      </w:r>
      <w:r w:rsidRPr="007E11BE">
        <w:rPr>
          <w:rFonts w:ascii="Arial" w:eastAsia="Times New Roman" w:hAnsi="Arial" w:cs="Arial"/>
          <w:color w:val="263238"/>
          <w:szCs w:val="16"/>
          <w:lang w:val="en-US"/>
        </w:rPr>
        <w:t>, 1231–1251. DOI: 10.1093/</w:t>
      </w:r>
      <w:proofErr w:type="spellStart"/>
      <w:r w:rsidRPr="007E11BE">
        <w:rPr>
          <w:rFonts w:ascii="Arial" w:eastAsia="Times New Roman" w:hAnsi="Arial" w:cs="Arial"/>
          <w:color w:val="263238"/>
          <w:szCs w:val="16"/>
          <w:lang w:val="en-US"/>
        </w:rPr>
        <w:t>neuonc</w:t>
      </w:r>
      <w:proofErr w:type="spellEnd"/>
      <w:r w:rsidRPr="007E11BE">
        <w:rPr>
          <w:rFonts w:ascii="Arial" w:eastAsia="Times New Roman" w:hAnsi="Arial" w:cs="Arial"/>
          <w:color w:val="263238"/>
          <w:szCs w:val="16"/>
          <w:lang w:val="en-US"/>
        </w:rPr>
        <w:t>/noab106</w:t>
      </w:r>
    </w:p>
    <w:p w:rsidR="001704B0" w:rsidRPr="007E11BE" w:rsidRDefault="00A00249" w:rsidP="00A00249">
      <w:pPr>
        <w:pStyle w:val="htmlparentstyle"/>
        <w:spacing w:line="240" w:lineRule="auto"/>
        <w:rPr>
          <w:rFonts w:cs="Arial"/>
          <w:sz w:val="32"/>
          <w:lang w:val="en-US"/>
        </w:rPr>
      </w:pPr>
      <w:r w:rsidRPr="007E11BE">
        <w:rPr>
          <w:rFonts w:eastAsia="Times New Roman" w:cs="Arial"/>
          <w:bCs/>
          <w:szCs w:val="16"/>
          <w:lang w:val="en-US"/>
        </w:rPr>
        <w:t xml:space="preserve">A. N. </w:t>
      </w:r>
      <w:proofErr w:type="spellStart"/>
      <w:r w:rsidRPr="007E11BE">
        <w:rPr>
          <w:rFonts w:eastAsia="Times New Roman" w:cs="Arial"/>
          <w:bCs/>
          <w:szCs w:val="16"/>
          <w:lang w:val="en-US"/>
        </w:rPr>
        <w:t>Berlina</w:t>
      </w:r>
      <w:proofErr w:type="spellEnd"/>
      <w:r w:rsidRPr="007E11BE">
        <w:rPr>
          <w:rFonts w:eastAsia="Times New Roman" w:cs="Arial"/>
          <w:bCs/>
          <w:szCs w:val="16"/>
          <w:lang w:val="en-US"/>
        </w:rPr>
        <w:t xml:space="preserve">, N. A. </w:t>
      </w:r>
      <w:proofErr w:type="spellStart"/>
      <w:r w:rsidRPr="007E11BE">
        <w:rPr>
          <w:rFonts w:eastAsia="Times New Roman" w:cs="Arial"/>
          <w:bCs/>
          <w:szCs w:val="16"/>
          <w:lang w:val="en-US"/>
        </w:rPr>
        <w:t>Taranova</w:t>
      </w:r>
      <w:proofErr w:type="spellEnd"/>
      <w:r w:rsidRPr="007E11BE">
        <w:rPr>
          <w:rFonts w:eastAsia="Times New Roman" w:cs="Arial"/>
          <w:bCs/>
          <w:szCs w:val="16"/>
          <w:lang w:val="en-US"/>
        </w:rPr>
        <w:t xml:space="preserve">, A. V. </w:t>
      </w:r>
      <w:proofErr w:type="spellStart"/>
      <w:r w:rsidRPr="007E11BE">
        <w:rPr>
          <w:rFonts w:eastAsia="Times New Roman" w:cs="Arial"/>
          <w:bCs/>
          <w:szCs w:val="16"/>
          <w:lang w:val="en-US"/>
        </w:rPr>
        <w:t>Zherdev</w:t>
      </w:r>
      <w:proofErr w:type="spellEnd"/>
      <w:r w:rsidRPr="007E11BE">
        <w:rPr>
          <w:rFonts w:eastAsia="Times New Roman" w:cs="Arial"/>
          <w:bCs/>
          <w:szCs w:val="16"/>
          <w:lang w:val="en-US"/>
        </w:rPr>
        <w:t xml:space="preserve">, Yu. Y. </w:t>
      </w:r>
      <w:proofErr w:type="spellStart"/>
      <w:r w:rsidRPr="007E11BE">
        <w:rPr>
          <w:rFonts w:eastAsia="Times New Roman" w:cs="Arial"/>
          <w:bCs/>
          <w:szCs w:val="16"/>
          <w:lang w:val="en-US"/>
        </w:rPr>
        <w:t>Vengerov</w:t>
      </w:r>
      <w:proofErr w:type="spellEnd"/>
      <w:r w:rsidRPr="007E11BE">
        <w:rPr>
          <w:rFonts w:eastAsia="Times New Roman" w:cs="Arial"/>
          <w:bCs/>
          <w:szCs w:val="16"/>
          <w:lang w:val="en-US"/>
        </w:rPr>
        <w:t xml:space="preserve">, B. B. </w:t>
      </w:r>
      <w:proofErr w:type="spellStart"/>
      <w:r w:rsidRPr="007E11BE">
        <w:rPr>
          <w:rFonts w:eastAsia="Times New Roman" w:cs="Arial"/>
          <w:bCs/>
          <w:szCs w:val="16"/>
          <w:lang w:val="en-US"/>
        </w:rPr>
        <w:t>Dzantiev</w:t>
      </w:r>
      <w:proofErr w:type="spellEnd"/>
      <w:r w:rsidRPr="007E11BE">
        <w:rPr>
          <w:rFonts w:eastAsia="Times New Roman" w:cs="Arial"/>
          <w:bCs/>
          <w:szCs w:val="16"/>
          <w:lang w:val="en-US"/>
        </w:rPr>
        <w:t xml:space="preserve">, </w:t>
      </w:r>
      <w:r w:rsidRPr="007E11BE">
        <w:rPr>
          <w:rFonts w:eastAsia="Times New Roman" w:cs="Arial"/>
          <w:bCs/>
          <w:i/>
          <w:szCs w:val="16"/>
          <w:lang w:val="en-US"/>
        </w:rPr>
        <w:t xml:space="preserve">Anal. </w:t>
      </w:r>
      <w:proofErr w:type="spellStart"/>
      <w:proofErr w:type="gramStart"/>
      <w:r w:rsidRPr="007E11BE">
        <w:rPr>
          <w:rFonts w:eastAsia="Times New Roman" w:cs="Arial"/>
          <w:bCs/>
          <w:i/>
          <w:szCs w:val="16"/>
          <w:lang w:val="en-US"/>
        </w:rPr>
        <w:t>Bioanal</w:t>
      </w:r>
      <w:proofErr w:type="spellEnd"/>
      <w:r w:rsidRPr="007E11BE">
        <w:rPr>
          <w:rFonts w:eastAsia="Times New Roman" w:cs="Arial"/>
          <w:bCs/>
          <w:i/>
          <w:szCs w:val="16"/>
          <w:lang w:val="en-US"/>
        </w:rPr>
        <w:t>.</w:t>
      </w:r>
      <w:proofErr w:type="gramEnd"/>
      <w:r w:rsidRPr="007E11BE">
        <w:rPr>
          <w:rFonts w:eastAsia="Times New Roman" w:cs="Arial"/>
          <w:bCs/>
          <w:i/>
          <w:szCs w:val="16"/>
          <w:lang w:val="en-US"/>
        </w:rPr>
        <w:t xml:space="preserve"> Chem.</w:t>
      </w:r>
      <w:r w:rsidRPr="007E11BE">
        <w:rPr>
          <w:rFonts w:eastAsia="Times New Roman" w:cs="Arial"/>
          <w:bCs/>
          <w:iCs/>
          <w:szCs w:val="16"/>
          <w:lang w:val="en-US"/>
        </w:rPr>
        <w:t xml:space="preserve">, </w:t>
      </w:r>
      <w:r w:rsidRPr="007E11BE">
        <w:rPr>
          <w:rFonts w:eastAsia="Times New Roman" w:cs="Arial"/>
          <w:szCs w:val="16"/>
          <w:lang w:val="en-US"/>
        </w:rPr>
        <w:t>2013</w:t>
      </w:r>
      <w:r w:rsidRPr="007E11BE">
        <w:rPr>
          <w:rFonts w:eastAsia="Times New Roman" w:cs="Arial"/>
          <w:bCs/>
          <w:szCs w:val="16"/>
          <w:lang w:val="en-US"/>
        </w:rPr>
        <w:t xml:space="preserve">, </w:t>
      </w:r>
      <w:r w:rsidRPr="007E11BE">
        <w:rPr>
          <w:rFonts w:eastAsia="Times New Roman" w:cs="Arial"/>
          <w:bCs/>
          <w:i/>
          <w:iCs/>
          <w:szCs w:val="16"/>
          <w:lang w:val="en-US"/>
        </w:rPr>
        <w:t>405</w:t>
      </w:r>
      <w:r w:rsidRPr="007E11BE">
        <w:rPr>
          <w:rFonts w:eastAsia="Times New Roman" w:cs="Arial"/>
          <w:bCs/>
          <w:szCs w:val="16"/>
          <w:lang w:val="en-US"/>
        </w:rPr>
        <w:t xml:space="preserve">, 4997–5000. </w:t>
      </w:r>
      <w:r w:rsidRPr="007E11BE">
        <w:rPr>
          <w:rFonts w:cs="Arial"/>
          <w:bCs/>
          <w:szCs w:val="16"/>
          <w:lang w:val="en-US"/>
        </w:rPr>
        <w:t>DOI: 10.1007/s00216-013-6876-3</w:t>
      </w:r>
    </w:p>
    <w:sectPr w:rsidR="001704B0" w:rsidRPr="007E11BE"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845" w:rsidRDefault="006B6845" w:rsidP="00427E5A">
      <w:pPr>
        <w:spacing w:after="0" w:line="240" w:lineRule="auto"/>
      </w:pPr>
      <w:r>
        <w:separator/>
      </w:r>
    </w:p>
    <w:p w:rsidR="006B6845" w:rsidRDefault="006B6845"/>
  </w:endnote>
  <w:endnote w:type="continuationSeparator" w:id="0">
    <w:p w:rsidR="006B6845" w:rsidRDefault="006B6845" w:rsidP="00427E5A">
      <w:pPr>
        <w:spacing w:after="0" w:line="240" w:lineRule="auto"/>
      </w:pPr>
      <w:r>
        <w:continuationSeparator/>
      </w:r>
    </w:p>
    <w:p w:rsidR="006B6845" w:rsidRDefault="006B684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845" w:rsidRDefault="006B6845" w:rsidP="00427E5A">
      <w:pPr>
        <w:spacing w:after="0" w:line="240" w:lineRule="auto"/>
      </w:pPr>
      <w:r>
        <w:separator/>
      </w:r>
    </w:p>
    <w:p w:rsidR="006B6845" w:rsidRDefault="006B6845"/>
  </w:footnote>
  <w:footnote w:type="continuationSeparator" w:id="0">
    <w:p w:rsidR="006B6845" w:rsidRDefault="006B6845" w:rsidP="00427E5A">
      <w:pPr>
        <w:spacing w:after="0" w:line="240" w:lineRule="auto"/>
      </w:pPr>
      <w:r>
        <w:continuationSeparator/>
      </w:r>
    </w:p>
    <w:p w:rsidR="006B6845" w:rsidRDefault="006B6845"/>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1A9A"/>
    <w:rsid w:val="005D5E3B"/>
    <w:rsid w:val="005E76C3"/>
    <w:rsid w:val="005F5908"/>
    <w:rsid w:val="00605F7B"/>
    <w:rsid w:val="00607EA3"/>
    <w:rsid w:val="006118F4"/>
    <w:rsid w:val="00615AB2"/>
    <w:rsid w:val="00616518"/>
    <w:rsid w:val="00622DF1"/>
    <w:rsid w:val="0062694E"/>
    <w:rsid w:val="006370EF"/>
    <w:rsid w:val="006416C1"/>
    <w:rsid w:val="0064267C"/>
    <w:rsid w:val="0065245B"/>
    <w:rsid w:val="00665B7C"/>
    <w:rsid w:val="0066642B"/>
    <w:rsid w:val="00676DA8"/>
    <w:rsid w:val="00683408"/>
    <w:rsid w:val="0068399D"/>
    <w:rsid w:val="0068614A"/>
    <w:rsid w:val="006A366E"/>
    <w:rsid w:val="006A515C"/>
    <w:rsid w:val="006B267D"/>
    <w:rsid w:val="006B6845"/>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1ECD"/>
    <w:rsid w:val="007D23E1"/>
    <w:rsid w:val="007D3F5F"/>
    <w:rsid w:val="007E04CF"/>
    <w:rsid w:val="007E11A6"/>
    <w:rsid w:val="007E11BE"/>
    <w:rsid w:val="007F093C"/>
    <w:rsid w:val="007F44EE"/>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0249"/>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3BF"/>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177E"/>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styleId="af0">
    <w:name w:val="header"/>
    <w:basedOn w:val="a"/>
    <w:link w:val="af1"/>
    <w:uiPriority w:val="99"/>
    <w:unhideWhenUsed/>
    <w:rsid w:val="005D1A9A"/>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D1A9A"/>
  </w:style>
  <w:style w:type="paragraph" w:customStyle="1" w:styleId="Affiliations">
    <w:name w:val="Affiliations"/>
    <w:basedOn w:val="a"/>
    <w:link w:val="Affiliations0"/>
    <w:qFormat/>
    <w:rsid w:val="005D1A9A"/>
    <w:pPr>
      <w:spacing w:after="0" w:line="240" w:lineRule="auto"/>
      <w:ind w:left="-13"/>
      <w:jc w:val="center"/>
    </w:pPr>
    <w:rPr>
      <w:rFonts w:ascii="Times New Roman" w:hAnsi="Times New Roman"/>
      <w:i/>
      <w:color w:val="000000"/>
      <w:sz w:val="20"/>
      <w:szCs w:val="20"/>
      <w:lang w:val="it-IT"/>
    </w:rPr>
  </w:style>
  <w:style w:type="character" w:customStyle="1" w:styleId="Affiliations0">
    <w:name w:val="Affiliations Знак"/>
    <w:basedOn w:val="a0"/>
    <w:link w:val="Affiliations"/>
    <w:rsid w:val="005D1A9A"/>
    <w:rPr>
      <w:rFonts w:ascii="Times New Roman" w:hAnsi="Times New Roman"/>
      <w:i/>
      <w:color w:val="000000"/>
      <w:sz w:val="20"/>
      <w:szCs w:val="20"/>
      <w:lang w:val="it-IT"/>
    </w:rPr>
  </w:style>
  <w:style w:type="paragraph" w:customStyle="1" w:styleId="Header1">
    <w:name w:val="Header 1"/>
    <w:basedOn w:val="a"/>
    <w:link w:val="Header10"/>
    <w:qFormat/>
    <w:rsid w:val="00A00249"/>
    <w:pPr>
      <w:spacing w:before="200"/>
    </w:pPr>
    <w:rPr>
      <w:rFonts w:ascii="Arial" w:hAnsi="Arial" w:cs="Arial"/>
      <w:b/>
      <w:lang w:val="en-US"/>
    </w:rPr>
  </w:style>
  <w:style w:type="paragraph" w:customStyle="1" w:styleId="MainText">
    <w:name w:val="Main Text"/>
    <w:basedOn w:val="a"/>
    <w:link w:val="MainText0"/>
    <w:qFormat/>
    <w:rsid w:val="00A00249"/>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A00249"/>
    <w:rPr>
      <w:rFonts w:ascii="Arial" w:hAnsi="Arial" w:cs="Arial"/>
      <w:b/>
      <w:lang w:val="en-US"/>
    </w:rPr>
  </w:style>
  <w:style w:type="character" w:customStyle="1" w:styleId="MainText0">
    <w:name w:val="Main Text Знак"/>
    <w:basedOn w:val="a0"/>
    <w:link w:val="MainText"/>
    <w:rsid w:val="00A00249"/>
    <w:rPr>
      <w:rFonts w:ascii="Times New Roman" w:hAnsi="Times New Roman" w:cs="Times New Roman"/>
      <w:sz w:val="18"/>
      <w:szCs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21860-F9AB-4036-8916-13FCFD30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1206</Words>
  <Characters>6880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34</cp:revision>
  <dcterms:created xsi:type="dcterms:W3CDTF">2025-07-01T17:14:00Z</dcterms:created>
  <dcterms:modified xsi:type="dcterms:W3CDTF">2025-07-19T16:05:00Z</dcterms:modified>
</cp:coreProperties>
</file>