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6"/>
        <w:gridCol w:w="2514"/>
        <w:gridCol w:w="4673"/>
      </w:tblGrid>
      <w:tr w:rsidR="008622A1" w:rsidRPr="00395AFF" w14:paraId="66AC2F08" w14:textId="77777777" w:rsidTr="00D01155">
        <w:trPr>
          <w:trHeight w:val="516"/>
        </w:trPr>
        <w:tc>
          <w:tcPr>
            <w:tcW w:w="1242" w:type="dxa"/>
            <w:vAlign w:val="center"/>
          </w:tcPr>
          <w:p w14:paraId="0294159F" w14:textId="77777777" w:rsidR="008622A1" w:rsidRPr="00D71473" w:rsidRDefault="001B0919" w:rsidP="00D01155">
            <w:pPr>
              <w:pStyle w:val="MainText"/>
              <w:ind w:firstLine="4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8A9C8EE" wp14:editId="448E0A6F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060E1E47" w14:textId="77777777" w:rsidR="008622A1" w:rsidRPr="00D71473" w:rsidRDefault="00D01155" w:rsidP="00D01155">
            <w:pPr>
              <w:pStyle w:val="11"/>
            </w:pPr>
            <w:bookmarkStart w:id="0" w:name="_Hlk176771373"/>
            <w:r>
              <w:t>sInthesIs of nonconjugated TADF polymers</w:t>
            </w:r>
            <w:r>
              <w:br/>
              <w:t>WITH different main chains</w:t>
            </w:r>
            <w:bookmarkEnd w:id="0"/>
          </w:p>
        </w:tc>
      </w:tr>
      <w:tr w:rsidR="00D71473" w:rsidRPr="00395AFF" w14:paraId="4C641C09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695414D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56F71E1C" w14:textId="77777777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9823C7">
              <w:rPr>
                <w:b/>
              </w:rPr>
              <w:t>25</w:t>
            </w:r>
            <w:r w:rsidRPr="00941F8C">
              <w:t xml:space="preserve">, </w:t>
            </w:r>
            <w:r w:rsidR="009823C7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9823C7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614AEAD1" w14:textId="77777777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14:paraId="121F3B2E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532E12BA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9823C7">
              <w:rPr>
                <w:i/>
                <w:szCs w:val="14"/>
                <w:highlight w:val="green"/>
              </w:rPr>
              <w:t xml:space="preserve">Received </w:t>
            </w:r>
            <w:r w:rsidR="008E062B" w:rsidRPr="009823C7">
              <w:rPr>
                <w:i/>
                <w:szCs w:val="14"/>
                <w:highlight w:val="green"/>
              </w:rPr>
              <w:t>XX</w:t>
            </w:r>
            <w:r w:rsidRPr="009823C7">
              <w:rPr>
                <w:i/>
                <w:szCs w:val="14"/>
                <w:highlight w:val="green"/>
              </w:rPr>
              <w:t xml:space="preserve"> </w:t>
            </w:r>
            <w:r w:rsidR="008E062B" w:rsidRPr="009823C7">
              <w:rPr>
                <w:i/>
                <w:szCs w:val="14"/>
                <w:highlight w:val="green"/>
              </w:rPr>
              <w:t>Month</w:t>
            </w:r>
            <w:r w:rsidRPr="009823C7">
              <w:rPr>
                <w:i/>
                <w:szCs w:val="14"/>
                <w:highlight w:val="green"/>
              </w:rPr>
              <w:t xml:space="preserve"> 2</w:t>
            </w:r>
            <w:r w:rsidR="008E062B" w:rsidRPr="009823C7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29913A32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9823C7">
              <w:rPr>
                <w:i/>
                <w:szCs w:val="14"/>
              </w:rPr>
              <w:t>13 April</w:t>
            </w:r>
            <w:r w:rsidR="008E062B">
              <w:rPr>
                <w:i/>
                <w:szCs w:val="14"/>
              </w:rPr>
              <w:t xml:space="preserve"> 20</w:t>
            </w:r>
            <w:r w:rsidR="009823C7">
              <w:rPr>
                <w:i/>
                <w:szCs w:val="14"/>
              </w:rPr>
              <w:t>25</w:t>
            </w:r>
          </w:p>
          <w:p w14:paraId="437254B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14291EC4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088E0BB7" w14:textId="106498D5" w:rsidR="00D71473" w:rsidRPr="00D71473" w:rsidRDefault="009823C7" w:rsidP="007516EA">
            <w:pPr>
              <w:pStyle w:val="AuthorNames"/>
              <w:ind w:left="0"/>
            </w:pPr>
            <w:r>
              <w:t>R. A. Polyakov,* O. V. Borshchev</w:t>
            </w:r>
            <w:r w:rsidR="00395AFF">
              <w:t>,</w:t>
            </w:r>
            <w:r>
              <w:t xml:space="preserve"> and S. A. Ponomarenko</w:t>
            </w:r>
          </w:p>
        </w:tc>
      </w:tr>
      <w:tr w:rsidR="00D71473" w:rsidRPr="00D01155" w14:paraId="0BA0067B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379453B8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505C9A80" w14:textId="77777777" w:rsidR="00D71473" w:rsidRDefault="009823C7" w:rsidP="009823C7">
            <w:pPr>
              <w:pStyle w:val="Affiliations"/>
              <w:ind w:left="0"/>
            </w:pPr>
            <w:r>
              <w:rPr>
                <w:rFonts w:cs="Times New Roman"/>
              </w:rPr>
              <w:t>Institute of Synthetic Polymeric Materials, Russian Academy of Sciences,</w:t>
            </w:r>
            <w:r>
              <w:rPr>
                <w:rFonts w:cs="Times New Roman"/>
              </w:rPr>
              <w:br/>
              <w:t>ul. Profsoyuznaya 70, Moscow, 117393 Russia</w:t>
            </w:r>
          </w:p>
        </w:tc>
      </w:tr>
      <w:tr w:rsidR="00CD6FAC" w:rsidRPr="00D01155" w14:paraId="4BD0FA81" w14:textId="77777777" w:rsidTr="00DF4999">
        <w:tc>
          <w:tcPr>
            <w:tcW w:w="4962" w:type="dxa"/>
            <w:gridSpan w:val="3"/>
          </w:tcPr>
          <w:p w14:paraId="15255854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54BA5878" w14:textId="085D6A19" w:rsidR="00CD6FAC" w:rsidRDefault="00D64490" w:rsidP="00D64490">
            <w:pPr>
              <w:pStyle w:val="MainText"/>
              <w:ind w:firstLine="284"/>
            </w:pPr>
            <w:r>
              <w:t>P</w:t>
            </w:r>
            <w:r w:rsidR="009823C7">
              <w:t xml:space="preserve">olysiloxane and polystyrene main-chain polymers </w:t>
            </w:r>
            <w:r w:rsidR="00192A5A">
              <w:t>were synthesized and investigated</w:t>
            </w:r>
            <w:r w:rsidR="00192A5A">
              <w:t xml:space="preserve"> that </w:t>
            </w:r>
            <w:r w:rsidR="009823C7">
              <w:t>contain the same side chains from the moieties responsible for thermal</w:t>
            </w:r>
            <w:r>
              <w:t>ly</w:t>
            </w:r>
            <w:r w:rsidR="009823C7">
              <w:t xml:space="preserve"> activated delayed fluorescence (TADF) at different ratios. It was shown that </w:t>
            </w:r>
            <w:r w:rsidR="00192A5A">
              <w:t xml:space="preserve">the </w:t>
            </w:r>
            <w:r w:rsidR="009823C7">
              <w:t>polysiloxane and polystyrene main-chain polymers can be obtained from the same TADF monomers by polymer analogues reaction</w:t>
            </w:r>
            <w:r w:rsidR="00192A5A">
              <w:t>s</w:t>
            </w:r>
            <w:r w:rsidR="009823C7">
              <w:t xml:space="preserve"> of hydrosilylation with </w:t>
            </w:r>
            <w:proofErr w:type="spellStart"/>
            <w:r w:rsidR="009823C7">
              <w:t>polymethylsilane</w:t>
            </w:r>
            <w:proofErr w:type="spellEnd"/>
            <w:r w:rsidR="009823C7">
              <w:t xml:space="preserve"> PMS-60 or by free-radical polymerization, respectively. Each of the polymers obtained</w:t>
            </w:r>
            <w:r w:rsidR="009823C7" w:rsidDel="00F47EB3">
              <w:t xml:space="preserve"> </w:t>
            </w:r>
            <w:r w:rsidR="009823C7">
              <w:t xml:space="preserve">was characterized </w:t>
            </w:r>
            <w:r w:rsidR="00B4719E">
              <w:t>using</w:t>
            </w:r>
            <w:r w:rsidR="009823C7">
              <w:t xml:space="preserve"> gel permeation chromatography (GPC) and thermogravimetric analysis (TGA). </w:t>
            </w:r>
            <w:r w:rsidR="00B4719E">
              <w:t>The g</w:t>
            </w:r>
            <w:r w:rsidR="009823C7">
              <w:t xml:space="preserve">eneral conclusions of the </w:t>
            </w:r>
            <w:r w:rsidR="00B4719E">
              <w:t>comparative studies</w:t>
            </w:r>
            <w:r w:rsidR="009823C7">
              <w:t xml:space="preserve"> </w:t>
            </w:r>
            <w:r w:rsidR="00B4719E">
              <w:t xml:space="preserve">of the polymers </w:t>
            </w:r>
            <w:r w:rsidR="009823C7">
              <w:t>are presented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14:paraId="0BE0D827" w14:textId="77777777" w:rsidR="00CD6FAC" w:rsidRDefault="009823C7" w:rsidP="005C7369">
            <w:pPr>
              <w:pStyle w:val="MainText"/>
              <w:ind w:firstLine="0"/>
              <w:jc w:val="center"/>
            </w:pPr>
            <w:r w:rsidRPr="009823C7">
              <w:rPr>
                <w:noProof/>
              </w:rPr>
              <w:drawing>
                <wp:inline distT="0" distB="0" distL="0" distR="0" wp14:anchorId="1833121A" wp14:editId="7E47D487">
                  <wp:extent cx="2628616" cy="1128957"/>
                  <wp:effectExtent l="19050" t="0" r="284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336" cy="1129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395AFF" w14:paraId="102DC3C4" w14:textId="77777777" w:rsidTr="00DF4999">
        <w:tc>
          <w:tcPr>
            <w:tcW w:w="9639" w:type="dxa"/>
            <w:gridSpan w:val="4"/>
          </w:tcPr>
          <w:p w14:paraId="2B26F265" w14:textId="77777777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9823C7">
              <w:t>TADF polymers, polystyrene, polysiloxane, molecule designing</w:t>
            </w:r>
            <w:r w:rsidRPr="0065245B">
              <w:t>.</w:t>
            </w:r>
          </w:p>
        </w:tc>
      </w:tr>
    </w:tbl>
    <w:p w14:paraId="46BBFD16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34E9086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AF39E2C" w14:textId="77777777" w:rsidR="00875175" w:rsidRPr="004A44BC" w:rsidRDefault="00427E5A" w:rsidP="00D64490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1F07E084" w14:textId="4A3D7C34" w:rsidR="00427E5A" w:rsidRPr="00F376FB" w:rsidRDefault="009823C7" w:rsidP="00071D12">
      <w:pPr>
        <w:pStyle w:val="MainText"/>
        <w:ind w:firstLine="284"/>
      </w:pPr>
      <w:r w:rsidRPr="00DD61ED">
        <w:t xml:space="preserve">Modern </w:t>
      </w:r>
      <w:r w:rsidR="00D64490">
        <w:t>displays based on organic light-</w:t>
      </w:r>
      <w:r w:rsidRPr="00DD61ED">
        <w:t>emitting diodes (OLED</w:t>
      </w:r>
      <w:r w:rsidR="00D64490">
        <w:t>s) are commonly used in</w:t>
      </w:r>
      <w:r w:rsidRPr="00DD61ED">
        <w:t xml:space="preserve"> </w:t>
      </w:r>
      <w:r w:rsidR="00D64490">
        <w:t>the production</w:t>
      </w:r>
      <w:r w:rsidR="00D64490" w:rsidRPr="00DD61ED">
        <w:t xml:space="preserve"> </w:t>
      </w:r>
      <w:r w:rsidR="00D64490">
        <w:t xml:space="preserve">of </w:t>
      </w:r>
      <w:r w:rsidRPr="00DD61ED">
        <w:t>divers</w:t>
      </w:r>
      <w:r w:rsidR="00D64490">
        <w:t xml:space="preserve">e devices. Despite </w:t>
      </w:r>
      <w:r w:rsidRPr="00DD61ED">
        <w:t>some fundamental principles</w:t>
      </w:r>
      <w:r w:rsidR="00D64490">
        <w:t>,</w:t>
      </w:r>
      <w:r w:rsidRPr="00DD61ED">
        <w:t xml:space="preserve"> their performance is restricted. These limits are performance level, period of use</w:t>
      </w:r>
      <w:r w:rsidR="00D64490">
        <w:t>,</w:t>
      </w:r>
      <w:r w:rsidRPr="00DD61ED">
        <w:t xml:space="preserve"> and thermal stability. One of the improvements is </w:t>
      </w:r>
      <w:r w:rsidR="00D64490">
        <w:t xml:space="preserve">a </w:t>
      </w:r>
      <w:r w:rsidRPr="00DD61ED">
        <w:t>transi</w:t>
      </w:r>
      <w:r w:rsidR="00D64490">
        <w:t>tion from OLEDs to polymer light-</w:t>
      </w:r>
      <w:r w:rsidRPr="00DD61ED">
        <w:t>emitting diodes (PLED</w:t>
      </w:r>
      <w:r w:rsidR="00D64490">
        <w:t>s</w:t>
      </w:r>
      <w:r w:rsidRPr="00DD61ED">
        <w:t>) with thermal</w:t>
      </w:r>
      <w:r w:rsidR="00D64490">
        <w:t>ly</w:t>
      </w:r>
      <w:r w:rsidRPr="00DD61ED">
        <w:t xml:space="preserve"> activated delayed fluorescence which can break off the external quantum efficiency (EQE) constraint and impart better device lifetime</w:t>
      </w:r>
      <w:r w:rsidR="00D64490">
        <w:t>s</w:t>
      </w:r>
      <w:r w:rsidRPr="00DD61ED">
        <w:t xml:space="preserve">. </w:t>
      </w:r>
      <w:r w:rsidR="00D64490">
        <w:t>The m</w:t>
      </w:r>
      <w:r w:rsidRPr="00DD61ED">
        <w:t>ain TADF feature is spatially separated HOMO/LUMO</w:t>
      </w:r>
      <w:r w:rsidR="001561C3">
        <w:t xml:space="preserve"> levels</w:t>
      </w:r>
      <w:r w:rsidR="00D64490">
        <w:t>,</w:t>
      </w:r>
      <w:r w:rsidRPr="00DD61ED">
        <w:t xml:space="preserve"> which </w:t>
      </w:r>
      <w:r w:rsidR="001561C3">
        <w:t>are</w:t>
      </w:r>
      <w:r w:rsidRPr="00DD61ED">
        <w:t xml:space="preserve"> located at </w:t>
      </w:r>
      <w:r w:rsidR="00D64490">
        <w:t xml:space="preserve">a </w:t>
      </w:r>
      <w:r w:rsidRPr="00DD61ED">
        <w:t>donor/acceptor (DA) pair that possesses small energy gap (</w:t>
      </w:r>
      <w:r w:rsidR="00D64490">
        <w:t>Δ</w:t>
      </w:r>
      <w:r w:rsidR="00D64490" w:rsidRPr="00D64490">
        <w:rPr>
          <w:i/>
        </w:rPr>
        <w:t>E</w:t>
      </w:r>
      <w:r w:rsidR="00D64490" w:rsidRPr="00D64490">
        <w:rPr>
          <w:vertAlign w:val="subscript"/>
        </w:rPr>
        <w:t>ST</w:t>
      </w:r>
      <w:r w:rsidRPr="0023337A">
        <w:t>) between the lowest singlet (S</w:t>
      </w:r>
      <w:r w:rsidRPr="0023337A">
        <w:rPr>
          <w:vertAlign w:val="subscript"/>
        </w:rPr>
        <w:t>1</w:t>
      </w:r>
      <w:r w:rsidRPr="0023337A">
        <w:t>) and triplet (T</w:t>
      </w:r>
      <w:r w:rsidRPr="00B910C6">
        <w:rPr>
          <w:vertAlign w:val="subscript"/>
        </w:rPr>
        <w:t>1</w:t>
      </w:r>
      <w:r w:rsidRPr="006721E8">
        <w:t xml:space="preserve">) states. This architecture determines the powered reverse intersystem crossing (RISC) and allows </w:t>
      </w:r>
      <w:r w:rsidR="00D64490">
        <w:t xml:space="preserve">for </w:t>
      </w:r>
      <w:r w:rsidRPr="006721E8">
        <w:t>improv</w:t>
      </w:r>
      <w:r w:rsidR="00D64490">
        <w:t>ing</w:t>
      </w:r>
      <w:r w:rsidRPr="006721E8">
        <w:t xml:space="preserve"> </w:t>
      </w:r>
      <w:r w:rsidRPr="0051447E">
        <w:t xml:space="preserve">the </w:t>
      </w:r>
      <w:r w:rsidRPr="0073086B">
        <w:t xml:space="preserve">performance. </w:t>
      </w:r>
      <w:r w:rsidR="00D64490">
        <w:t xml:space="preserve">Research </w:t>
      </w:r>
      <w:r w:rsidRPr="0073086B">
        <w:t xml:space="preserve">efforts </w:t>
      </w:r>
      <w:r w:rsidR="00D64490">
        <w:t xml:space="preserve">in this field </w:t>
      </w:r>
      <w:r w:rsidRPr="0073086B">
        <w:t xml:space="preserve">have </w:t>
      </w:r>
      <w:r w:rsidR="00D64490">
        <w:t>afforde</w:t>
      </w:r>
      <w:r w:rsidRPr="0073086B">
        <w:t xml:space="preserve">d </w:t>
      </w:r>
      <w:r w:rsidR="00D64490">
        <w:t>the</w:t>
      </w:r>
      <w:r w:rsidRPr="0073086B">
        <w:t xml:space="preserve"> DA pairs like acridan/</w:t>
      </w:r>
      <w:proofErr w:type="spellStart"/>
      <w:r w:rsidRPr="0073086B">
        <w:t>triph</w:t>
      </w:r>
      <w:r w:rsidR="00D64490">
        <w:t>enyltriazine</w:t>
      </w:r>
      <w:proofErr w:type="spellEnd"/>
      <w:r w:rsidR="00D64490">
        <w:t xml:space="preserve">, </w:t>
      </w:r>
      <w:r w:rsidR="00D64490" w:rsidRPr="00FD470A">
        <w:rPr>
          <w:highlight w:val="green"/>
        </w:rPr>
        <w:t>dibenzothio</w:t>
      </w:r>
      <w:r w:rsidR="00FD470A" w:rsidRPr="00FD470A">
        <w:rPr>
          <w:highlight w:val="green"/>
        </w:rPr>
        <w:t>p</w:t>
      </w:r>
      <w:r w:rsidR="00D64490" w:rsidRPr="00FD470A">
        <w:rPr>
          <w:highlight w:val="green"/>
        </w:rPr>
        <w:t>hene/</w:t>
      </w:r>
      <w:proofErr w:type="spellStart"/>
      <w:r w:rsidRPr="00FD470A">
        <w:rPr>
          <w:highlight w:val="green"/>
        </w:rPr>
        <w:t>dibenzo</w:t>
      </w:r>
      <w:r w:rsidR="00D64490" w:rsidRPr="00FD470A">
        <w:rPr>
          <w:highlight w:val="green"/>
        </w:rPr>
        <w:t>sulfoxi</w:t>
      </w:r>
      <w:r w:rsidRPr="00FD470A">
        <w:rPr>
          <w:highlight w:val="green"/>
        </w:rPr>
        <w:t>de</w:t>
      </w:r>
      <w:proofErr w:type="spellEnd"/>
      <w:r w:rsidRPr="0073086B">
        <w:t>, phenoxazine/2,5-diphenyl</w:t>
      </w:r>
      <w:r w:rsidR="00D64490">
        <w:t>-</w:t>
      </w:r>
      <w:r w:rsidRPr="0073086B">
        <w:t xml:space="preserve">1,3,4-oxadiazole </w:t>
      </w:r>
      <w:r w:rsidR="00D64490">
        <w:t>[1–3]</w:t>
      </w:r>
      <w:r w:rsidRPr="0073086B">
        <w:t>. However, simultaneous works directed to reveal polymer architecture features have demonstrated the ability to bring chromophores closer to each other</w:t>
      </w:r>
      <w:r w:rsidR="00FD470A">
        <w:t>,</w:t>
      </w:r>
      <w:r w:rsidRPr="0073086B">
        <w:t xml:space="preserve"> </w:t>
      </w:r>
      <w:r w:rsidR="00FD470A">
        <w:t xml:space="preserve">which </w:t>
      </w:r>
      <w:r w:rsidRPr="0073086B">
        <w:t xml:space="preserve">can lead to </w:t>
      </w:r>
      <w:r w:rsidR="00FD470A">
        <w:t xml:space="preserve">the </w:t>
      </w:r>
      <w:r w:rsidRPr="0073086B">
        <w:t>aggregation induced quenching or aggregation induced emi</w:t>
      </w:r>
      <w:r w:rsidRPr="00F52AB6">
        <w:t xml:space="preserve">ssion. </w:t>
      </w:r>
      <w:r w:rsidRPr="00AE2BB6">
        <w:t>The l</w:t>
      </w:r>
      <w:r w:rsidR="00FD470A">
        <w:t xml:space="preserve">atter </w:t>
      </w:r>
      <w:r w:rsidRPr="00AE2BB6">
        <w:t xml:space="preserve">is used to avoid the conjugation between </w:t>
      </w:r>
      <w:r w:rsidR="00FD470A">
        <w:t xml:space="preserve">the </w:t>
      </w:r>
      <w:r w:rsidRPr="00AE2BB6">
        <w:t xml:space="preserve">donor and acceptor moieties, achieve low </w:t>
      </w:r>
      <w:r w:rsidR="00FD470A">
        <w:t>Δ</w:t>
      </w:r>
      <w:r w:rsidR="00FD470A" w:rsidRPr="00D64490">
        <w:rPr>
          <w:i/>
        </w:rPr>
        <w:t>E</w:t>
      </w:r>
      <w:r w:rsidR="00FD470A" w:rsidRPr="00D64490">
        <w:rPr>
          <w:vertAlign w:val="subscript"/>
        </w:rPr>
        <w:t>ST</w:t>
      </w:r>
      <w:r w:rsidR="00FD470A">
        <w:t xml:space="preserve"> b</w:t>
      </w:r>
      <w:r w:rsidRPr="0023337A">
        <w:t>y preventing the donor</w:t>
      </w:r>
      <w:r w:rsidR="00FD470A">
        <w:t>–</w:t>
      </w:r>
      <w:r w:rsidRPr="0023337A">
        <w:t>acceptor interaction</w:t>
      </w:r>
      <w:r w:rsidR="00FD470A">
        <w:t>,</w:t>
      </w:r>
      <w:r w:rsidRPr="0023337A">
        <w:t xml:space="preserve"> and design TADF polymers with blue emi</w:t>
      </w:r>
      <w:r w:rsidR="00FD470A">
        <w:t>ss</w:t>
      </w:r>
      <w:r w:rsidRPr="0023337A">
        <w:t xml:space="preserve">ion, </w:t>
      </w:r>
      <w:r w:rsidR="00FD470A">
        <w:t xml:space="preserve">which is difficult to reach. The group of </w:t>
      </w:r>
      <w:r w:rsidR="00FD470A" w:rsidRPr="00FD470A">
        <w:rPr>
          <w:highlight w:val="green"/>
        </w:rPr>
        <w:t xml:space="preserve">F. </w:t>
      </w:r>
      <w:r w:rsidRPr="00FD470A">
        <w:rPr>
          <w:highlight w:val="green"/>
        </w:rPr>
        <w:t>Wang</w:t>
      </w:r>
      <w:r w:rsidR="00FD470A">
        <w:t xml:space="preserve"> </w:t>
      </w:r>
      <w:r w:rsidRPr="00B910C6">
        <w:t xml:space="preserve">reported </w:t>
      </w:r>
      <w:r w:rsidRPr="006721E8">
        <w:t xml:space="preserve">a </w:t>
      </w:r>
      <w:r w:rsidR="00FD470A">
        <w:t xml:space="preserve">series </w:t>
      </w:r>
      <w:r w:rsidRPr="006721E8">
        <w:t>of polystyrene</w:t>
      </w:r>
      <w:r w:rsidRPr="0051447E">
        <w:t>s</w:t>
      </w:r>
      <w:r w:rsidRPr="0073086B">
        <w:t xml:space="preserve"> with </w:t>
      </w:r>
      <w:r w:rsidRPr="00FD470A">
        <w:rPr>
          <w:i/>
        </w:rPr>
        <w:t>N</w:t>
      </w:r>
      <w:r w:rsidR="00FD470A">
        <w:t>-</w:t>
      </w:r>
      <w:proofErr w:type="spellStart"/>
      <w:r w:rsidR="00FD470A">
        <w:t>phenyl</w:t>
      </w:r>
      <w:r w:rsidRPr="0073086B">
        <w:t>acridan</w:t>
      </w:r>
      <w:proofErr w:type="spellEnd"/>
      <w:r w:rsidRPr="0073086B">
        <w:t xml:space="preserve"> (Ac) or 9,9-bis(1,3</w:t>
      </w:r>
      <w:r w:rsidR="00FD470A">
        <w:t>-di-</w:t>
      </w:r>
      <w:r w:rsidR="00FD470A" w:rsidRPr="00A72058">
        <w:rPr>
          <w:i/>
          <w:iCs/>
        </w:rPr>
        <w:t>tert</w:t>
      </w:r>
      <w:r w:rsidR="00FD470A">
        <w:t>-butylphenyl)-10-phenyl</w:t>
      </w:r>
      <w:r w:rsidRPr="0073086B">
        <w:t>acridan (</w:t>
      </w:r>
      <w:proofErr w:type="spellStart"/>
      <w:r w:rsidRPr="0073086B">
        <w:t>TBAc</w:t>
      </w:r>
      <w:proofErr w:type="spellEnd"/>
      <w:r w:rsidRPr="0073086B">
        <w:t xml:space="preserve">) as the donor and </w:t>
      </w:r>
      <w:proofErr w:type="spellStart"/>
      <w:r w:rsidRPr="0073086B">
        <w:t>triphenyltriazine</w:t>
      </w:r>
      <w:proofErr w:type="spellEnd"/>
      <w:r w:rsidRPr="0073086B">
        <w:t xml:space="preserve"> as the acceptor pendant groups which demonstrate the advantages of polymers wit</w:t>
      </w:r>
      <w:r w:rsidRPr="00F52AB6">
        <w:t>h Ac</w:t>
      </w:r>
      <w:r w:rsidR="00FD470A">
        <w:t xml:space="preserve"> </w:t>
      </w:r>
      <w:r w:rsidRPr="00F52AB6">
        <w:t>donor: high (51</w:t>
      </w:r>
      <w:r w:rsidR="00FD470A">
        <w:t>–</w:t>
      </w:r>
      <w:r w:rsidRPr="00F52AB6">
        <w:t xml:space="preserve">60%) film state </w:t>
      </w:r>
      <w:r>
        <w:t>photoluminescence quantum yield</w:t>
      </w:r>
      <w:r w:rsidRPr="00F52AB6">
        <w:t xml:space="preserve">, very </w:t>
      </w:r>
      <w:r w:rsidRPr="00F52AB6">
        <w:t xml:space="preserve">low </w:t>
      </w:r>
      <w:r w:rsidR="00FD470A">
        <w:t>Δ</w:t>
      </w:r>
      <w:r w:rsidR="00FD470A" w:rsidRPr="00D64490">
        <w:rPr>
          <w:i/>
        </w:rPr>
        <w:t>E</w:t>
      </w:r>
      <w:r w:rsidR="00FD470A" w:rsidRPr="00D64490">
        <w:rPr>
          <w:vertAlign w:val="subscript"/>
        </w:rPr>
        <w:t>ST</w:t>
      </w:r>
      <w:r w:rsidR="00FD470A">
        <w:t xml:space="preserve"> </w:t>
      </w:r>
      <w:r w:rsidRPr="0023337A">
        <w:t>(less than 0</w:t>
      </w:r>
      <w:r w:rsidR="00FD470A">
        <w:t>.</w:t>
      </w:r>
      <w:r w:rsidRPr="0023337A">
        <w:t>021</w:t>
      </w:r>
      <w:r w:rsidR="00FD470A">
        <w:t xml:space="preserve"> </w:t>
      </w:r>
      <w:r w:rsidRPr="0023337A">
        <w:t>eV), blue emitting color</w:t>
      </w:r>
      <w:r w:rsidR="00FD470A">
        <w:t>,</w:t>
      </w:r>
      <w:r w:rsidRPr="0023337A">
        <w:t xml:space="preserve"> and EQE of 121% for </w:t>
      </w:r>
      <w:r w:rsidR="00A72058">
        <w:t xml:space="preserve">the </w:t>
      </w:r>
      <w:r w:rsidRPr="0023337A">
        <w:t xml:space="preserve">Ac-donor polymer with 5% acceptor content. This result shows </w:t>
      </w:r>
      <w:r w:rsidR="00D54FBA">
        <w:t>an</w:t>
      </w:r>
      <w:r w:rsidRPr="0023337A">
        <w:t xml:space="preserve"> opportunity to create </w:t>
      </w:r>
      <w:r w:rsidR="00FD470A">
        <w:t xml:space="preserve">a </w:t>
      </w:r>
      <w:r w:rsidRPr="0023337A">
        <w:t xml:space="preserve">blue polymer </w:t>
      </w:r>
      <w:r w:rsidRPr="00FD470A">
        <w:rPr>
          <w:i/>
        </w:rPr>
        <w:t>via</w:t>
      </w:r>
      <w:r w:rsidRPr="0023337A">
        <w:t xml:space="preserve"> space separation of donor</w:t>
      </w:r>
      <w:r w:rsidR="00FD470A">
        <w:t>–</w:t>
      </w:r>
      <w:r w:rsidRPr="0023337A">
        <w:t xml:space="preserve">acceptor units. This approach allowed </w:t>
      </w:r>
      <w:r w:rsidR="00FD470A">
        <w:t>for developing</w:t>
      </w:r>
      <w:r w:rsidRPr="0023337A">
        <w:t xml:space="preserve"> wide range emi</w:t>
      </w:r>
      <w:r w:rsidR="00FD470A">
        <w:t>ssi</w:t>
      </w:r>
      <w:r w:rsidRPr="0023337A">
        <w:t xml:space="preserve">on [4]. </w:t>
      </w:r>
      <w:r w:rsidR="00FD470A">
        <w:t>The studies on the m</w:t>
      </w:r>
      <w:r w:rsidR="00FD470A" w:rsidRPr="0023337A">
        <w:t>ain</w:t>
      </w:r>
      <w:r w:rsidR="00FD470A">
        <w:t>-</w:t>
      </w:r>
      <w:r w:rsidR="00FD470A" w:rsidRPr="0023337A">
        <w:t xml:space="preserve">chain nature </w:t>
      </w:r>
      <w:r w:rsidRPr="0023337A">
        <w:t xml:space="preserve">of </w:t>
      </w:r>
      <w:r w:rsidRPr="00B910C6">
        <w:t xml:space="preserve">the </w:t>
      </w:r>
      <w:r w:rsidR="00FD470A">
        <w:t>conjugated TADF polymers revealed</w:t>
      </w:r>
      <w:r w:rsidRPr="006721E8">
        <w:t xml:space="preserve"> the acceleration of RISC by external heavy-atom effect [5]. </w:t>
      </w:r>
      <w:r w:rsidR="00FD470A">
        <w:t>T</w:t>
      </w:r>
      <w:r w:rsidRPr="006721E8">
        <w:t>here are well studied ma</w:t>
      </w:r>
      <w:r w:rsidRPr="0051447E">
        <w:t xml:space="preserve">terials based on </w:t>
      </w:r>
      <w:r w:rsidR="00FD470A">
        <w:t xml:space="preserve">a </w:t>
      </w:r>
      <w:r w:rsidRPr="0051447E">
        <w:t xml:space="preserve">non-conjugated architecture with carbazole as </w:t>
      </w:r>
      <w:r w:rsidRPr="0073086B">
        <w:t xml:space="preserve">a </w:t>
      </w:r>
      <w:r w:rsidRPr="00F52AB6">
        <w:t>host f</w:t>
      </w:r>
      <w:r w:rsidR="00FD470A">
        <w:t xml:space="preserve">unctional unit and diverse TADF </w:t>
      </w:r>
      <w:r w:rsidRPr="00F52AB6">
        <w:t>units</w:t>
      </w:r>
      <w:r w:rsidR="00D54FBA">
        <w:t>,</w:t>
      </w:r>
      <w:r w:rsidRPr="00F52AB6">
        <w:t xml:space="preserve"> but</w:t>
      </w:r>
      <w:r w:rsidR="00FD470A">
        <w:t xml:space="preserve"> the </w:t>
      </w:r>
      <w:r w:rsidRPr="00F52AB6">
        <w:t xml:space="preserve">non-conjugated polymers with DA pendant groups are less </w:t>
      </w:r>
      <w:r w:rsidRPr="00AE2BB6">
        <w:t xml:space="preserve">investigated </w:t>
      </w:r>
      <w:r w:rsidR="00FD470A">
        <w:t>[6, 7]</w:t>
      </w:r>
      <w:r w:rsidRPr="00AE2BB6">
        <w:t xml:space="preserve">. Therefore, </w:t>
      </w:r>
      <w:r w:rsidRPr="0035458F">
        <w:t>th</w:t>
      </w:r>
      <w:r w:rsidR="00FD470A">
        <w:t>is work wa</w:t>
      </w:r>
      <w:r w:rsidRPr="0035458F">
        <w:t xml:space="preserve">s aimed at the synthesis </w:t>
      </w:r>
      <w:r w:rsidR="00FD470A" w:rsidRPr="0035458F">
        <w:t xml:space="preserve">of TADF polymers </w:t>
      </w:r>
      <w:r w:rsidRPr="0035458F">
        <w:t xml:space="preserve">for further study of </w:t>
      </w:r>
      <w:r w:rsidR="00FD470A">
        <w:t xml:space="preserve">the effect of the </w:t>
      </w:r>
      <w:r w:rsidRPr="0035458F">
        <w:t>main</w:t>
      </w:r>
      <w:r w:rsidR="00D54FBA">
        <w:t xml:space="preserve"> </w:t>
      </w:r>
      <w:r w:rsidRPr="0035458F">
        <w:t xml:space="preserve">chain nature on </w:t>
      </w:r>
      <w:r w:rsidR="00D54FBA">
        <w:t xml:space="preserve">the </w:t>
      </w:r>
      <w:r w:rsidRPr="0035458F">
        <w:t>electroluminescen</w:t>
      </w:r>
      <w:r w:rsidR="00670799">
        <w:t>ce</w:t>
      </w:r>
      <w:r w:rsidRPr="0035458F">
        <w:t xml:space="preserve"> and thermal properties. The structure</w:t>
      </w:r>
      <w:r w:rsidR="00670799">
        <w:t xml:space="preserve">s varied </w:t>
      </w:r>
      <w:r w:rsidRPr="0035458F">
        <w:t xml:space="preserve">between </w:t>
      </w:r>
      <w:r w:rsidR="00670799">
        <w:t xml:space="preserve">a </w:t>
      </w:r>
      <w:r w:rsidRPr="0035458F">
        <w:t xml:space="preserve">polystyrene and </w:t>
      </w:r>
      <w:proofErr w:type="spellStart"/>
      <w:r w:rsidRPr="0035458F">
        <w:t>polymethylsiloxane</w:t>
      </w:r>
      <w:proofErr w:type="spellEnd"/>
      <w:r w:rsidRPr="0035458F">
        <w:t xml:space="preserve"> backbone with </w:t>
      </w:r>
      <w:r w:rsidR="00D54FBA">
        <w:t>the</w:t>
      </w:r>
      <w:r w:rsidR="00670799">
        <w:t xml:space="preserve"> </w:t>
      </w:r>
      <w:r w:rsidRPr="0035458F">
        <w:t>acceptor content from 5% to 50%.</w:t>
      </w:r>
    </w:p>
    <w:p w14:paraId="0C3CFC67" w14:textId="77777777"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14:paraId="1AABA3BB" w14:textId="3123F736" w:rsidR="009823C7" w:rsidRPr="0035458F" w:rsidRDefault="009823C7" w:rsidP="009823C7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A5E29">
        <w:rPr>
          <w:rFonts w:ascii="Times New Roman" w:hAnsi="Times New Roman" w:cs="Times New Roman"/>
          <w:sz w:val="18"/>
          <w:szCs w:val="18"/>
          <w:lang w:val="en-US"/>
        </w:rPr>
        <w:t>The synt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>hetic route wa</w:t>
      </w:r>
      <w:r w:rsidRPr="0023337A">
        <w:rPr>
          <w:rFonts w:ascii="Times New Roman" w:hAnsi="Times New Roman" w:cs="Times New Roman"/>
          <w:sz w:val="18"/>
          <w:szCs w:val="18"/>
          <w:lang w:val="en-US"/>
        </w:rPr>
        <w:t xml:space="preserve">s divided into two parts: </w:t>
      </w:r>
      <w:r w:rsidR="00BD456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23337A">
        <w:rPr>
          <w:rFonts w:ascii="Times New Roman" w:hAnsi="Times New Roman" w:cs="Times New Roman"/>
          <w:sz w:val="18"/>
          <w:szCs w:val="18"/>
          <w:lang w:val="en-US"/>
        </w:rPr>
        <w:t xml:space="preserve">preparation of styrene-like precursors (Scheme 1) and 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>target polymers (Scheme 2). 9-(4-E</w:t>
      </w:r>
      <w:r w:rsidRPr="0023337A">
        <w:rPr>
          <w:rFonts w:ascii="Times New Roman" w:hAnsi="Times New Roman" w:cs="Times New Roman"/>
          <w:sz w:val="18"/>
          <w:szCs w:val="18"/>
          <w:lang w:val="en-US"/>
        </w:rPr>
        <w:t xml:space="preserve">thenylphenyl)-carbazole (ST-P-CZ) was obtained by 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23337A">
        <w:rPr>
          <w:rFonts w:ascii="Times New Roman" w:hAnsi="Times New Roman" w:cs="Times New Roman"/>
          <w:sz w:val="18"/>
          <w:szCs w:val="18"/>
          <w:lang w:val="en-US"/>
        </w:rPr>
        <w:t>Buchwald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23337A">
        <w:rPr>
          <w:rFonts w:ascii="Times New Roman" w:hAnsi="Times New Roman" w:cs="Times New Roman"/>
          <w:sz w:val="18"/>
          <w:szCs w:val="18"/>
          <w:lang w:val="en-US"/>
        </w:rPr>
        <w:t xml:space="preserve">Hartwig reaction under 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>different</w:t>
      </w:r>
      <w:r w:rsidRPr="0023337A">
        <w:rPr>
          <w:rFonts w:ascii="Times New Roman" w:hAnsi="Times New Roman" w:cs="Times New Roman"/>
          <w:sz w:val="18"/>
          <w:szCs w:val="18"/>
          <w:lang w:val="en-US"/>
        </w:rPr>
        <w:t xml:space="preserve"> conditions</w:t>
      </w:r>
      <w:r w:rsidRPr="00B910C6">
        <w:rPr>
          <w:rFonts w:ascii="Times New Roman" w:hAnsi="Times New Roman" w:cs="Times New Roman"/>
          <w:sz w:val="18"/>
          <w:szCs w:val="18"/>
          <w:lang w:val="en-US"/>
        </w:rPr>
        <w:t>:</w:t>
      </w:r>
      <w:r w:rsidRPr="006721E8">
        <w:rPr>
          <w:rFonts w:ascii="Times New Roman" w:hAnsi="Times New Roman" w:cs="Times New Roman"/>
          <w:sz w:val="18"/>
          <w:szCs w:val="18"/>
          <w:lang w:val="en-US"/>
        </w:rPr>
        <w:t xml:space="preserve"> 1) 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>refluxing</w:t>
      </w:r>
      <w:r w:rsidRPr="006721E8">
        <w:rPr>
          <w:rFonts w:ascii="Times New Roman" w:hAnsi="Times New Roman" w:cs="Times New Roman"/>
          <w:sz w:val="18"/>
          <w:szCs w:val="18"/>
          <w:lang w:val="en-US"/>
        </w:rPr>
        <w:t xml:space="preserve"> at 100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 °C</w:t>
      </w:r>
      <w:r w:rsidRPr="006721E8">
        <w:rPr>
          <w:rFonts w:ascii="Times New Roman" w:hAnsi="Times New Roman" w:cs="Times New Roman"/>
          <w:sz w:val="18"/>
          <w:szCs w:val="18"/>
          <w:lang w:val="en-US"/>
        </w:rPr>
        <w:t>, 3h, 2) stirring at 105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 °C</w:t>
      </w:r>
      <w:r w:rsidRPr="006721E8">
        <w:rPr>
          <w:rFonts w:ascii="Times New Roman" w:hAnsi="Times New Roman" w:cs="Times New Roman"/>
          <w:sz w:val="18"/>
          <w:szCs w:val="18"/>
          <w:lang w:val="en-US"/>
        </w:rPr>
        <w:t>, 3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721E8">
        <w:rPr>
          <w:rFonts w:ascii="Times New Roman" w:hAnsi="Times New Roman" w:cs="Times New Roman"/>
          <w:sz w:val="18"/>
          <w:szCs w:val="18"/>
          <w:lang w:val="en-US"/>
        </w:rPr>
        <w:t>h, MW(55W)</w:t>
      </w:r>
      <w:r w:rsidRPr="00DC3788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This approach is based on </w:t>
      </w:r>
      <w:r w:rsidR="00BD456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previously published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techniques [8]. 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>The application of a m</w:t>
      </w:r>
      <w:r w:rsidRPr="0073086B">
        <w:rPr>
          <w:rFonts w:ascii="Times New Roman" w:hAnsi="Times New Roman" w:cs="Times New Roman"/>
          <w:sz w:val="18"/>
          <w:szCs w:val="18"/>
          <w:lang w:val="en-US"/>
        </w:rPr>
        <w:t>icroware reactor</w:t>
      </w:r>
      <w:r w:rsidRPr="00F52AB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afforded a </w:t>
      </w:r>
      <w:r w:rsidRPr="00AE2BB6">
        <w:rPr>
          <w:rFonts w:ascii="Times New Roman" w:hAnsi="Times New Roman" w:cs="Times New Roman"/>
          <w:sz w:val="18"/>
          <w:szCs w:val="18"/>
          <w:lang w:val="en-US"/>
        </w:rPr>
        <w:t>dramatical increase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 in</w:t>
      </w:r>
      <w:r w:rsidRPr="00AE2BB6">
        <w:rPr>
          <w:rFonts w:ascii="Times New Roman" w:hAnsi="Times New Roman" w:cs="Times New Roman"/>
          <w:sz w:val="18"/>
          <w:szCs w:val="18"/>
          <w:lang w:val="en-US"/>
        </w:rPr>
        <w:t xml:space="preserve"> the 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reaction yield from 40 to 82%. 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Flash 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>chromatography in toluene and column chromatography in cyclohexane were used as separation techniques. 2-(4-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>V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inylphenyl)-4,6-diphenyl-1,3,5-triazine (ST-2P-TRZ) was 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obtained 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by several 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>methods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. The successful scheme 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>included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sequential substitution of cyanuric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cloride</w:t>
      </w:r>
      <w:proofErr w:type="spellEnd"/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 with 4-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lastRenderedPageBreak/>
        <w:t>bromostyrene followed by the Suzuki reaction with phenylboronic acid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>. This approach was described elsewhere [9]</w:t>
      </w:r>
      <w:r w:rsidRPr="001A5E29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23337A">
        <w:rPr>
          <w:rFonts w:ascii="Times New Roman" w:hAnsi="Times New Roman" w:cs="Times New Roman"/>
          <w:sz w:val="18"/>
          <w:szCs w:val="18"/>
          <w:lang w:val="en-US"/>
        </w:rPr>
        <w:t xml:space="preserve"> However, the corresponding products </w:t>
      </w:r>
      <w:r w:rsidRPr="00B910C6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>ppeared to be</w:t>
      </w:r>
      <w:r w:rsidRPr="00B910C6">
        <w:rPr>
          <w:rFonts w:ascii="Times New Roman" w:hAnsi="Times New Roman" w:cs="Times New Roman"/>
          <w:sz w:val="18"/>
          <w:szCs w:val="18"/>
          <w:lang w:val="en-US"/>
        </w:rPr>
        <w:t xml:space="preserve"> self-</w:t>
      </w:r>
      <w:r w:rsidRPr="006721E8">
        <w:rPr>
          <w:rFonts w:ascii="Times New Roman" w:hAnsi="Times New Roman" w:cs="Times New Roman"/>
          <w:sz w:val="18"/>
          <w:szCs w:val="18"/>
          <w:lang w:val="en-US"/>
        </w:rPr>
        <w:t>polymerize</w:t>
      </w:r>
      <w:r w:rsidRPr="00DC3788">
        <w:rPr>
          <w:rFonts w:ascii="Times New Roman" w:hAnsi="Times New Roman" w:cs="Times New Roman"/>
          <w:sz w:val="18"/>
          <w:szCs w:val="18"/>
          <w:lang w:val="en-US"/>
        </w:rPr>
        <w:t>d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 to</w:t>
      </w:r>
      <w:r w:rsidRPr="00DC3788">
        <w:rPr>
          <w:rFonts w:ascii="Times New Roman" w:hAnsi="Times New Roman" w:cs="Times New Roman"/>
          <w:sz w:val="18"/>
          <w:szCs w:val="18"/>
          <w:lang w:val="en-US"/>
        </w:rPr>
        <w:t xml:space="preserve"> some </w:t>
      </w:r>
      <w:r w:rsidRPr="0051447E">
        <w:rPr>
          <w:rFonts w:ascii="Times New Roman" w:hAnsi="Times New Roman" w:cs="Times New Roman"/>
          <w:sz w:val="18"/>
          <w:szCs w:val="18"/>
          <w:lang w:val="en-US"/>
        </w:rPr>
        <w:t xml:space="preserve">extent </w:t>
      </w:r>
      <w:r w:rsidRPr="00F52AB6">
        <w:rPr>
          <w:rFonts w:ascii="Times New Roman" w:hAnsi="Times New Roman" w:cs="Times New Roman"/>
          <w:sz w:val="18"/>
          <w:szCs w:val="18"/>
          <w:lang w:val="en-US"/>
        </w:rPr>
        <w:t>during the processing and storage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, which 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>decreases the yield</w:t>
      </w:r>
      <w:r w:rsidR="00833A17" w:rsidRPr="00833A1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of the </w:t>
      </w:r>
      <w:r w:rsidR="00833A17" w:rsidRPr="0035458F">
        <w:rPr>
          <w:rFonts w:ascii="Times New Roman" w:hAnsi="Times New Roman" w:cs="Times New Roman"/>
          <w:sz w:val="18"/>
          <w:szCs w:val="18"/>
          <w:lang w:val="en-US"/>
        </w:rPr>
        <w:t>isolated</w:t>
      </w:r>
      <w:r w:rsidR="00833A17">
        <w:rPr>
          <w:rFonts w:ascii="Times New Roman" w:hAnsi="Times New Roman" w:cs="Times New Roman"/>
          <w:sz w:val="18"/>
          <w:szCs w:val="18"/>
          <w:lang w:val="en-US"/>
        </w:rPr>
        <w:t xml:space="preserve"> product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5B50C22" w14:textId="77777777" w:rsidR="009823C7" w:rsidRDefault="00802C3C" w:rsidP="009823C7">
      <w:pPr>
        <w:spacing w:before="200" w:after="120"/>
        <w:jc w:val="center"/>
        <w:rPr>
          <w:rStyle w:val="Captions0"/>
          <w:sz w:val="16"/>
          <w:szCs w:val="16"/>
        </w:rPr>
      </w:pPr>
      <w:r>
        <w:pict w14:anchorId="0C49A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bookmarkStart w:id="1" w:name="_Hlk176273905"/>
      <w:bookmarkStart w:id="2" w:name="_Hlk176273647"/>
      <w:r w:rsidR="009823C7" w:rsidRPr="00B60517">
        <w:rPr>
          <w:rStyle w:val="Captions0"/>
          <w:b w:val="0"/>
          <w:noProof/>
          <w:sz w:val="16"/>
          <w:szCs w:val="16"/>
          <w:lang w:eastAsia="ru-RU"/>
        </w:rPr>
        <w:drawing>
          <wp:inline distT="0" distB="0" distL="0" distR="0" wp14:anchorId="005D31C7" wp14:editId="124B6295">
            <wp:extent cx="2752278" cy="1733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53" cy="173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4DF7" w14:textId="77777777" w:rsidR="009823C7" w:rsidRPr="009823C7" w:rsidRDefault="009823C7" w:rsidP="009823C7">
      <w:pPr>
        <w:spacing w:before="120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Style w:val="Captions0"/>
          <w:sz w:val="16"/>
          <w:szCs w:val="16"/>
        </w:rPr>
        <w:t>Scheme 1</w:t>
      </w:r>
      <w:bookmarkEnd w:id="1"/>
      <w:r>
        <w:rPr>
          <w:rStyle w:val="Captions0"/>
          <w:sz w:val="16"/>
          <w:szCs w:val="16"/>
        </w:rPr>
        <w:t xml:space="preserve">. </w:t>
      </w:r>
      <w:r w:rsidRPr="009823C7">
        <w:rPr>
          <w:rStyle w:val="Captions0"/>
          <w:b w:val="0"/>
          <w:bCs/>
          <w:sz w:val="16"/>
          <w:szCs w:val="16"/>
        </w:rPr>
        <w:t>Synthe</w:t>
      </w:r>
      <w:r w:rsidR="00D66893">
        <w:rPr>
          <w:rStyle w:val="Captions0"/>
          <w:b w:val="0"/>
          <w:bCs/>
          <w:sz w:val="16"/>
          <w:szCs w:val="16"/>
        </w:rPr>
        <w:t xml:space="preserve">sis of the </w:t>
      </w:r>
      <w:bookmarkEnd w:id="2"/>
      <w:r w:rsidR="00D66893">
        <w:rPr>
          <w:rStyle w:val="Captions0"/>
          <w:b w:val="0"/>
          <w:sz w:val="16"/>
          <w:szCs w:val="16"/>
        </w:rPr>
        <w:t>precursors</w:t>
      </w:r>
      <w:r w:rsidRPr="009823C7">
        <w:rPr>
          <w:rStyle w:val="Captions0"/>
          <w:b w:val="0"/>
          <w:sz w:val="16"/>
          <w:szCs w:val="16"/>
        </w:rPr>
        <w:t>.</w:t>
      </w:r>
    </w:p>
    <w:p w14:paraId="737EDFDC" w14:textId="77777777" w:rsidR="009823C7" w:rsidRDefault="00802C3C" w:rsidP="009823C7">
      <w:pPr>
        <w:spacing w:before="200" w:after="120"/>
        <w:jc w:val="center"/>
        <w:rPr>
          <w:rStyle w:val="Captions0"/>
          <w:sz w:val="16"/>
          <w:szCs w:val="16"/>
        </w:rPr>
      </w:pPr>
      <w:r>
        <w:pict w14:anchorId="7111A5F3">
          <v:shape id="_x0000_s1027" type="#_x0000_t75" style="position:absolute;left:0;text-align:left;margin-left:0;margin-top:0;width:50pt;height:50pt;z-index:2516613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9823C7" w:rsidRPr="00DC1503">
        <w:rPr>
          <w:rStyle w:val="Captions0"/>
          <w:sz w:val="16"/>
          <w:szCs w:val="16"/>
        </w:rPr>
        <w:t xml:space="preserve"> </w:t>
      </w:r>
      <w:r w:rsidR="009823C7" w:rsidRPr="00B601B4">
        <w:rPr>
          <w:rStyle w:val="Captions0"/>
          <w:b w:val="0"/>
          <w:noProof/>
          <w:sz w:val="16"/>
          <w:szCs w:val="16"/>
          <w:lang w:eastAsia="ru-RU"/>
        </w:rPr>
        <w:drawing>
          <wp:inline distT="0" distB="0" distL="0" distR="0" wp14:anchorId="4D184FD9" wp14:editId="38BC0B87">
            <wp:extent cx="2771775" cy="26313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02" cy="263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E0AC" w14:textId="0D5E07CA" w:rsidR="009823C7" w:rsidRPr="009823C7" w:rsidRDefault="009823C7" w:rsidP="009823C7">
      <w:pPr>
        <w:spacing w:before="120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Style w:val="Captions0"/>
          <w:sz w:val="16"/>
          <w:szCs w:val="16"/>
        </w:rPr>
        <w:t xml:space="preserve">Scheme 2. </w:t>
      </w:r>
      <w:r w:rsidRPr="009823C7">
        <w:rPr>
          <w:rStyle w:val="Captions0"/>
          <w:b w:val="0"/>
          <w:bCs/>
          <w:sz w:val="16"/>
          <w:szCs w:val="16"/>
        </w:rPr>
        <w:t>Synthe</w:t>
      </w:r>
      <w:r w:rsidR="00D66893">
        <w:rPr>
          <w:rStyle w:val="Captions0"/>
          <w:b w:val="0"/>
          <w:bCs/>
          <w:sz w:val="16"/>
          <w:szCs w:val="16"/>
        </w:rPr>
        <w:t xml:space="preserve">sis of the </w:t>
      </w:r>
      <w:r w:rsidR="00397E36">
        <w:rPr>
          <w:rStyle w:val="Captions0"/>
          <w:b w:val="0"/>
          <w:bCs/>
          <w:sz w:val="16"/>
          <w:szCs w:val="16"/>
        </w:rPr>
        <w:t xml:space="preserve">target </w:t>
      </w:r>
      <w:r w:rsidRPr="009823C7">
        <w:rPr>
          <w:rStyle w:val="Captions0"/>
          <w:b w:val="0"/>
          <w:sz w:val="16"/>
          <w:szCs w:val="16"/>
        </w:rPr>
        <w:t>polymers.</w:t>
      </w:r>
    </w:p>
    <w:p w14:paraId="03DE1A1A" w14:textId="66E6DCEF" w:rsidR="00F61C17" w:rsidRDefault="00F61C17" w:rsidP="009823C7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For comparison, two polymers with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polystyrene main chain (C-10, C-50) have been synthesized by </w:t>
      </w:r>
      <w:r w:rsidR="009975A9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free-radical polymerization (Scheme 2). </w:t>
      </w:r>
      <w:r>
        <w:rPr>
          <w:rFonts w:ascii="Times New Roman" w:hAnsi="Times New Roman" w:cs="Times New Roman"/>
          <w:sz w:val="18"/>
          <w:szCs w:val="18"/>
          <w:lang w:val="en-US"/>
        </w:rPr>
        <w:t>The p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olymers with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proofErr w:type="spellStart"/>
      <w:r w:rsidRPr="0035458F">
        <w:rPr>
          <w:rFonts w:ascii="Times New Roman" w:hAnsi="Times New Roman" w:cs="Times New Roman"/>
          <w:sz w:val="18"/>
          <w:szCs w:val="18"/>
          <w:lang w:val="en-US"/>
        </w:rPr>
        <w:t>polymethylsiloxane</w:t>
      </w:r>
      <w:proofErr w:type="spellEnd"/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 main chain (Si-10, Si-50) were prepared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through </w:t>
      </w:r>
      <w:r w:rsidRPr="00D66893">
        <w:rPr>
          <w:rFonts w:ascii="Times New Roman" w:hAnsi="Times New Roman" w:cs="Times New Roman"/>
          <w:sz w:val="18"/>
          <w:szCs w:val="18"/>
          <w:lang w:val="en-US"/>
        </w:rPr>
        <w:t>the hydrosilylation addition of the precursors to commercially available PMS-60 (Scheme 2).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 To separate the </w:t>
      </w:r>
      <w:r>
        <w:rPr>
          <w:rFonts w:ascii="Times New Roman" w:hAnsi="Times New Roman" w:cs="Times New Roman"/>
          <w:sz w:val="18"/>
          <w:szCs w:val="18"/>
          <w:lang w:val="en-US"/>
        </w:rPr>
        <w:t>low-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>molecular</w:t>
      </w:r>
      <w:r>
        <w:rPr>
          <w:rFonts w:ascii="Times New Roman" w:hAnsi="Times New Roman" w:cs="Times New Roman"/>
          <w:sz w:val="18"/>
          <w:szCs w:val="18"/>
          <w:lang w:val="en-US"/>
        </w:rPr>
        <w:t>-weight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 admixtures</w:t>
      </w:r>
      <w:r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 a precipitating technique was used. The co</w:t>
      </w:r>
      <w:r w:rsidRPr="00D17912">
        <w:rPr>
          <w:rFonts w:ascii="Times New Roman" w:hAnsi="Times New Roman" w:cs="Times New Roman"/>
          <w:sz w:val="18"/>
          <w:szCs w:val="18"/>
          <w:lang w:val="en-US"/>
        </w:rPr>
        <w:t xml:space="preserve">ntent of these </w:t>
      </w:r>
      <w:r w:rsidRPr="00F52AB6">
        <w:rPr>
          <w:rFonts w:ascii="Times New Roman" w:hAnsi="Times New Roman" w:cs="Times New Roman"/>
          <w:sz w:val="18"/>
          <w:szCs w:val="18"/>
          <w:lang w:val="en-US"/>
        </w:rPr>
        <w:t xml:space="preserve">admixtures 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>was determined by GPC.</w:t>
      </w:r>
    </w:p>
    <w:p w14:paraId="7A9C1555" w14:textId="7C23C515" w:rsidR="009823C7" w:rsidRDefault="00D66893" w:rsidP="009823C7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The molecular </w:t>
      </w:r>
      <w:r w:rsidR="009823C7" w:rsidRPr="006F1C52">
        <w:rPr>
          <w:rFonts w:ascii="Times New Roman" w:hAnsi="Times New Roman" w:cs="Times New Roman"/>
          <w:sz w:val="18"/>
          <w:szCs w:val="18"/>
          <w:lang w:val="en-US"/>
        </w:rPr>
        <w:t xml:space="preserve">weight characteristics of the polymers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obtained </w:t>
      </w:r>
      <w:r w:rsidR="009823C7" w:rsidRPr="00470DFA">
        <w:rPr>
          <w:rFonts w:ascii="Times New Roman" w:hAnsi="Times New Roman" w:cs="Times New Roman"/>
          <w:sz w:val="18"/>
          <w:szCs w:val="18"/>
          <w:lang w:val="en-US"/>
        </w:rPr>
        <w:t xml:space="preserve">were </w:t>
      </w:r>
      <w:r w:rsidR="009823C7" w:rsidRPr="0023337A">
        <w:rPr>
          <w:rFonts w:ascii="Times New Roman" w:hAnsi="Times New Roman" w:cs="Times New Roman"/>
          <w:sz w:val="18"/>
          <w:szCs w:val="18"/>
          <w:lang w:val="en-US"/>
        </w:rPr>
        <w:t>determined by GP</w:t>
      </w:r>
      <w:r w:rsidR="009823C7" w:rsidRPr="003B7467">
        <w:rPr>
          <w:rFonts w:ascii="Times New Roman" w:hAnsi="Times New Roman" w:cs="Times New Roman"/>
          <w:sz w:val="18"/>
          <w:szCs w:val="18"/>
          <w:lang w:val="en-US"/>
        </w:rPr>
        <w:t xml:space="preserve">C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relative to </w:t>
      </w:r>
      <w:r w:rsidR="009823C7" w:rsidRPr="003B7467">
        <w:rPr>
          <w:rFonts w:ascii="Times New Roman" w:hAnsi="Times New Roman" w:cs="Times New Roman"/>
          <w:sz w:val="18"/>
          <w:szCs w:val="18"/>
          <w:lang w:val="en-US"/>
        </w:rPr>
        <w:t>polystyrene standard</w:t>
      </w:r>
      <w:r w:rsidR="009823C7" w:rsidRPr="00B910C6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9823C7" w:rsidRPr="00B01F0B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9823C7" w:rsidRPr="001E2229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73086B">
        <w:rPr>
          <w:rFonts w:ascii="Times New Roman" w:hAnsi="Times New Roman" w:cs="Times New Roman"/>
          <w:sz w:val="18"/>
          <w:szCs w:val="18"/>
          <w:lang w:val="en-US"/>
        </w:rPr>
        <w:t xml:space="preserve">molecular weight distributions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of the </w:t>
      </w:r>
      <w:r w:rsidR="009823C7" w:rsidRPr="001E2229">
        <w:rPr>
          <w:rFonts w:ascii="Times New Roman" w:hAnsi="Times New Roman" w:cs="Times New Roman"/>
          <w:sz w:val="18"/>
          <w:szCs w:val="18"/>
          <w:lang w:val="en-US"/>
        </w:rPr>
        <w:t>p</w:t>
      </w:r>
      <w:r w:rsidR="009823C7" w:rsidRPr="006721E8">
        <w:rPr>
          <w:rFonts w:ascii="Times New Roman" w:hAnsi="Times New Roman" w:cs="Times New Roman"/>
          <w:sz w:val="18"/>
          <w:szCs w:val="18"/>
          <w:lang w:val="en-US"/>
        </w:rPr>
        <w:t xml:space="preserve">olysiloxane </w:t>
      </w:r>
      <w:r w:rsidR="009823C7" w:rsidRPr="0051447E">
        <w:rPr>
          <w:rFonts w:ascii="Times New Roman" w:hAnsi="Times New Roman" w:cs="Times New Roman"/>
          <w:sz w:val="18"/>
          <w:szCs w:val="18"/>
          <w:lang w:val="en-US"/>
        </w:rPr>
        <w:t>derivatives</w:t>
      </w:r>
      <w:r w:rsidR="009823C7" w:rsidRPr="007308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are in agreement </w:t>
      </w:r>
      <w:r w:rsidR="009823C7" w:rsidRPr="0073086B">
        <w:rPr>
          <w:rFonts w:ascii="Times New Roman" w:hAnsi="Times New Roman" w:cs="Times New Roman"/>
          <w:sz w:val="18"/>
          <w:szCs w:val="18"/>
          <w:lang w:val="en-US"/>
        </w:rPr>
        <w:t>with grafting to PMS-60</w:t>
      </w:r>
      <w:r w:rsidR="009823C7" w:rsidRPr="00F52AB6">
        <w:rPr>
          <w:rFonts w:ascii="Times New Roman" w:hAnsi="Times New Roman" w:cs="Times New Roman"/>
          <w:sz w:val="18"/>
          <w:szCs w:val="18"/>
          <w:lang w:val="en-US"/>
        </w:rPr>
        <w:t xml:space="preserve"> (Table 1)</w:t>
      </w:r>
      <w:r w:rsidR="009823C7" w:rsidRPr="00AE2BB6">
        <w:rPr>
          <w:rFonts w:ascii="Times New Roman" w:hAnsi="Times New Roman" w:cs="Times New Roman"/>
          <w:sz w:val="18"/>
          <w:szCs w:val="18"/>
          <w:lang w:val="en-US"/>
        </w:rPr>
        <w:t xml:space="preserve">. The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values of </w:t>
      </w:r>
      <w:r w:rsidR="009823C7" w:rsidRPr="00D66893">
        <w:rPr>
          <w:rFonts w:ascii="Times New Roman" w:hAnsi="Times New Roman" w:cs="Times New Roman"/>
          <w:i/>
          <w:sz w:val="18"/>
          <w:szCs w:val="18"/>
          <w:lang w:val="en-US"/>
        </w:rPr>
        <w:t>M</w:t>
      </w:r>
      <w:r w:rsidR="009823C7" w:rsidRPr="0035458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w</w:t>
      </w:r>
      <w:r w:rsidR="009823C7" w:rsidRPr="00BB0489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="009823C7" w:rsidRPr="00D66893">
        <w:rPr>
          <w:rFonts w:ascii="Times New Roman" w:hAnsi="Times New Roman" w:cs="Times New Roman"/>
          <w:i/>
          <w:sz w:val="18"/>
          <w:szCs w:val="18"/>
          <w:lang w:val="en-US"/>
        </w:rPr>
        <w:t>M</w:t>
      </w:r>
      <w:r w:rsidR="009823C7" w:rsidRPr="006F1C52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n</w:t>
      </w:r>
      <w:r w:rsidR="009823C7" w:rsidRPr="006F1C52">
        <w:rPr>
          <w:rFonts w:ascii="Times New Roman" w:hAnsi="Times New Roman" w:cs="Times New Roman"/>
          <w:sz w:val="18"/>
          <w:szCs w:val="18"/>
          <w:lang w:val="en-US"/>
        </w:rPr>
        <w:t xml:space="preserve"> of C-50 differ from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those of the </w:t>
      </w:r>
      <w:r w:rsidR="009823C7" w:rsidRPr="006F1C52">
        <w:rPr>
          <w:rFonts w:ascii="Times New Roman" w:hAnsi="Times New Roman" w:cs="Times New Roman"/>
          <w:sz w:val="18"/>
          <w:szCs w:val="18"/>
          <w:lang w:val="en-US"/>
        </w:rPr>
        <w:t>others due to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="009823C7" w:rsidRPr="006F1C52">
        <w:rPr>
          <w:rFonts w:ascii="Times New Roman" w:hAnsi="Times New Roman" w:cs="Times New Roman"/>
          <w:sz w:val="18"/>
          <w:szCs w:val="18"/>
          <w:lang w:val="en-US"/>
        </w:rPr>
        <w:t xml:space="preserve"> peculiarities of </w:t>
      </w:r>
      <w:r w:rsidR="009975A9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9823C7" w:rsidRPr="006F1C52">
        <w:rPr>
          <w:rFonts w:ascii="Times New Roman" w:hAnsi="Times New Roman" w:cs="Times New Roman"/>
          <w:sz w:val="18"/>
          <w:szCs w:val="18"/>
          <w:lang w:val="en-US"/>
        </w:rPr>
        <w:t xml:space="preserve">free-radical polymerization.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Despite </w:t>
      </w:r>
      <w:r w:rsidR="009823C7" w:rsidRPr="006F1C5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difference in molecular masses, the </w:t>
      </w:r>
      <w:r w:rsidR="009823C7" w:rsidRPr="006F1C52">
        <w:rPr>
          <w:rFonts w:ascii="Times New Roman" w:hAnsi="Times New Roman" w:cs="Times New Roman"/>
          <w:sz w:val="18"/>
          <w:szCs w:val="18"/>
          <w:lang w:val="en-US"/>
        </w:rPr>
        <w:t xml:space="preserve">polydispersity indices (PDI) </w:t>
      </w:r>
      <w:r w:rsidRPr="006F1C52">
        <w:rPr>
          <w:rFonts w:ascii="Times New Roman" w:hAnsi="Times New Roman" w:cs="Times New Roman"/>
          <w:sz w:val="18"/>
          <w:szCs w:val="18"/>
          <w:lang w:val="en-US"/>
        </w:rPr>
        <w:t xml:space="preserve">for all samples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were above </w:t>
      </w:r>
      <w:r w:rsidR="009823C7" w:rsidRPr="006F1C52">
        <w:rPr>
          <w:rFonts w:ascii="Times New Roman" w:hAnsi="Times New Roman" w:cs="Times New Roman"/>
          <w:sz w:val="18"/>
          <w:szCs w:val="18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9823C7" w:rsidRPr="006F1C52">
        <w:rPr>
          <w:rFonts w:ascii="Times New Roman" w:hAnsi="Times New Roman" w:cs="Times New Roman"/>
          <w:sz w:val="18"/>
          <w:szCs w:val="18"/>
          <w:lang w:val="en-US"/>
        </w:rPr>
        <w:t>0.</w:t>
      </w:r>
    </w:p>
    <w:p w14:paraId="50EB5F6E" w14:textId="281013A3" w:rsidR="00F61C17" w:rsidRPr="00F61C17" w:rsidRDefault="00F61C17" w:rsidP="00F61C17">
      <w:pPr>
        <w:widowControl w:val="0"/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61C17">
        <w:rPr>
          <w:rFonts w:ascii="Times New Roman" w:hAnsi="Times New Roman" w:cs="Times New Roman"/>
          <w:sz w:val="18"/>
          <w:szCs w:val="18"/>
          <w:lang w:val="en-US"/>
        </w:rPr>
        <w:t xml:space="preserve">The TGA data for the polymers with the same type main chain </w:t>
      </w:r>
      <w:r>
        <w:rPr>
          <w:rFonts w:ascii="Times New Roman" w:hAnsi="Times New Roman" w:cs="Times New Roman"/>
          <w:sz w:val="18"/>
          <w:szCs w:val="18"/>
          <w:lang w:val="en-US"/>
        </w:rPr>
        <w:t>appeared to be</w:t>
      </w:r>
      <w:r w:rsidRPr="00F61C17">
        <w:rPr>
          <w:rFonts w:ascii="Times New Roman" w:hAnsi="Times New Roman" w:cs="Times New Roman"/>
          <w:sz w:val="18"/>
          <w:szCs w:val="18"/>
          <w:lang w:val="en-US"/>
        </w:rPr>
        <w:t xml:space="preserve"> very similar (Table 2). The polystyrene main-chain polymers demonstrate</w:t>
      </w:r>
      <w:r w:rsidR="009975A9"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F61C17">
        <w:rPr>
          <w:rFonts w:ascii="Times New Roman" w:hAnsi="Times New Roman" w:cs="Times New Roman"/>
          <w:sz w:val="18"/>
          <w:szCs w:val="18"/>
          <w:lang w:val="en-US"/>
        </w:rPr>
        <w:t xml:space="preserve"> 5</w:t>
      </w:r>
      <w:r w:rsidR="009975A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61C17">
        <w:rPr>
          <w:rFonts w:ascii="Times New Roman" w:hAnsi="Times New Roman" w:cs="Times New Roman"/>
          <w:sz w:val="18"/>
          <w:szCs w:val="18"/>
          <w:lang w:val="en-US"/>
        </w:rPr>
        <w:t>wt</w:t>
      </w:r>
      <w:proofErr w:type="spellEnd"/>
      <w:r w:rsidRPr="00F61C17">
        <w:rPr>
          <w:rFonts w:ascii="Times New Roman" w:hAnsi="Times New Roman" w:cs="Times New Roman"/>
          <w:sz w:val="18"/>
          <w:szCs w:val="18"/>
          <w:lang w:val="en-US"/>
        </w:rPr>
        <w:t xml:space="preserve"> % loss at the temperatures above 314</w:t>
      </w:r>
      <w:r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F61C17">
        <w:rPr>
          <w:rFonts w:ascii="Times New Roman" w:hAnsi="Times New Roman" w:cs="Times New Roman"/>
          <w:sz w:val="18"/>
          <w:szCs w:val="18"/>
          <w:lang w:val="en-US"/>
        </w:rPr>
        <w:t>°C in the air and above 374</w:t>
      </w:r>
      <w:r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F61C17">
        <w:rPr>
          <w:rFonts w:ascii="Times New Roman" w:hAnsi="Times New Roman" w:cs="Times New Roman"/>
          <w:sz w:val="18"/>
          <w:szCs w:val="18"/>
          <w:lang w:val="en-US"/>
        </w:rPr>
        <w:t>°C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under </w:t>
      </w:r>
    </w:p>
    <w:p w14:paraId="70B8DB0C" w14:textId="77777777" w:rsidR="009823C7" w:rsidRDefault="009823C7" w:rsidP="009823C7">
      <w:pPr>
        <w:pStyle w:val="Captions"/>
        <w:spacing w:after="120" w:line="276" w:lineRule="auto"/>
        <w:ind w:firstLine="0"/>
        <w:rPr>
          <w:b w:val="0"/>
          <w:sz w:val="16"/>
          <w:szCs w:val="16"/>
        </w:rPr>
      </w:pPr>
      <w:r>
        <w:rPr>
          <w:sz w:val="16"/>
          <w:szCs w:val="16"/>
        </w:rPr>
        <w:t xml:space="preserve">Table 1. </w:t>
      </w:r>
      <w:r>
        <w:rPr>
          <w:b w:val="0"/>
          <w:sz w:val="16"/>
          <w:szCs w:val="16"/>
        </w:rPr>
        <w:t>Molecular weight characteristics of the polymers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</w:tblGrid>
      <w:tr w:rsidR="009823C7" w:rsidRPr="009823C7" w14:paraId="231205C4" w14:textId="77777777" w:rsidTr="00D66893">
        <w:trPr>
          <w:trHeight w:val="227"/>
          <w:jc w:val="center"/>
        </w:trPr>
        <w:tc>
          <w:tcPr>
            <w:tcW w:w="1167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83E43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Polymer</w:t>
            </w:r>
          </w:p>
        </w:tc>
        <w:tc>
          <w:tcPr>
            <w:tcW w:w="350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9878C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Molecular weight characteristics</w:t>
            </w:r>
          </w:p>
        </w:tc>
      </w:tr>
      <w:tr w:rsidR="009823C7" w:rsidRPr="009823C7" w14:paraId="25671D90" w14:textId="77777777" w:rsidTr="00D66893">
        <w:trPr>
          <w:trHeight w:val="227"/>
          <w:jc w:val="center"/>
        </w:trPr>
        <w:tc>
          <w:tcPr>
            <w:tcW w:w="116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3E615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E57BE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66893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M</w:t>
            </w:r>
            <w:r w:rsidRPr="00D66893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n</w:t>
            </w: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kDa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8902FE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66893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M</w:t>
            </w:r>
            <w:r w:rsidRPr="00D66893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w</w:t>
            </w: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kDa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44A47D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PDI</w:t>
            </w:r>
          </w:p>
        </w:tc>
      </w:tr>
      <w:tr w:rsidR="009823C7" w:rsidRPr="009823C7" w14:paraId="599DC9BD" w14:textId="77777777" w:rsidTr="00D66893">
        <w:trPr>
          <w:trHeight w:val="227"/>
          <w:jc w:val="center"/>
        </w:trPr>
        <w:tc>
          <w:tcPr>
            <w:tcW w:w="1167" w:type="dxa"/>
            <w:tcBorders>
              <w:top w:val="single" w:sz="4" w:space="0" w:color="auto"/>
            </w:tcBorders>
            <w:vAlign w:val="center"/>
          </w:tcPr>
          <w:p w14:paraId="7FE5E218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Si-10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center"/>
          </w:tcPr>
          <w:p w14:paraId="311FA92E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center"/>
          </w:tcPr>
          <w:p w14:paraId="26AA2A4C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center"/>
          </w:tcPr>
          <w:p w14:paraId="69255E41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</w:tr>
      <w:tr w:rsidR="009823C7" w:rsidRPr="009823C7" w14:paraId="45E0660D" w14:textId="77777777" w:rsidTr="00D66893">
        <w:trPr>
          <w:trHeight w:val="227"/>
          <w:jc w:val="center"/>
        </w:trPr>
        <w:tc>
          <w:tcPr>
            <w:tcW w:w="1167" w:type="dxa"/>
            <w:vAlign w:val="center"/>
          </w:tcPr>
          <w:p w14:paraId="1551479B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Si-50</w:t>
            </w:r>
          </w:p>
        </w:tc>
        <w:tc>
          <w:tcPr>
            <w:tcW w:w="1167" w:type="dxa"/>
            <w:vAlign w:val="center"/>
          </w:tcPr>
          <w:p w14:paraId="6A34C705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67" w:type="dxa"/>
            <w:vAlign w:val="center"/>
          </w:tcPr>
          <w:p w14:paraId="05C3F020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67" w:type="dxa"/>
            <w:vAlign w:val="center"/>
          </w:tcPr>
          <w:p w14:paraId="48DF9EEB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</w:tr>
      <w:tr w:rsidR="009823C7" w:rsidRPr="009823C7" w14:paraId="5EF0206C" w14:textId="77777777" w:rsidTr="00D66893">
        <w:trPr>
          <w:trHeight w:val="227"/>
          <w:jc w:val="center"/>
        </w:trPr>
        <w:tc>
          <w:tcPr>
            <w:tcW w:w="1167" w:type="dxa"/>
            <w:vAlign w:val="center"/>
          </w:tcPr>
          <w:p w14:paraId="4CB7E1E7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C-10</w:t>
            </w:r>
          </w:p>
        </w:tc>
        <w:tc>
          <w:tcPr>
            <w:tcW w:w="1167" w:type="dxa"/>
            <w:vAlign w:val="center"/>
          </w:tcPr>
          <w:p w14:paraId="45624B4F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67" w:type="dxa"/>
            <w:vAlign w:val="center"/>
          </w:tcPr>
          <w:p w14:paraId="66F00138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67" w:type="dxa"/>
            <w:vAlign w:val="center"/>
          </w:tcPr>
          <w:p w14:paraId="206BB449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</w:tr>
      <w:tr w:rsidR="009823C7" w:rsidRPr="009823C7" w14:paraId="68039365" w14:textId="77777777" w:rsidTr="00D66893">
        <w:trPr>
          <w:trHeight w:val="227"/>
          <w:jc w:val="center"/>
        </w:trPr>
        <w:tc>
          <w:tcPr>
            <w:tcW w:w="1167" w:type="dxa"/>
            <w:tcBorders>
              <w:bottom w:val="single" w:sz="4" w:space="0" w:color="auto"/>
            </w:tcBorders>
            <w:vAlign w:val="center"/>
          </w:tcPr>
          <w:p w14:paraId="3D18A926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C-50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center"/>
          </w:tcPr>
          <w:p w14:paraId="761DEF71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119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center"/>
          </w:tcPr>
          <w:p w14:paraId="7577BDAE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331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center"/>
          </w:tcPr>
          <w:p w14:paraId="0DB4B154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</w:tr>
    </w:tbl>
    <w:p w14:paraId="6C3A6627" w14:textId="77777777" w:rsidR="009823C7" w:rsidRDefault="009823C7" w:rsidP="009823C7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en-US"/>
        </w:rPr>
        <w:t>Table 2.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D66893">
        <w:rPr>
          <w:rFonts w:ascii="Times New Roman" w:hAnsi="Times New Roman" w:cs="Times New Roman"/>
          <w:sz w:val="16"/>
          <w:szCs w:val="16"/>
          <w:lang w:val="en-US"/>
        </w:rPr>
        <w:t>R</w:t>
      </w:r>
      <w:r>
        <w:rPr>
          <w:rFonts w:ascii="Times New Roman" w:hAnsi="Times New Roman" w:cs="Times New Roman"/>
          <w:sz w:val="16"/>
          <w:szCs w:val="16"/>
          <w:lang w:val="en-US"/>
        </w:rPr>
        <w:t>esults of thermogravimetric analysis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4"/>
        <w:gridCol w:w="1422"/>
        <w:gridCol w:w="1537"/>
      </w:tblGrid>
      <w:tr w:rsidR="009823C7" w:rsidRPr="009823C7" w14:paraId="6D9D4439" w14:textId="77777777" w:rsidTr="00D66893">
        <w:trPr>
          <w:trHeight w:val="227"/>
          <w:jc w:val="center"/>
        </w:trPr>
        <w:tc>
          <w:tcPr>
            <w:tcW w:w="1584" w:type="dxa"/>
            <w:vMerge w:val="restart"/>
            <w:tcBorders>
              <w:top w:val="single" w:sz="4" w:space="0" w:color="auto"/>
            </w:tcBorders>
            <w:vAlign w:val="center"/>
          </w:tcPr>
          <w:p w14:paraId="176DC58E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Polymer</w:t>
            </w:r>
          </w:p>
        </w:tc>
        <w:tc>
          <w:tcPr>
            <w:tcW w:w="29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094E7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 wt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% loss, </w:t>
            </w:r>
            <w:r w:rsidR="00D668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°C</w:t>
            </w:r>
          </w:p>
        </w:tc>
      </w:tr>
      <w:tr w:rsidR="009823C7" w:rsidRPr="009823C7" w14:paraId="4542A0AB" w14:textId="77777777" w:rsidTr="00D66893">
        <w:trPr>
          <w:trHeight w:val="227"/>
          <w:jc w:val="center"/>
        </w:trPr>
        <w:tc>
          <w:tcPr>
            <w:tcW w:w="1584" w:type="dxa"/>
            <w:vMerge/>
            <w:tcBorders>
              <w:bottom w:val="single" w:sz="4" w:space="0" w:color="auto"/>
            </w:tcBorders>
            <w:vAlign w:val="center"/>
          </w:tcPr>
          <w:p w14:paraId="454F2489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396FEB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Air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73D2D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</w:t>
            </w:r>
            <w:proofErr w:type="spellEnd"/>
          </w:p>
        </w:tc>
      </w:tr>
      <w:tr w:rsidR="009823C7" w:rsidRPr="009823C7" w14:paraId="08E138BF" w14:textId="77777777" w:rsidTr="00D66893">
        <w:trPr>
          <w:trHeight w:val="227"/>
          <w:jc w:val="center"/>
        </w:trPr>
        <w:tc>
          <w:tcPr>
            <w:tcW w:w="1584" w:type="dxa"/>
            <w:tcBorders>
              <w:top w:val="single" w:sz="4" w:space="0" w:color="auto"/>
            </w:tcBorders>
            <w:vAlign w:val="center"/>
          </w:tcPr>
          <w:p w14:paraId="281A983D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Si-10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vAlign w:val="center"/>
          </w:tcPr>
          <w:p w14:paraId="1F4F2704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348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14:paraId="3A98898A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404</w:t>
            </w:r>
          </w:p>
        </w:tc>
      </w:tr>
      <w:tr w:rsidR="009823C7" w:rsidRPr="009823C7" w14:paraId="7C392F5A" w14:textId="77777777" w:rsidTr="00D66893">
        <w:trPr>
          <w:trHeight w:val="227"/>
          <w:jc w:val="center"/>
        </w:trPr>
        <w:tc>
          <w:tcPr>
            <w:tcW w:w="1584" w:type="dxa"/>
            <w:vAlign w:val="center"/>
          </w:tcPr>
          <w:p w14:paraId="434AA10C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Si-50</w:t>
            </w:r>
          </w:p>
        </w:tc>
        <w:tc>
          <w:tcPr>
            <w:tcW w:w="1422" w:type="dxa"/>
            <w:vAlign w:val="center"/>
          </w:tcPr>
          <w:p w14:paraId="211122E7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355</w:t>
            </w:r>
          </w:p>
        </w:tc>
        <w:tc>
          <w:tcPr>
            <w:tcW w:w="1537" w:type="dxa"/>
            <w:vAlign w:val="center"/>
          </w:tcPr>
          <w:p w14:paraId="2974ADB8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405</w:t>
            </w:r>
          </w:p>
        </w:tc>
      </w:tr>
      <w:tr w:rsidR="009823C7" w:rsidRPr="009823C7" w14:paraId="5444E79B" w14:textId="77777777" w:rsidTr="00D66893">
        <w:trPr>
          <w:trHeight w:val="227"/>
          <w:jc w:val="center"/>
        </w:trPr>
        <w:tc>
          <w:tcPr>
            <w:tcW w:w="1584" w:type="dxa"/>
            <w:vAlign w:val="center"/>
          </w:tcPr>
          <w:p w14:paraId="38DA82C9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C-10</w:t>
            </w:r>
          </w:p>
        </w:tc>
        <w:tc>
          <w:tcPr>
            <w:tcW w:w="1422" w:type="dxa"/>
            <w:vAlign w:val="center"/>
          </w:tcPr>
          <w:p w14:paraId="31D832DC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319</w:t>
            </w:r>
          </w:p>
        </w:tc>
        <w:tc>
          <w:tcPr>
            <w:tcW w:w="1537" w:type="dxa"/>
            <w:vAlign w:val="center"/>
          </w:tcPr>
          <w:p w14:paraId="4E23F398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379</w:t>
            </w:r>
          </w:p>
        </w:tc>
      </w:tr>
      <w:tr w:rsidR="009823C7" w:rsidRPr="009823C7" w14:paraId="6F919F99" w14:textId="77777777" w:rsidTr="00D66893">
        <w:trPr>
          <w:trHeight w:val="227"/>
          <w:jc w:val="center"/>
        </w:trPr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14:paraId="727619E5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C-50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14:paraId="37CC584F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314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vAlign w:val="center"/>
          </w:tcPr>
          <w:p w14:paraId="35649AC1" w14:textId="77777777" w:rsidR="009823C7" w:rsidRPr="009823C7" w:rsidRDefault="009823C7" w:rsidP="00D6689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823C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9823C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74</w:t>
            </w:r>
          </w:p>
        </w:tc>
      </w:tr>
    </w:tbl>
    <w:p w14:paraId="40A4A758" w14:textId="7B8DF183" w:rsidR="00F61C17" w:rsidRPr="009975A9" w:rsidRDefault="00F61C17" w:rsidP="009975A9">
      <w:pPr>
        <w:spacing w:before="240" w:after="240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argon, </w:t>
      </w:r>
      <w:r w:rsidRPr="00F61C17">
        <w:rPr>
          <w:rFonts w:ascii="Times New Roman" w:hAnsi="Times New Roman" w:cs="Times New Roman"/>
          <w:sz w:val="18"/>
          <w:szCs w:val="18"/>
          <w:lang w:val="en-US"/>
        </w:rPr>
        <w:t>indicating their high thermal stability. The polysiloxane main-chain polymers display</w:t>
      </w:r>
      <w:r w:rsidR="009975A9"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F61C17">
        <w:rPr>
          <w:rFonts w:ascii="Times New Roman" w:hAnsi="Times New Roman" w:cs="Times New Roman"/>
          <w:sz w:val="18"/>
          <w:szCs w:val="18"/>
          <w:lang w:val="en-US"/>
        </w:rPr>
        <w:t xml:space="preserve"> improved thermal stability: above 348 ℃ in the air and above 404 °C under argon.</w:t>
      </w:r>
    </w:p>
    <w:p w14:paraId="07B4B111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39F98157" w14:textId="16FFBA9A" w:rsidR="00F94740" w:rsidRPr="00D66893" w:rsidRDefault="009823C7" w:rsidP="00A231B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F1C52">
        <w:rPr>
          <w:rFonts w:ascii="Times New Roman" w:hAnsi="Times New Roman" w:cs="Times New Roman"/>
          <w:sz w:val="18"/>
          <w:szCs w:val="18"/>
          <w:lang w:val="en-US"/>
        </w:rPr>
        <w:t xml:space="preserve">The synthetic </w:t>
      </w:r>
      <w:r w:rsidR="00D66893">
        <w:rPr>
          <w:rFonts w:ascii="Times New Roman" w:hAnsi="Times New Roman" w:cs="Times New Roman"/>
          <w:sz w:val="18"/>
          <w:szCs w:val="18"/>
          <w:lang w:val="en-US"/>
        </w:rPr>
        <w:t xml:space="preserve">route to the </w:t>
      </w:r>
      <w:r w:rsidRPr="006F1C52">
        <w:rPr>
          <w:rFonts w:ascii="Times New Roman" w:hAnsi="Times New Roman" w:cs="Times New Roman"/>
          <w:sz w:val="18"/>
          <w:szCs w:val="18"/>
          <w:lang w:val="en-US"/>
        </w:rPr>
        <w:t>TADF polymers with polystyrene and polysiloxane main chain</w:t>
      </w:r>
      <w:r w:rsidR="00D66893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6F1C5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3337A">
        <w:rPr>
          <w:rFonts w:ascii="Times New Roman" w:hAnsi="Times New Roman" w:cs="Times New Roman"/>
          <w:sz w:val="18"/>
          <w:szCs w:val="18"/>
          <w:lang w:val="en-US"/>
        </w:rPr>
        <w:t>was elaborated</w:t>
      </w:r>
      <w:r w:rsidRPr="003B7467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D66893">
        <w:rPr>
          <w:rFonts w:ascii="Times New Roman" w:hAnsi="Times New Roman" w:cs="Times New Roman"/>
          <w:sz w:val="18"/>
          <w:szCs w:val="18"/>
          <w:lang w:val="en-US"/>
        </w:rPr>
        <w:t>The m</w:t>
      </w:r>
      <w:r w:rsidRPr="003B7467">
        <w:rPr>
          <w:rFonts w:ascii="Times New Roman" w:hAnsi="Times New Roman" w:cs="Times New Roman"/>
          <w:sz w:val="18"/>
          <w:szCs w:val="18"/>
          <w:lang w:val="en-US"/>
        </w:rPr>
        <w:t xml:space="preserve">olecular weight </w:t>
      </w:r>
      <w:r w:rsidRPr="00B910C6">
        <w:rPr>
          <w:rFonts w:ascii="Times New Roman" w:hAnsi="Times New Roman" w:cs="Times New Roman"/>
          <w:sz w:val="18"/>
          <w:szCs w:val="18"/>
          <w:lang w:val="en-US"/>
        </w:rPr>
        <w:t xml:space="preserve">distributions </w:t>
      </w:r>
      <w:r w:rsidRPr="006721E8">
        <w:rPr>
          <w:rFonts w:ascii="Times New Roman" w:hAnsi="Times New Roman" w:cs="Times New Roman"/>
          <w:sz w:val="18"/>
          <w:szCs w:val="18"/>
          <w:lang w:val="en-US"/>
        </w:rPr>
        <w:t xml:space="preserve">are </w:t>
      </w:r>
      <w:r w:rsidR="00D66893">
        <w:rPr>
          <w:rFonts w:ascii="Times New Roman" w:hAnsi="Times New Roman" w:cs="Times New Roman"/>
          <w:sz w:val="18"/>
          <w:szCs w:val="18"/>
          <w:lang w:val="en-US"/>
        </w:rPr>
        <w:t xml:space="preserve">in good agreement </w:t>
      </w:r>
      <w:r w:rsidRPr="006721E8">
        <w:rPr>
          <w:rFonts w:ascii="Times New Roman" w:hAnsi="Times New Roman" w:cs="Times New Roman"/>
          <w:sz w:val="18"/>
          <w:szCs w:val="18"/>
          <w:lang w:val="en-US"/>
        </w:rPr>
        <w:t xml:space="preserve">with </w:t>
      </w:r>
      <w:r w:rsidRPr="0051447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73086B">
        <w:rPr>
          <w:rFonts w:ascii="Times New Roman" w:hAnsi="Times New Roman" w:cs="Times New Roman"/>
          <w:sz w:val="18"/>
          <w:szCs w:val="18"/>
          <w:lang w:val="en-US"/>
        </w:rPr>
        <w:t>literature data for</w:t>
      </w:r>
      <w:r w:rsidRPr="00F52AB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66893">
        <w:rPr>
          <w:rFonts w:ascii="Times New Roman" w:hAnsi="Times New Roman" w:cs="Times New Roman"/>
          <w:i/>
          <w:sz w:val="18"/>
          <w:szCs w:val="18"/>
          <w:lang w:val="en-US"/>
        </w:rPr>
        <w:t>N</w:t>
      </w:r>
      <w:r w:rsidR="00D66893">
        <w:rPr>
          <w:rFonts w:ascii="Times New Roman" w:hAnsi="Times New Roman" w:cs="Times New Roman"/>
          <w:sz w:val="18"/>
          <w:szCs w:val="18"/>
          <w:lang w:val="en-US"/>
        </w:rPr>
        <w:t>-(3-</w:t>
      </w:r>
      <w:proofErr w:type="gramStart"/>
      <w:r w:rsidR="00D66893">
        <w:rPr>
          <w:rFonts w:ascii="Times New Roman" w:hAnsi="Times New Roman" w:cs="Times New Roman"/>
          <w:sz w:val="18"/>
          <w:szCs w:val="18"/>
          <w:lang w:val="en-US"/>
        </w:rPr>
        <w:t>ethenylphenyl)</w:t>
      </w:r>
      <w:r w:rsidRPr="00F52AB6">
        <w:rPr>
          <w:rFonts w:ascii="Times New Roman" w:hAnsi="Times New Roman" w:cs="Times New Roman"/>
          <w:sz w:val="18"/>
          <w:szCs w:val="18"/>
          <w:lang w:val="en-US"/>
        </w:rPr>
        <w:t>acridan</w:t>
      </w:r>
      <w:proofErr w:type="gramEnd"/>
      <w:r w:rsidRPr="00F52AB6">
        <w:rPr>
          <w:rFonts w:ascii="Times New Roman" w:hAnsi="Times New Roman" w:cs="Times New Roman"/>
          <w:sz w:val="18"/>
          <w:szCs w:val="18"/>
          <w:lang w:val="en-US"/>
        </w:rPr>
        <w:t xml:space="preserve"> and 2-(3-vinylphenyl)-4,6-diphenyl-1,3,5-triazine copolymers [</w:t>
      </w:r>
      <w:r w:rsidRPr="00AE2BB6">
        <w:rPr>
          <w:rFonts w:ascii="Times New Roman" w:hAnsi="Times New Roman" w:cs="Times New Roman"/>
          <w:sz w:val="18"/>
          <w:szCs w:val="18"/>
          <w:lang w:val="en-US"/>
        </w:rPr>
        <w:t>10]. The p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olymers with </w:t>
      </w:r>
      <w:r w:rsidR="00D6689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polysiloxane backbone </w:t>
      </w:r>
      <w:r w:rsidR="00D66893">
        <w:rPr>
          <w:rFonts w:ascii="Times New Roman" w:hAnsi="Times New Roman" w:cs="Times New Roman"/>
          <w:sz w:val="18"/>
          <w:szCs w:val="18"/>
          <w:lang w:val="en-US"/>
        </w:rPr>
        <w:t>were obtained in</w:t>
      </w:r>
      <w:r w:rsidRPr="0035458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66893">
        <w:rPr>
          <w:rFonts w:ascii="Times New Roman" w:hAnsi="Times New Roman" w:cs="Times New Roman"/>
          <w:sz w:val="18"/>
          <w:szCs w:val="18"/>
          <w:lang w:val="en-US"/>
        </w:rPr>
        <w:t>lower</w:t>
      </w:r>
      <w:r w:rsidRPr="00BB0489">
        <w:rPr>
          <w:rFonts w:ascii="Times New Roman" w:hAnsi="Times New Roman" w:cs="Times New Roman"/>
          <w:sz w:val="18"/>
          <w:szCs w:val="18"/>
          <w:lang w:val="en-US"/>
        </w:rPr>
        <w:t xml:space="preserve"> yields</w:t>
      </w:r>
      <w:r w:rsidRPr="006F1C52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D66893">
        <w:rPr>
          <w:rFonts w:ascii="Times New Roman" w:hAnsi="Times New Roman" w:cs="Times New Roman"/>
          <w:sz w:val="18"/>
          <w:szCs w:val="18"/>
          <w:lang w:val="en-US"/>
        </w:rPr>
        <w:t xml:space="preserve"> but feature</w:t>
      </w:r>
      <w:r w:rsidRPr="006F1C52">
        <w:rPr>
          <w:rFonts w:ascii="Times New Roman" w:hAnsi="Times New Roman" w:cs="Times New Roman"/>
          <w:sz w:val="18"/>
          <w:szCs w:val="18"/>
          <w:lang w:val="en-US"/>
        </w:rPr>
        <w:t xml:space="preserve"> more reproducible molecular weigh</w:t>
      </w:r>
      <w:r w:rsidRPr="0023337A">
        <w:rPr>
          <w:rFonts w:ascii="Times New Roman" w:hAnsi="Times New Roman" w:cs="Times New Roman"/>
          <w:sz w:val="18"/>
          <w:szCs w:val="18"/>
          <w:lang w:val="en-US"/>
        </w:rPr>
        <w:t xml:space="preserve">t properties and better thermal stability in comparison </w:t>
      </w:r>
      <w:r w:rsidR="00D66893">
        <w:rPr>
          <w:rFonts w:ascii="Times New Roman" w:hAnsi="Times New Roman" w:cs="Times New Roman"/>
          <w:sz w:val="18"/>
          <w:szCs w:val="18"/>
          <w:lang w:val="en-US"/>
        </w:rPr>
        <w:t>to</w:t>
      </w:r>
      <w:r w:rsidRPr="0023337A">
        <w:rPr>
          <w:rFonts w:ascii="Times New Roman" w:hAnsi="Times New Roman" w:cs="Times New Roman"/>
          <w:sz w:val="18"/>
          <w:szCs w:val="18"/>
          <w:lang w:val="en-US"/>
        </w:rPr>
        <w:t xml:space="preserve"> the </w:t>
      </w:r>
      <w:r w:rsidRPr="003B7467">
        <w:rPr>
          <w:rFonts w:ascii="Times New Roman" w:hAnsi="Times New Roman" w:cs="Times New Roman"/>
          <w:sz w:val="18"/>
          <w:szCs w:val="18"/>
          <w:lang w:val="en-US"/>
        </w:rPr>
        <w:t>polystyrene analogs.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D6689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TADF characterization with </w:t>
      </w:r>
      <w:r w:rsidR="00D6689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val="en-US"/>
        </w:rPr>
        <w:t>fluorescence kinetic stud</w:t>
      </w:r>
      <w:r w:rsidR="00D66893">
        <w:rPr>
          <w:rFonts w:ascii="Times New Roman" w:hAnsi="Times New Roman" w:cs="Times New Roman"/>
          <w:sz w:val="18"/>
          <w:szCs w:val="18"/>
          <w:lang w:val="en-US"/>
        </w:rPr>
        <w:t>ies will be presented in due course.</w:t>
      </w:r>
    </w:p>
    <w:p w14:paraId="33E3A7DE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3FABD181" w14:textId="77777777" w:rsidR="00F94740" w:rsidRPr="006070A2" w:rsidRDefault="009823C7" w:rsidP="00F94740">
      <w:pPr>
        <w:pStyle w:val="MainText"/>
        <w:ind w:firstLine="284"/>
      </w:pPr>
      <w:r>
        <w:t>This work was performed with</w:t>
      </w:r>
      <w:r w:rsidR="00F61C17">
        <w:t xml:space="preserve"> financial </w:t>
      </w:r>
      <w:r w:rsidRPr="00F61C17">
        <w:t xml:space="preserve">support </w:t>
      </w:r>
      <w:r w:rsidRPr="009823C7">
        <w:rPr>
          <w:highlight w:val="green"/>
        </w:rPr>
        <w:t>from FFSM</w:t>
      </w:r>
      <w:r>
        <w:t xml:space="preserve"> (project FFSM-2024-0003).</w:t>
      </w:r>
    </w:p>
    <w:p w14:paraId="3D91243F" w14:textId="7777777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04284B53" w14:textId="77777777"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9823C7" w:rsidRPr="009823C7">
        <w:rPr>
          <w:rStyle w:val="af3"/>
          <w:color w:val="000000" w:themeColor="text1"/>
          <w:u w:val="none"/>
        </w:rPr>
        <w:t>borshchev@ispm.ru</w:t>
      </w:r>
      <w:r w:rsidR="009823C7">
        <w:rPr>
          <w:rStyle w:val="af3"/>
          <w:color w:val="000000" w:themeColor="text1"/>
          <w:u w:val="none"/>
        </w:rPr>
        <w:t xml:space="preserve"> (O. V. Borshchev).</w:t>
      </w:r>
    </w:p>
    <w:p w14:paraId="18DE58BE" w14:textId="77777777"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14:paraId="24FF1D3C" w14:textId="77777777" w:rsidR="00161894" w:rsidRPr="00A15F05" w:rsidRDefault="008C0639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F44026">
        <w:rPr>
          <w:rFonts w:ascii="Times New Roman" w:hAnsi="Times New Roman" w:cs="Times New Roman"/>
          <w:b w:val="0"/>
          <w:sz w:val="18"/>
          <w:szCs w:val="18"/>
        </w:rPr>
        <w:t xml:space="preserve">Electronic supplementary information (ESI) available online: </w:t>
      </w:r>
      <w:r w:rsidRPr="00F61C17">
        <w:rPr>
          <w:rFonts w:ascii="Times New Roman" w:hAnsi="Times New Roman" w:cs="Times New Roman"/>
          <w:b w:val="0"/>
          <w:sz w:val="18"/>
          <w:szCs w:val="18"/>
          <w:highlight w:val="green"/>
        </w:rPr>
        <w:t xml:space="preserve">the experimental section, NMR </w:t>
      </w:r>
      <w:r w:rsidR="00F61C17" w:rsidRPr="00F61C17">
        <w:rPr>
          <w:rFonts w:ascii="Times New Roman" w:hAnsi="Times New Roman" w:cs="Times New Roman"/>
          <w:b w:val="0"/>
          <w:sz w:val="18"/>
          <w:szCs w:val="18"/>
          <w:highlight w:val="green"/>
        </w:rPr>
        <w:t xml:space="preserve">and MALDI </w:t>
      </w:r>
      <w:r w:rsidRPr="00F61C17">
        <w:rPr>
          <w:rFonts w:ascii="Times New Roman" w:hAnsi="Times New Roman" w:cs="Times New Roman"/>
          <w:b w:val="0"/>
          <w:sz w:val="18"/>
          <w:szCs w:val="18"/>
          <w:highlight w:val="green"/>
        </w:rPr>
        <w:t xml:space="preserve">spectra, </w:t>
      </w:r>
      <w:r w:rsidR="00F61C17" w:rsidRPr="00F61C17">
        <w:rPr>
          <w:rFonts w:ascii="Times New Roman" w:hAnsi="Times New Roman" w:cs="Times New Roman"/>
          <w:b w:val="0"/>
          <w:sz w:val="18"/>
          <w:szCs w:val="18"/>
          <w:highlight w:val="green"/>
        </w:rPr>
        <w:t>thermal data</w:t>
      </w:r>
      <w:r w:rsidRPr="00F61C17">
        <w:rPr>
          <w:rFonts w:ascii="Times New Roman" w:hAnsi="Times New Roman" w:cs="Times New Roman"/>
          <w:b w:val="0"/>
          <w:sz w:val="18"/>
          <w:szCs w:val="18"/>
          <w:highlight w:val="green"/>
        </w:rPr>
        <w:t>.</w:t>
      </w:r>
      <w:r w:rsidRPr="00F44026">
        <w:rPr>
          <w:rFonts w:ascii="Times New Roman" w:hAnsi="Times New Roman" w:cs="Times New Roman"/>
          <w:b w:val="0"/>
          <w:sz w:val="18"/>
          <w:szCs w:val="18"/>
        </w:rPr>
        <w:t xml:space="preserve"> For ESI, see DOI: 10.32931/</w:t>
      </w:r>
      <w:proofErr w:type="spellStart"/>
      <w:r w:rsidRPr="00F44026">
        <w:rPr>
          <w:rFonts w:ascii="Times New Roman" w:hAnsi="Times New Roman" w:cs="Times New Roman"/>
          <w:b w:val="0"/>
          <w:sz w:val="18"/>
          <w:szCs w:val="18"/>
        </w:rPr>
        <w:t>io</w:t>
      </w:r>
      <w:r>
        <w:rPr>
          <w:rFonts w:ascii="Times New Roman" w:hAnsi="Times New Roman" w:cs="Times New Roman"/>
          <w:b w:val="0"/>
          <w:sz w:val="18"/>
          <w:szCs w:val="18"/>
        </w:rPr>
        <w:t>XXXXx</w:t>
      </w:r>
      <w:proofErr w:type="spellEnd"/>
      <w:r w:rsidRPr="00F44026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6A1140B7" w14:textId="77777777" w:rsidR="00F94740" w:rsidRPr="00F94740" w:rsidRDefault="00391CB3" w:rsidP="00161894">
      <w:pPr>
        <w:pStyle w:val="Header1"/>
        <w:spacing w:before="240" w:after="240"/>
      </w:pPr>
      <w:r>
        <w:t>References</w:t>
      </w:r>
    </w:p>
    <w:p w14:paraId="32EC95FB" w14:textId="77777777" w:rsidR="009823C7" w:rsidRPr="009823C7" w:rsidRDefault="009823C7" w:rsidP="009823C7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sz w:val="16"/>
          <w:szCs w:val="16"/>
        </w:rPr>
        <w:t>1.</w:t>
      </w:r>
      <w:r>
        <w:rPr>
          <w:rFonts w:ascii="Times New Roman" w:hAnsi="Times New Roman" w:cs="Times New Roman"/>
          <w:b w:val="0"/>
          <w:sz w:val="16"/>
          <w:szCs w:val="16"/>
        </w:rPr>
        <w:tab/>
      </w:r>
      <w:r w:rsidRPr="009823C7">
        <w:rPr>
          <w:rFonts w:ascii="Times New Roman" w:hAnsi="Times New Roman" w:cs="Times New Roman"/>
          <w:b w:val="0"/>
          <w:sz w:val="16"/>
          <w:szCs w:val="16"/>
        </w:rPr>
        <w:t>Y. Wang, Y. Zhu, X. Lin, Y. Yang, B. Zhang, H.</w:t>
      </w:r>
      <w:r w:rsidR="008F00EC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Pr="009823C7">
        <w:rPr>
          <w:rFonts w:ascii="Times New Roman" w:hAnsi="Times New Roman" w:cs="Times New Roman"/>
          <w:b w:val="0"/>
          <w:sz w:val="16"/>
          <w:szCs w:val="16"/>
        </w:rPr>
        <w:t xml:space="preserve">Zhan, Z. Xie, Y. Cheng, </w:t>
      </w:r>
      <w:r w:rsidRPr="009823C7">
        <w:rPr>
          <w:rFonts w:ascii="Times New Roman" w:hAnsi="Times New Roman" w:cs="Times New Roman"/>
          <w:b w:val="0"/>
          <w:i/>
          <w:iCs/>
          <w:sz w:val="16"/>
          <w:szCs w:val="16"/>
        </w:rPr>
        <w:t>J. Mater. Chem. C</w:t>
      </w:r>
      <w:r w:rsidRPr="009823C7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Pr="009823C7">
        <w:rPr>
          <w:rFonts w:ascii="Times New Roman" w:hAnsi="Times New Roman" w:cs="Times New Roman"/>
          <w:bCs/>
          <w:sz w:val="16"/>
          <w:szCs w:val="16"/>
        </w:rPr>
        <w:t>2018</w:t>
      </w:r>
      <w:r w:rsidRPr="009823C7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Pr="008F00EC">
        <w:rPr>
          <w:rFonts w:ascii="Times New Roman" w:hAnsi="Times New Roman" w:cs="Times New Roman"/>
          <w:b w:val="0"/>
          <w:i/>
          <w:sz w:val="16"/>
          <w:szCs w:val="16"/>
        </w:rPr>
        <w:t>6</w:t>
      </w:r>
      <w:r w:rsidRPr="009823C7">
        <w:rPr>
          <w:rFonts w:ascii="Times New Roman" w:hAnsi="Times New Roman" w:cs="Times New Roman"/>
          <w:b w:val="0"/>
          <w:sz w:val="16"/>
          <w:szCs w:val="16"/>
        </w:rPr>
        <w:t>, 568</w:t>
      </w:r>
      <w:r w:rsidR="008F00EC">
        <w:rPr>
          <w:rFonts w:ascii="Times New Roman" w:hAnsi="Times New Roman" w:cs="Times New Roman"/>
          <w:b w:val="0"/>
          <w:sz w:val="16"/>
          <w:szCs w:val="16"/>
        </w:rPr>
        <w:t>–</w:t>
      </w:r>
      <w:r w:rsidRPr="009823C7">
        <w:rPr>
          <w:rFonts w:ascii="Times New Roman" w:hAnsi="Times New Roman" w:cs="Times New Roman"/>
          <w:b w:val="0"/>
          <w:sz w:val="16"/>
          <w:szCs w:val="16"/>
        </w:rPr>
        <w:t>574. DOI: 10.1039/C7TC04994C</w:t>
      </w:r>
    </w:p>
    <w:p w14:paraId="39428E6F" w14:textId="77777777" w:rsidR="009823C7" w:rsidRPr="009823C7" w:rsidRDefault="00391CB3" w:rsidP="009823C7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sz w:val="16"/>
          <w:szCs w:val="16"/>
        </w:rPr>
        <w:t>2.</w:t>
      </w:r>
      <w:r>
        <w:rPr>
          <w:rFonts w:ascii="Times New Roman" w:hAnsi="Times New Roman" w:cs="Times New Roman"/>
          <w:b w:val="0"/>
          <w:sz w:val="16"/>
          <w:szCs w:val="16"/>
        </w:rPr>
        <w:tab/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R. S. </w:t>
      </w:r>
      <w:proofErr w:type="spellStart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Nobuyasu</w:t>
      </w:r>
      <w:proofErr w:type="spellEnd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, Z. Ren, G. C. Griffiths, A. S. Batsanov, P. Data, S. Yan, A. P. Monkman, M. R. Bryce, F. B. Dias</w:t>
      </w:r>
      <w:r w:rsidR="008F00EC">
        <w:rPr>
          <w:rFonts w:ascii="Times New Roman" w:hAnsi="Times New Roman" w:cs="Times New Roman"/>
          <w:b w:val="0"/>
          <w:sz w:val="16"/>
          <w:szCs w:val="16"/>
        </w:rPr>
        <w:t>,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823C7" w:rsidRPr="009823C7">
        <w:rPr>
          <w:rFonts w:ascii="Times New Roman" w:hAnsi="Times New Roman" w:cs="Times New Roman"/>
          <w:b w:val="0"/>
          <w:i/>
          <w:iCs/>
          <w:sz w:val="16"/>
          <w:szCs w:val="16"/>
        </w:rPr>
        <w:t>Adv. Opt</w:t>
      </w:r>
      <w:r w:rsidR="008F00EC">
        <w:rPr>
          <w:rFonts w:ascii="Times New Roman" w:hAnsi="Times New Roman" w:cs="Times New Roman"/>
          <w:b w:val="0"/>
          <w:i/>
          <w:iCs/>
          <w:sz w:val="16"/>
          <w:szCs w:val="16"/>
        </w:rPr>
        <w:t>.</w:t>
      </w:r>
      <w:r w:rsidR="009823C7" w:rsidRPr="009823C7">
        <w:rPr>
          <w:rFonts w:ascii="Times New Roman" w:hAnsi="Times New Roman" w:cs="Times New Roman"/>
          <w:b w:val="0"/>
          <w:i/>
          <w:iCs/>
          <w:sz w:val="16"/>
          <w:szCs w:val="16"/>
        </w:rPr>
        <w:t xml:space="preserve"> Mater</w:t>
      </w:r>
      <w:r w:rsidR="008F00EC">
        <w:rPr>
          <w:rFonts w:ascii="Times New Roman" w:hAnsi="Times New Roman" w:cs="Times New Roman"/>
          <w:b w:val="0"/>
          <w:i/>
          <w:iCs/>
          <w:sz w:val="16"/>
          <w:szCs w:val="16"/>
        </w:rPr>
        <w:t>.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9823C7" w:rsidRPr="009823C7">
        <w:rPr>
          <w:rFonts w:ascii="Times New Roman" w:hAnsi="Times New Roman" w:cs="Times New Roman"/>
          <w:bCs/>
          <w:sz w:val="16"/>
          <w:szCs w:val="16"/>
        </w:rPr>
        <w:t>2016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9823C7" w:rsidRPr="008F00EC">
        <w:rPr>
          <w:rFonts w:ascii="Times New Roman" w:hAnsi="Times New Roman" w:cs="Times New Roman"/>
          <w:b w:val="0"/>
          <w:i/>
          <w:sz w:val="16"/>
          <w:szCs w:val="16"/>
        </w:rPr>
        <w:t>4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, 597</w:t>
      </w:r>
      <w:r w:rsidR="008F00EC">
        <w:rPr>
          <w:rFonts w:ascii="Times New Roman" w:hAnsi="Times New Roman" w:cs="Times New Roman"/>
          <w:b w:val="0"/>
          <w:sz w:val="16"/>
          <w:szCs w:val="16"/>
        </w:rPr>
        <w:t>–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607. </w:t>
      </w:r>
      <w:r w:rsidR="009823C7" w:rsidRPr="00391CB3">
        <w:rPr>
          <w:rFonts w:ascii="Times New Roman" w:hAnsi="Times New Roman" w:cs="Times New Roman"/>
          <w:b w:val="0"/>
          <w:sz w:val="16"/>
          <w:szCs w:val="16"/>
        </w:rPr>
        <w:t>DOI: 10.1002/adom.201500689</w:t>
      </w:r>
    </w:p>
    <w:p w14:paraId="495F0068" w14:textId="77777777" w:rsidR="009823C7" w:rsidRPr="009823C7" w:rsidRDefault="00391CB3" w:rsidP="009823C7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bCs/>
          <w:sz w:val="16"/>
          <w:szCs w:val="16"/>
        </w:rPr>
        <w:t>3.</w:t>
      </w:r>
      <w:r>
        <w:rPr>
          <w:rFonts w:ascii="Times New Roman" w:hAnsi="Times New Roman" w:cs="Times New Roman"/>
          <w:b w:val="0"/>
          <w:bCs/>
          <w:sz w:val="16"/>
          <w:szCs w:val="16"/>
        </w:rPr>
        <w:tab/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>J. Lee, K. Shizu, H. Tanaka, H. Nomura, T. Yasuda, C. Adachi,</w:t>
      </w:r>
      <w:r w:rsidR="009823C7" w:rsidRPr="009823C7">
        <w:rPr>
          <w:rFonts w:ascii="Times New Roman" w:hAnsi="Times New Roman" w:cs="Times New Roman"/>
          <w:b w:val="0"/>
          <w:bCs/>
          <w:i/>
          <w:iCs/>
          <w:sz w:val="16"/>
          <w:szCs w:val="16"/>
        </w:rPr>
        <w:t xml:space="preserve"> J. Mater. Chem. C</w:t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 xml:space="preserve">, </w:t>
      </w:r>
      <w:r w:rsidR="009823C7" w:rsidRPr="009823C7">
        <w:rPr>
          <w:rFonts w:ascii="Times New Roman" w:hAnsi="Times New Roman" w:cs="Times New Roman"/>
          <w:sz w:val="16"/>
          <w:szCs w:val="16"/>
        </w:rPr>
        <w:t>2013</w:t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 xml:space="preserve">, </w:t>
      </w:r>
      <w:r w:rsidR="009823C7" w:rsidRPr="008F00EC">
        <w:rPr>
          <w:rFonts w:ascii="Times New Roman" w:hAnsi="Times New Roman" w:cs="Times New Roman"/>
          <w:b w:val="0"/>
          <w:bCs/>
          <w:i/>
          <w:sz w:val="16"/>
          <w:szCs w:val="16"/>
        </w:rPr>
        <w:t>1</w:t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>, 4599</w:t>
      </w:r>
      <w:r w:rsidR="008F00EC">
        <w:rPr>
          <w:rFonts w:ascii="Times New Roman" w:hAnsi="Times New Roman" w:cs="Times New Roman"/>
          <w:b w:val="0"/>
          <w:bCs/>
          <w:sz w:val="16"/>
          <w:szCs w:val="16"/>
        </w:rPr>
        <w:t>–</w:t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 xml:space="preserve">4604. DOI: </w:t>
      </w:r>
      <w:r w:rsidR="009823C7" w:rsidRPr="00391CB3">
        <w:rPr>
          <w:rFonts w:ascii="Times New Roman" w:hAnsi="Times New Roman" w:cs="Times New Roman"/>
          <w:b w:val="0"/>
          <w:bCs/>
          <w:sz w:val="16"/>
          <w:szCs w:val="16"/>
        </w:rPr>
        <w:t>10.1039/C3TC30699B</w:t>
      </w:r>
    </w:p>
    <w:p w14:paraId="5C9F6594" w14:textId="77777777" w:rsidR="009823C7" w:rsidRPr="00391CB3" w:rsidRDefault="00391CB3" w:rsidP="009823C7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lastRenderedPageBreak/>
        <w:t>4.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9823C7" w:rsidRPr="009823C7">
        <w:rPr>
          <w:rFonts w:ascii="Times New Roman" w:hAnsi="Times New Roman" w:cs="Times New Roman"/>
          <w:sz w:val="16"/>
          <w:szCs w:val="16"/>
          <w:lang w:val="en-US"/>
        </w:rPr>
        <w:t>J. Hu, Q. Li, X. Wang, S. Shao, L. Wang, X. Jing, F. Wang</w:t>
      </w:r>
      <w:r w:rsidR="009823C7" w:rsidRPr="009823C7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="009823C7" w:rsidRPr="009823C7">
        <w:rPr>
          <w:rFonts w:ascii="Times New Roman" w:hAnsi="Times New Roman" w:cs="Times New Roman"/>
          <w:i/>
          <w:iCs/>
          <w:sz w:val="16"/>
          <w:szCs w:val="16"/>
          <w:lang w:val="en-US"/>
        </w:rPr>
        <w:t>Angew</w:t>
      </w:r>
      <w:proofErr w:type="spellEnd"/>
      <w:r w:rsidR="009823C7" w:rsidRPr="009823C7">
        <w:rPr>
          <w:rFonts w:ascii="Times New Roman" w:hAnsi="Times New Roman" w:cs="Times New Roman"/>
          <w:i/>
          <w:iCs/>
          <w:sz w:val="16"/>
          <w:szCs w:val="16"/>
          <w:lang w:val="en-US"/>
        </w:rPr>
        <w:t>. Chem.</w:t>
      </w:r>
      <w:r w:rsidR="008F00EC">
        <w:rPr>
          <w:rFonts w:ascii="Times New Roman" w:hAnsi="Times New Roman" w:cs="Times New Roman"/>
          <w:iCs/>
          <w:sz w:val="16"/>
          <w:szCs w:val="16"/>
          <w:lang w:val="en-US"/>
        </w:rPr>
        <w:t>,</w:t>
      </w:r>
      <w:r w:rsidR="009823C7" w:rsidRPr="009823C7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Int. Ed.</w:t>
      </w:r>
      <w:r w:rsidR="009823C7" w:rsidRPr="009823C7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="009823C7" w:rsidRPr="009823C7">
        <w:rPr>
          <w:rFonts w:ascii="Times New Roman" w:hAnsi="Times New Roman" w:cs="Times New Roman"/>
          <w:b/>
          <w:sz w:val="16"/>
          <w:szCs w:val="16"/>
          <w:lang w:val="en-US"/>
        </w:rPr>
        <w:t>2019</w:t>
      </w:r>
      <w:r w:rsidR="009823C7" w:rsidRPr="009823C7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="009823C7" w:rsidRPr="008F00EC">
        <w:rPr>
          <w:rFonts w:ascii="Times New Roman" w:hAnsi="Times New Roman" w:cs="Times New Roman"/>
          <w:bCs/>
          <w:i/>
          <w:sz w:val="16"/>
          <w:szCs w:val="16"/>
          <w:lang w:val="en-US"/>
        </w:rPr>
        <w:t>58</w:t>
      </w:r>
      <w:r w:rsidR="009823C7" w:rsidRPr="009823C7">
        <w:rPr>
          <w:rFonts w:ascii="Times New Roman" w:hAnsi="Times New Roman" w:cs="Times New Roman"/>
          <w:bCs/>
          <w:sz w:val="16"/>
          <w:szCs w:val="16"/>
          <w:lang w:val="en-US"/>
        </w:rPr>
        <w:t>, 8405</w:t>
      </w:r>
      <w:r w:rsidR="008F00EC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9823C7" w:rsidRPr="009823C7">
        <w:rPr>
          <w:rFonts w:ascii="Times New Roman" w:hAnsi="Times New Roman" w:cs="Times New Roman"/>
          <w:sz w:val="16"/>
          <w:szCs w:val="16"/>
          <w:lang w:val="en-US"/>
        </w:rPr>
        <w:t>8409.</w:t>
      </w:r>
      <w:r w:rsidR="009823C7" w:rsidRPr="00391CB3">
        <w:rPr>
          <w:rFonts w:ascii="Times New Roman" w:hAnsi="Times New Roman" w:cs="Times New Roman"/>
          <w:sz w:val="16"/>
          <w:szCs w:val="16"/>
          <w:lang w:val="en-US"/>
        </w:rPr>
        <w:t xml:space="preserve"> DOI: 10.1002/anie.201902264</w:t>
      </w:r>
    </w:p>
    <w:p w14:paraId="6A08C9C3" w14:textId="77777777" w:rsidR="009823C7" w:rsidRPr="009823C7" w:rsidRDefault="00391CB3" w:rsidP="009823C7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bCs/>
          <w:sz w:val="16"/>
          <w:szCs w:val="16"/>
        </w:rPr>
        <w:t>5.</w:t>
      </w:r>
      <w:r>
        <w:rPr>
          <w:rFonts w:ascii="Times New Roman" w:hAnsi="Times New Roman" w:cs="Times New Roman"/>
          <w:b w:val="0"/>
          <w:bCs/>
          <w:sz w:val="16"/>
          <w:szCs w:val="16"/>
        </w:rPr>
        <w:tab/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 xml:space="preserve">M.-K. Hung, K.-W. Tsai, S. Sharma, J.-Y. Wu, S.-A. Chen, </w:t>
      </w:r>
      <w:proofErr w:type="spellStart"/>
      <w:r w:rsidR="009823C7" w:rsidRPr="009823C7">
        <w:rPr>
          <w:rFonts w:ascii="Times New Roman" w:hAnsi="Times New Roman" w:cs="Times New Roman"/>
          <w:b w:val="0"/>
          <w:bCs/>
          <w:i/>
          <w:iCs/>
          <w:sz w:val="16"/>
          <w:szCs w:val="16"/>
        </w:rPr>
        <w:t>Angew</w:t>
      </w:r>
      <w:proofErr w:type="spellEnd"/>
      <w:r w:rsidR="009823C7" w:rsidRPr="009823C7">
        <w:rPr>
          <w:rFonts w:ascii="Times New Roman" w:hAnsi="Times New Roman" w:cs="Times New Roman"/>
          <w:b w:val="0"/>
          <w:bCs/>
          <w:i/>
          <w:iCs/>
          <w:sz w:val="16"/>
          <w:szCs w:val="16"/>
        </w:rPr>
        <w:t>. Chem.</w:t>
      </w:r>
      <w:r w:rsidR="008C0639">
        <w:rPr>
          <w:rFonts w:ascii="Times New Roman" w:hAnsi="Times New Roman" w:cs="Times New Roman"/>
          <w:b w:val="0"/>
          <w:bCs/>
          <w:iCs/>
          <w:sz w:val="16"/>
          <w:szCs w:val="16"/>
        </w:rPr>
        <w:t>,</w:t>
      </w:r>
      <w:r w:rsidR="009823C7" w:rsidRPr="009823C7">
        <w:rPr>
          <w:rFonts w:ascii="Times New Roman" w:hAnsi="Times New Roman" w:cs="Times New Roman"/>
          <w:b w:val="0"/>
          <w:bCs/>
          <w:i/>
          <w:iCs/>
          <w:sz w:val="16"/>
          <w:szCs w:val="16"/>
        </w:rPr>
        <w:t xml:space="preserve"> Int. Ed.</w:t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 xml:space="preserve">, </w:t>
      </w:r>
      <w:r w:rsidR="009823C7" w:rsidRPr="009823C7">
        <w:rPr>
          <w:rFonts w:ascii="Times New Roman" w:hAnsi="Times New Roman" w:cs="Times New Roman"/>
          <w:sz w:val="16"/>
          <w:szCs w:val="16"/>
        </w:rPr>
        <w:t>2019</w:t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 xml:space="preserve">, </w:t>
      </w:r>
      <w:r w:rsidR="009823C7" w:rsidRPr="008F00EC">
        <w:rPr>
          <w:rFonts w:ascii="Times New Roman" w:hAnsi="Times New Roman" w:cs="Times New Roman"/>
          <w:b w:val="0"/>
          <w:bCs/>
          <w:i/>
          <w:sz w:val="16"/>
          <w:szCs w:val="16"/>
        </w:rPr>
        <w:t>58</w:t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>, 11317</w:t>
      </w:r>
      <w:r w:rsidR="008F00EC">
        <w:rPr>
          <w:rFonts w:ascii="Times New Roman" w:hAnsi="Times New Roman" w:cs="Times New Roman"/>
          <w:b w:val="0"/>
          <w:bCs/>
          <w:sz w:val="16"/>
          <w:szCs w:val="16"/>
        </w:rPr>
        <w:t>–</w:t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 xml:space="preserve">11323. 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DOI: 10.1002/anie.201904433</w:t>
      </w:r>
    </w:p>
    <w:p w14:paraId="6E31265D" w14:textId="77777777" w:rsidR="009823C7" w:rsidRPr="009823C7" w:rsidRDefault="00391CB3" w:rsidP="009823C7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sz w:val="16"/>
          <w:szCs w:val="16"/>
        </w:rPr>
        <w:t>6.</w:t>
      </w:r>
      <w:r>
        <w:rPr>
          <w:rFonts w:ascii="Times New Roman" w:hAnsi="Times New Roman" w:cs="Times New Roman"/>
          <w:b w:val="0"/>
          <w:sz w:val="16"/>
          <w:szCs w:val="16"/>
        </w:rPr>
        <w:tab/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A. M. Polgar, J. Poisson, N. R. Paisley, C. J. Christopherson, A. C. Reyes, Z. M. Hudson, </w:t>
      </w:r>
      <w:r w:rsidR="009823C7" w:rsidRPr="009823C7">
        <w:rPr>
          <w:rFonts w:ascii="Times New Roman" w:hAnsi="Times New Roman" w:cs="Times New Roman"/>
          <w:b w:val="0"/>
          <w:i/>
          <w:iCs/>
          <w:sz w:val="16"/>
          <w:szCs w:val="16"/>
        </w:rPr>
        <w:t>Macromolecules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9823C7" w:rsidRPr="009823C7">
        <w:rPr>
          <w:rFonts w:ascii="Times New Roman" w:hAnsi="Times New Roman" w:cs="Times New Roman"/>
          <w:bCs/>
          <w:sz w:val="16"/>
          <w:szCs w:val="16"/>
        </w:rPr>
        <w:t>2020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9823C7" w:rsidRPr="008C0639">
        <w:rPr>
          <w:rFonts w:ascii="Times New Roman" w:hAnsi="Times New Roman" w:cs="Times New Roman"/>
          <w:b w:val="0"/>
          <w:i/>
          <w:sz w:val="16"/>
          <w:szCs w:val="16"/>
        </w:rPr>
        <w:t>53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, 2039</w:t>
      </w:r>
      <w:r w:rsidR="008C0639">
        <w:rPr>
          <w:rFonts w:ascii="Times New Roman" w:hAnsi="Times New Roman" w:cs="Times New Roman"/>
          <w:b w:val="0"/>
          <w:sz w:val="16"/>
          <w:szCs w:val="16"/>
        </w:rPr>
        <w:t>–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2050. DOI: </w:t>
      </w:r>
      <w:r w:rsidR="009823C7" w:rsidRPr="00391CB3">
        <w:rPr>
          <w:rFonts w:ascii="Times New Roman" w:hAnsi="Times New Roman" w:cs="Times New Roman"/>
          <w:b w:val="0"/>
          <w:sz w:val="16"/>
          <w:szCs w:val="16"/>
        </w:rPr>
        <w:t>10.1021/acs.macromol.0c00287</w:t>
      </w:r>
    </w:p>
    <w:p w14:paraId="6E99A688" w14:textId="77777777" w:rsidR="009823C7" w:rsidRPr="00391CB3" w:rsidRDefault="00391CB3" w:rsidP="009823C7">
      <w:pPr>
        <w:pStyle w:val="Header1"/>
        <w:spacing w:before="0" w:after="0" w:line="264" w:lineRule="auto"/>
        <w:ind w:left="454" w:hanging="454"/>
        <w:jc w:val="both"/>
        <w:rPr>
          <w:rStyle w:val="af3"/>
          <w:rFonts w:ascii="Times New Roman" w:hAnsi="Times New Roman" w:cs="Times New Roman"/>
          <w:b w:val="0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b w:val="0"/>
          <w:sz w:val="16"/>
          <w:szCs w:val="16"/>
        </w:rPr>
        <w:t>7.</w:t>
      </w:r>
      <w:r>
        <w:rPr>
          <w:rFonts w:ascii="Times New Roman" w:hAnsi="Times New Roman" w:cs="Times New Roman"/>
          <w:b w:val="0"/>
          <w:sz w:val="16"/>
          <w:szCs w:val="16"/>
        </w:rPr>
        <w:tab/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C. M. Tonge, N. R. Paisley, A. M. Polgar, K. Lix, W. R. Algar, Z. M. Hudson, </w:t>
      </w:r>
      <w:r w:rsidR="009823C7" w:rsidRPr="009823C7">
        <w:rPr>
          <w:rFonts w:ascii="Times New Roman" w:hAnsi="Times New Roman" w:cs="Times New Roman"/>
          <w:b w:val="0"/>
          <w:i/>
          <w:iCs/>
          <w:sz w:val="16"/>
          <w:szCs w:val="16"/>
        </w:rPr>
        <w:t>ACS Appl. Mater. Interfaces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9823C7" w:rsidRPr="009823C7">
        <w:rPr>
          <w:rFonts w:ascii="Times New Roman" w:hAnsi="Times New Roman" w:cs="Times New Roman"/>
          <w:bCs/>
          <w:sz w:val="16"/>
          <w:szCs w:val="16"/>
        </w:rPr>
        <w:t>2020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9823C7" w:rsidRPr="008C0639">
        <w:rPr>
          <w:rFonts w:ascii="Times New Roman" w:hAnsi="Times New Roman" w:cs="Times New Roman"/>
          <w:b w:val="0"/>
          <w:i/>
          <w:sz w:val="16"/>
          <w:szCs w:val="16"/>
        </w:rPr>
        <w:t>12</w:t>
      </w:r>
      <w:r w:rsidR="008C0639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6525</w:t>
      </w:r>
      <w:r w:rsidR="008C0639">
        <w:rPr>
          <w:rFonts w:ascii="Times New Roman" w:hAnsi="Times New Roman" w:cs="Times New Roman"/>
          <w:b w:val="0"/>
          <w:sz w:val="16"/>
          <w:szCs w:val="16"/>
        </w:rPr>
        <w:t>–6535.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 DOI: </w:t>
      </w:r>
      <w:r w:rsidR="009823C7" w:rsidRPr="00391CB3">
        <w:rPr>
          <w:rFonts w:ascii="Times New Roman" w:hAnsi="Times New Roman" w:cs="Times New Roman"/>
          <w:b w:val="0"/>
          <w:sz w:val="16"/>
          <w:szCs w:val="16"/>
        </w:rPr>
        <w:t>10.1021/acsami.9b22464</w:t>
      </w:r>
    </w:p>
    <w:p w14:paraId="1796AD37" w14:textId="77777777" w:rsidR="009823C7" w:rsidRPr="009823C7" w:rsidRDefault="00391CB3" w:rsidP="009823C7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sz w:val="16"/>
          <w:szCs w:val="16"/>
        </w:rPr>
        <w:t>8.</w:t>
      </w:r>
      <w:r>
        <w:rPr>
          <w:rFonts w:ascii="Times New Roman" w:hAnsi="Times New Roman" w:cs="Times New Roman"/>
          <w:b w:val="0"/>
          <w:sz w:val="16"/>
          <w:szCs w:val="16"/>
        </w:rPr>
        <w:tab/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M. Z. Eddin, E. F. </w:t>
      </w:r>
      <w:proofErr w:type="spellStart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Zhilina</w:t>
      </w:r>
      <w:proofErr w:type="spellEnd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R. D. Chuvashov, A. I. Dubovik, A. V. </w:t>
      </w:r>
      <w:proofErr w:type="spellStart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Mekhaev</w:t>
      </w:r>
      <w:proofErr w:type="spellEnd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K. A. Chistyakov, M. G. </w:t>
      </w:r>
      <w:proofErr w:type="spellStart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Pervova</w:t>
      </w:r>
      <w:proofErr w:type="spellEnd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M. I. </w:t>
      </w:r>
      <w:proofErr w:type="spellStart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Kodess</w:t>
      </w:r>
      <w:proofErr w:type="spellEnd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M. A. Ezhikova, A. A. Baranova, K. O. Khokhlov, G. L. </w:t>
      </w:r>
      <w:proofErr w:type="spellStart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Rusinov</w:t>
      </w:r>
      <w:proofErr w:type="spellEnd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E. V. </w:t>
      </w:r>
      <w:proofErr w:type="spellStart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Verbitskiy</w:t>
      </w:r>
      <w:proofErr w:type="spellEnd"/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V. N. Charushin, </w:t>
      </w:r>
      <w:r w:rsidR="009823C7" w:rsidRPr="009823C7">
        <w:rPr>
          <w:rFonts w:ascii="Times New Roman" w:hAnsi="Times New Roman" w:cs="Times New Roman"/>
          <w:b w:val="0"/>
          <w:i/>
          <w:iCs/>
          <w:sz w:val="16"/>
          <w:szCs w:val="16"/>
        </w:rPr>
        <w:t xml:space="preserve">J. Appl. </w:t>
      </w:r>
      <w:proofErr w:type="spellStart"/>
      <w:r w:rsidR="009823C7" w:rsidRPr="009823C7">
        <w:rPr>
          <w:rFonts w:ascii="Times New Roman" w:hAnsi="Times New Roman" w:cs="Times New Roman"/>
          <w:b w:val="0"/>
          <w:i/>
          <w:iCs/>
          <w:sz w:val="16"/>
          <w:szCs w:val="16"/>
        </w:rPr>
        <w:t>Polym</w:t>
      </w:r>
      <w:proofErr w:type="spellEnd"/>
      <w:r w:rsidR="009823C7" w:rsidRPr="009823C7">
        <w:rPr>
          <w:rFonts w:ascii="Times New Roman" w:hAnsi="Times New Roman" w:cs="Times New Roman"/>
          <w:b w:val="0"/>
          <w:i/>
          <w:iCs/>
          <w:sz w:val="16"/>
          <w:szCs w:val="16"/>
        </w:rPr>
        <w:t>. Sci.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9823C7" w:rsidRPr="009823C7">
        <w:rPr>
          <w:rFonts w:ascii="Times New Roman" w:hAnsi="Times New Roman" w:cs="Times New Roman"/>
          <w:bCs/>
          <w:sz w:val="16"/>
          <w:szCs w:val="16"/>
        </w:rPr>
        <w:t>2024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8C0639" w:rsidRPr="008C0639">
        <w:rPr>
          <w:rFonts w:ascii="Times New Roman" w:hAnsi="Times New Roman" w:cs="Times New Roman"/>
          <w:b w:val="0"/>
          <w:i/>
          <w:sz w:val="16"/>
          <w:szCs w:val="16"/>
        </w:rPr>
        <w:t>141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8C0639">
        <w:rPr>
          <w:rFonts w:ascii="Times New Roman" w:hAnsi="Times New Roman" w:cs="Times New Roman"/>
          <w:b w:val="0"/>
          <w:sz w:val="16"/>
          <w:szCs w:val="16"/>
        </w:rPr>
        <w:t>e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55355.</w:t>
      </w:r>
      <w:r>
        <w:rPr>
          <w:rFonts w:ascii="Times New Roman" w:hAnsi="Times New Roman" w:cs="Times New Roman"/>
          <w:b w:val="0"/>
          <w:sz w:val="16"/>
          <w:szCs w:val="16"/>
        </w:rPr>
        <w:t xml:space="preserve"> DOI: 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10.1002/app.55355</w:t>
      </w:r>
    </w:p>
    <w:p w14:paraId="0A7FC990" w14:textId="77777777" w:rsidR="009823C7" w:rsidRPr="009823C7" w:rsidRDefault="00391CB3" w:rsidP="009823C7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bCs/>
          <w:sz w:val="16"/>
          <w:szCs w:val="16"/>
        </w:rPr>
        <w:t>9.</w:t>
      </w:r>
      <w:r>
        <w:rPr>
          <w:rFonts w:ascii="Times New Roman" w:hAnsi="Times New Roman" w:cs="Times New Roman"/>
          <w:b w:val="0"/>
          <w:bCs/>
          <w:sz w:val="16"/>
          <w:szCs w:val="16"/>
        </w:rPr>
        <w:tab/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 xml:space="preserve">M. Yu, Y. Gao, A. Ying, L. Li, G. Xie, S. Gong, X. Gao, T. Wang, C. Yang, </w:t>
      </w:r>
      <w:r w:rsidR="009823C7" w:rsidRPr="009823C7">
        <w:rPr>
          <w:rFonts w:ascii="Times New Roman" w:hAnsi="Times New Roman" w:cs="Times New Roman"/>
          <w:b w:val="0"/>
          <w:bCs/>
          <w:i/>
          <w:iCs/>
          <w:sz w:val="16"/>
          <w:szCs w:val="16"/>
        </w:rPr>
        <w:t>Macromolecules</w:t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 xml:space="preserve">, </w:t>
      </w:r>
      <w:r w:rsidR="009823C7" w:rsidRPr="009823C7">
        <w:rPr>
          <w:rFonts w:ascii="Times New Roman" w:hAnsi="Times New Roman" w:cs="Times New Roman"/>
          <w:sz w:val="16"/>
          <w:szCs w:val="16"/>
        </w:rPr>
        <w:t>2023</w:t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 xml:space="preserve">, </w:t>
      </w:r>
      <w:r w:rsidR="009823C7" w:rsidRPr="008C0639">
        <w:rPr>
          <w:rFonts w:ascii="Times New Roman" w:hAnsi="Times New Roman" w:cs="Times New Roman"/>
          <w:b w:val="0"/>
          <w:bCs/>
          <w:i/>
          <w:sz w:val="16"/>
          <w:szCs w:val="16"/>
        </w:rPr>
        <w:t>56</w:t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>, 5381</w:t>
      </w:r>
      <w:r w:rsidR="008C0639">
        <w:rPr>
          <w:rFonts w:ascii="Times New Roman" w:hAnsi="Times New Roman" w:cs="Times New Roman"/>
          <w:b w:val="0"/>
          <w:bCs/>
          <w:sz w:val="16"/>
          <w:szCs w:val="16"/>
        </w:rPr>
        <w:t>–</w:t>
      </w:r>
      <w:r w:rsidR="009823C7" w:rsidRPr="009823C7">
        <w:rPr>
          <w:rFonts w:ascii="Times New Roman" w:hAnsi="Times New Roman" w:cs="Times New Roman"/>
          <w:b w:val="0"/>
          <w:bCs/>
          <w:sz w:val="16"/>
          <w:szCs w:val="16"/>
        </w:rPr>
        <w:t>5389. DOI: 10.1021/acs.macromol.3c00601</w:t>
      </w:r>
    </w:p>
    <w:p w14:paraId="63643DBA" w14:textId="77777777" w:rsidR="00166162" w:rsidRDefault="00391CB3" w:rsidP="009823C7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sz w:val="16"/>
          <w:szCs w:val="16"/>
        </w:rPr>
        <w:t>10.</w:t>
      </w:r>
      <w:r>
        <w:rPr>
          <w:rFonts w:ascii="Times New Roman" w:hAnsi="Times New Roman" w:cs="Times New Roman"/>
          <w:b w:val="0"/>
          <w:sz w:val="16"/>
          <w:szCs w:val="16"/>
        </w:rPr>
        <w:tab/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S. Shao, J. Hu, X. Wang, L. Wang, X. Jing, F. Wang, </w:t>
      </w:r>
      <w:r w:rsidR="009823C7" w:rsidRPr="009823C7">
        <w:rPr>
          <w:rFonts w:ascii="Times New Roman" w:hAnsi="Times New Roman" w:cs="Times New Roman"/>
          <w:b w:val="0"/>
          <w:i/>
          <w:iCs/>
          <w:sz w:val="16"/>
          <w:szCs w:val="16"/>
        </w:rPr>
        <w:t xml:space="preserve">J. Am. </w:t>
      </w:r>
      <w:r w:rsidR="009823C7" w:rsidRPr="00391CB3">
        <w:rPr>
          <w:rFonts w:ascii="Times New Roman" w:hAnsi="Times New Roman" w:cs="Times New Roman"/>
          <w:b w:val="0"/>
          <w:i/>
          <w:iCs/>
          <w:sz w:val="16"/>
          <w:szCs w:val="16"/>
        </w:rPr>
        <w:t>Chem. Soc</w:t>
      </w:r>
      <w:r w:rsidR="009823C7" w:rsidRPr="009823C7">
        <w:rPr>
          <w:rFonts w:ascii="Times New Roman" w:hAnsi="Times New Roman" w:cs="Times New Roman"/>
          <w:b w:val="0"/>
          <w:i/>
          <w:iCs/>
          <w:sz w:val="16"/>
          <w:szCs w:val="16"/>
        </w:rPr>
        <w:t>.</w:t>
      </w:r>
      <w:r w:rsidR="009823C7" w:rsidRPr="008C0639">
        <w:rPr>
          <w:rFonts w:ascii="Times New Roman" w:hAnsi="Times New Roman" w:cs="Times New Roman"/>
          <w:b w:val="0"/>
          <w:iCs/>
          <w:sz w:val="16"/>
          <w:szCs w:val="16"/>
        </w:rPr>
        <w:t>,</w:t>
      </w:r>
      <w:r w:rsidR="009823C7" w:rsidRPr="008C0639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823C7" w:rsidRPr="009823C7">
        <w:rPr>
          <w:rFonts w:ascii="Times New Roman" w:hAnsi="Times New Roman" w:cs="Times New Roman"/>
          <w:bCs/>
          <w:sz w:val="16"/>
          <w:szCs w:val="16"/>
        </w:rPr>
        <w:t>2017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9823C7" w:rsidRPr="008C0639">
        <w:rPr>
          <w:rFonts w:ascii="Times New Roman" w:hAnsi="Times New Roman" w:cs="Times New Roman"/>
          <w:b w:val="0"/>
          <w:i/>
          <w:sz w:val="16"/>
          <w:szCs w:val="16"/>
        </w:rPr>
        <w:t>139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, 17739</w:t>
      </w:r>
      <w:r w:rsidR="008C0639">
        <w:rPr>
          <w:rFonts w:ascii="Times New Roman" w:hAnsi="Times New Roman" w:cs="Times New Roman"/>
          <w:b w:val="0"/>
          <w:sz w:val="16"/>
          <w:szCs w:val="16"/>
        </w:rPr>
        <w:t>–</w:t>
      </w:r>
      <w:r w:rsidR="009823C7" w:rsidRPr="009823C7">
        <w:rPr>
          <w:rFonts w:ascii="Times New Roman" w:hAnsi="Times New Roman" w:cs="Times New Roman"/>
          <w:b w:val="0"/>
          <w:sz w:val="16"/>
          <w:szCs w:val="16"/>
        </w:rPr>
        <w:t>17742. DOI: 10.1021/jacs.7b10257</w:t>
      </w:r>
    </w:p>
    <w:p w14:paraId="17A0ED0D" w14:textId="77777777" w:rsidR="008C0639" w:rsidRPr="00F44026" w:rsidRDefault="008C0639" w:rsidP="008C0639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8C0639" w:rsidRPr="003A13B7" w14:paraId="5A132C71" w14:textId="77777777" w:rsidTr="00D66893">
        <w:trPr>
          <w:jc w:val="right"/>
        </w:trPr>
        <w:tc>
          <w:tcPr>
            <w:tcW w:w="3255" w:type="dxa"/>
            <w:vAlign w:val="center"/>
          </w:tcPr>
          <w:p w14:paraId="13B2D575" w14:textId="77777777" w:rsidR="008C0639" w:rsidRPr="00F44026" w:rsidRDefault="008C0639" w:rsidP="00D66893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F44026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F44026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F44026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4EB392CA" w14:textId="77777777" w:rsidR="008C0639" w:rsidRPr="003A13B7" w:rsidRDefault="008C0639" w:rsidP="00D668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21130FC3" wp14:editId="73507DE2">
                  <wp:extent cx="620466" cy="217152"/>
                  <wp:effectExtent l="19050" t="0" r="8184" b="0"/>
                  <wp:docPr id="4" name="Рисунок 125" descr="D:\Rinat\Rinat\доки\журнал\cc-by-nc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9CDBD2" w14:textId="77777777" w:rsidR="008C0639" w:rsidRPr="009823C7" w:rsidRDefault="008C0639" w:rsidP="009823C7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</w:rPr>
      </w:pPr>
    </w:p>
    <w:sectPr w:rsidR="008C0639" w:rsidRPr="009823C7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2AF80" w14:textId="77777777" w:rsidR="00D66893" w:rsidRDefault="00D66893" w:rsidP="00427E5A">
      <w:pPr>
        <w:spacing w:after="0" w:line="240" w:lineRule="auto"/>
      </w:pPr>
      <w:r>
        <w:separator/>
      </w:r>
    </w:p>
    <w:p w14:paraId="17F3A1EF" w14:textId="77777777" w:rsidR="00D66893" w:rsidRDefault="00D66893"/>
  </w:endnote>
  <w:endnote w:type="continuationSeparator" w:id="0">
    <w:p w14:paraId="7EE6258F" w14:textId="77777777" w:rsidR="00D66893" w:rsidRDefault="00D66893" w:rsidP="00427E5A">
      <w:pPr>
        <w:spacing w:after="0" w:line="240" w:lineRule="auto"/>
      </w:pPr>
      <w:r>
        <w:continuationSeparator/>
      </w:r>
    </w:p>
    <w:p w14:paraId="5E3BCE37" w14:textId="77777777" w:rsidR="00D66893" w:rsidRDefault="00D66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8D67F" w14:textId="77777777" w:rsidR="00D66893" w:rsidRPr="00A6442F" w:rsidRDefault="00D66893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R. A. Polyakov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>
      <w:rPr>
        <w:rFonts w:ascii="Times New Roman" w:hAnsi="Times New Roman" w:cs="Times New Roman"/>
        <w:iCs/>
        <w:sz w:val="18"/>
        <w:szCs w:val="18"/>
        <w:lang w:val="en-US"/>
      </w:rPr>
      <w:t>,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Pr="00DF4999">
      <w:rPr>
        <w:rStyle w:val="MainText0"/>
        <w:i/>
      </w:rPr>
      <w:t>OPEN</w:t>
    </w:r>
    <w:r w:rsidRPr="00110678">
      <w:rPr>
        <w:rStyle w:val="MainText0"/>
      </w:rPr>
      <w:t xml:space="preserve">, </w:t>
    </w:r>
    <w:r w:rsidRPr="00110678">
      <w:rPr>
        <w:rStyle w:val="MainText0"/>
        <w:b/>
      </w:rPr>
      <w:t>20</w:t>
    </w:r>
    <w:r>
      <w:rPr>
        <w:rStyle w:val="MainText0"/>
        <w:b/>
      </w:rPr>
      <w:t>25</w:t>
    </w:r>
    <w:r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Pr="005C7369">
      <w:rPr>
        <w:rStyle w:val="MainText0"/>
        <w:i/>
        <w:iCs/>
      </w:rPr>
      <w:t>)</w:t>
    </w:r>
    <w:r w:rsidRPr="00110678">
      <w:rPr>
        <w:rStyle w:val="MainText0"/>
      </w:rPr>
      <w:t xml:space="preserve">, </w:t>
    </w:r>
    <w:r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5F403" w14:textId="77777777" w:rsidR="00D66893" w:rsidRDefault="00D66893" w:rsidP="00427E5A">
      <w:pPr>
        <w:spacing w:after="0" w:line="240" w:lineRule="auto"/>
      </w:pPr>
      <w:r>
        <w:separator/>
      </w:r>
    </w:p>
    <w:p w14:paraId="7E9EF2B9" w14:textId="77777777" w:rsidR="00D66893" w:rsidRDefault="00D66893"/>
  </w:footnote>
  <w:footnote w:type="continuationSeparator" w:id="0">
    <w:p w14:paraId="56AB5B44" w14:textId="77777777" w:rsidR="00D66893" w:rsidRDefault="00D66893" w:rsidP="00427E5A">
      <w:pPr>
        <w:spacing w:after="0" w:line="240" w:lineRule="auto"/>
      </w:pPr>
      <w:r>
        <w:continuationSeparator/>
      </w:r>
    </w:p>
    <w:p w14:paraId="06D924DC" w14:textId="77777777" w:rsidR="00D66893" w:rsidRDefault="00D668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6D88F213" w14:textId="77777777" w:rsidR="00D66893" w:rsidRPr="001E7945" w:rsidRDefault="00D66893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39BBAB6E" w14:textId="77777777" w:rsidR="00D66893" w:rsidRPr="001E7945" w:rsidRDefault="00D6689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Pr="001E7945">
          <w:rPr>
            <w:rFonts w:ascii="Times New Roman" w:hAnsi="Times New Roman" w:cs="Times New Roman"/>
            <w:i/>
          </w:rPr>
          <w:fldChar w:fldCharType="begin"/>
        </w:r>
        <w:r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Pr="001E7945">
          <w:rPr>
            <w:rFonts w:ascii="Times New Roman" w:hAnsi="Times New Roman" w:cs="Times New Roman"/>
            <w:i/>
          </w:rPr>
          <w:fldChar w:fldCharType="separate"/>
        </w:r>
        <w:r w:rsidR="005000CC">
          <w:rPr>
            <w:rFonts w:ascii="Times New Roman" w:hAnsi="Times New Roman" w:cs="Times New Roman"/>
            <w:i/>
            <w:noProof/>
            <w:lang w:val="en-US"/>
          </w:rPr>
          <w:t>2</w:t>
        </w:r>
        <w:r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1160E"/>
    <w:multiLevelType w:val="hybridMultilevel"/>
    <w:tmpl w:val="8F4E2066"/>
    <w:lvl w:ilvl="0" w:tplc="31224ADC">
      <w:start w:val="1"/>
      <w:numFmt w:val="decimal"/>
      <w:lvlText w:val="%1."/>
      <w:lvlJc w:val="left"/>
      <w:pPr>
        <w:ind w:left="720" w:hanging="360"/>
      </w:pPr>
    </w:lvl>
    <w:lvl w:ilvl="1" w:tplc="4BF41CC4">
      <w:start w:val="1"/>
      <w:numFmt w:val="lowerLetter"/>
      <w:lvlText w:val="%2."/>
      <w:lvlJc w:val="left"/>
      <w:pPr>
        <w:ind w:left="1440" w:hanging="360"/>
      </w:pPr>
    </w:lvl>
    <w:lvl w:ilvl="2" w:tplc="E67E10BE">
      <w:start w:val="1"/>
      <w:numFmt w:val="lowerRoman"/>
      <w:lvlText w:val="%3."/>
      <w:lvlJc w:val="right"/>
      <w:pPr>
        <w:ind w:left="2160" w:hanging="180"/>
      </w:pPr>
    </w:lvl>
    <w:lvl w:ilvl="3" w:tplc="B67084A0">
      <w:start w:val="1"/>
      <w:numFmt w:val="decimal"/>
      <w:lvlText w:val="%4."/>
      <w:lvlJc w:val="left"/>
      <w:pPr>
        <w:ind w:left="2880" w:hanging="360"/>
      </w:pPr>
    </w:lvl>
    <w:lvl w:ilvl="4" w:tplc="82987D3A">
      <w:start w:val="1"/>
      <w:numFmt w:val="lowerLetter"/>
      <w:lvlText w:val="%5."/>
      <w:lvlJc w:val="left"/>
      <w:pPr>
        <w:ind w:left="3600" w:hanging="360"/>
      </w:pPr>
    </w:lvl>
    <w:lvl w:ilvl="5" w:tplc="75FA755C">
      <w:start w:val="1"/>
      <w:numFmt w:val="lowerRoman"/>
      <w:lvlText w:val="%6."/>
      <w:lvlJc w:val="right"/>
      <w:pPr>
        <w:ind w:left="4320" w:hanging="180"/>
      </w:pPr>
    </w:lvl>
    <w:lvl w:ilvl="6" w:tplc="ED06BF0C">
      <w:start w:val="1"/>
      <w:numFmt w:val="decimal"/>
      <w:lvlText w:val="%7."/>
      <w:lvlJc w:val="left"/>
      <w:pPr>
        <w:ind w:left="5040" w:hanging="360"/>
      </w:pPr>
    </w:lvl>
    <w:lvl w:ilvl="7" w:tplc="BCF8114C">
      <w:start w:val="1"/>
      <w:numFmt w:val="lowerLetter"/>
      <w:lvlText w:val="%8."/>
      <w:lvlJc w:val="left"/>
      <w:pPr>
        <w:ind w:left="5760" w:hanging="360"/>
      </w:pPr>
    </w:lvl>
    <w:lvl w:ilvl="8" w:tplc="EA6001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0239A"/>
    <w:multiLevelType w:val="hybridMultilevel"/>
    <w:tmpl w:val="FB382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0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1768">
    <w:abstractNumId w:val="4"/>
  </w:num>
  <w:num w:numId="2" w16cid:durableId="106973440">
    <w:abstractNumId w:val="6"/>
  </w:num>
  <w:num w:numId="3" w16cid:durableId="1517304207">
    <w:abstractNumId w:val="3"/>
  </w:num>
  <w:num w:numId="4" w16cid:durableId="225649878">
    <w:abstractNumId w:val="8"/>
  </w:num>
  <w:num w:numId="5" w16cid:durableId="1781142046">
    <w:abstractNumId w:val="9"/>
  </w:num>
  <w:num w:numId="6" w16cid:durableId="2078890976">
    <w:abstractNumId w:val="10"/>
  </w:num>
  <w:num w:numId="7" w16cid:durableId="1966227808">
    <w:abstractNumId w:val="0"/>
  </w:num>
  <w:num w:numId="8" w16cid:durableId="1183399626">
    <w:abstractNumId w:val="5"/>
  </w:num>
  <w:num w:numId="9" w16cid:durableId="1559586265">
    <w:abstractNumId w:val="7"/>
  </w:num>
  <w:num w:numId="10" w16cid:durableId="1370304460">
    <w:abstractNumId w:val="1"/>
  </w:num>
  <w:num w:numId="11" w16cid:durableId="412363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52C07"/>
    <w:rsid w:val="00064622"/>
    <w:rsid w:val="00067EC7"/>
    <w:rsid w:val="00071D12"/>
    <w:rsid w:val="00080691"/>
    <w:rsid w:val="0008088D"/>
    <w:rsid w:val="000B5E27"/>
    <w:rsid w:val="000E1B06"/>
    <w:rsid w:val="001561C3"/>
    <w:rsid w:val="00161894"/>
    <w:rsid w:val="00166162"/>
    <w:rsid w:val="00192A5A"/>
    <w:rsid w:val="001B0919"/>
    <w:rsid w:val="001B6750"/>
    <w:rsid w:val="001E7945"/>
    <w:rsid w:val="002500A5"/>
    <w:rsid w:val="002D6411"/>
    <w:rsid w:val="0031578F"/>
    <w:rsid w:val="00321C31"/>
    <w:rsid w:val="00391CB3"/>
    <w:rsid w:val="00395AFF"/>
    <w:rsid w:val="00397E36"/>
    <w:rsid w:val="003B067D"/>
    <w:rsid w:val="003E2893"/>
    <w:rsid w:val="00427E5A"/>
    <w:rsid w:val="00436D4B"/>
    <w:rsid w:val="00440577"/>
    <w:rsid w:val="00463737"/>
    <w:rsid w:val="004A44BC"/>
    <w:rsid w:val="004A5676"/>
    <w:rsid w:val="004C0411"/>
    <w:rsid w:val="005000CC"/>
    <w:rsid w:val="00502985"/>
    <w:rsid w:val="00524995"/>
    <w:rsid w:val="00533D73"/>
    <w:rsid w:val="00534762"/>
    <w:rsid w:val="00536445"/>
    <w:rsid w:val="005C7369"/>
    <w:rsid w:val="005E76C3"/>
    <w:rsid w:val="00622DF1"/>
    <w:rsid w:val="0065245B"/>
    <w:rsid w:val="00670799"/>
    <w:rsid w:val="00683408"/>
    <w:rsid w:val="006C2DB1"/>
    <w:rsid w:val="006E0C73"/>
    <w:rsid w:val="00706F05"/>
    <w:rsid w:val="0072037E"/>
    <w:rsid w:val="007516EA"/>
    <w:rsid w:val="007914DF"/>
    <w:rsid w:val="007A3351"/>
    <w:rsid w:val="007D3F5F"/>
    <w:rsid w:val="00802C3C"/>
    <w:rsid w:val="008114FB"/>
    <w:rsid w:val="00820A77"/>
    <w:rsid w:val="00833A17"/>
    <w:rsid w:val="00842E5C"/>
    <w:rsid w:val="008622A1"/>
    <w:rsid w:val="00863A30"/>
    <w:rsid w:val="00875175"/>
    <w:rsid w:val="0089304F"/>
    <w:rsid w:val="00894EE2"/>
    <w:rsid w:val="008A02BF"/>
    <w:rsid w:val="008A6A35"/>
    <w:rsid w:val="008C0639"/>
    <w:rsid w:val="008C6630"/>
    <w:rsid w:val="008C68C0"/>
    <w:rsid w:val="008D2BCF"/>
    <w:rsid w:val="008E062B"/>
    <w:rsid w:val="008F00EC"/>
    <w:rsid w:val="00904B7F"/>
    <w:rsid w:val="00904C20"/>
    <w:rsid w:val="00916E1F"/>
    <w:rsid w:val="00930DA8"/>
    <w:rsid w:val="009667F3"/>
    <w:rsid w:val="009823C7"/>
    <w:rsid w:val="009975A9"/>
    <w:rsid w:val="009A6DAE"/>
    <w:rsid w:val="009B1ECD"/>
    <w:rsid w:val="00A231BA"/>
    <w:rsid w:val="00A6442F"/>
    <w:rsid w:val="00A72058"/>
    <w:rsid w:val="00A76F33"/>
    <w:rsid w:val="00B23601"/>
    <w:rsid w:val="00B4719E"/>
    <w:rsid w:val="00B5202A"/>
    <w:rsid w:val="00BB1D07"/>
    <w:rsid w:val="00BD456B"/>
    <w:rsid w:val="00BE4FEF"/>
    <w:rsid w:val="00C25E43"/>
    <w:rsid w:val="00CA605E"/>
    <w:rsid w:val="00CD128C"/>
    <w:rsid w:val="00CD6FAC"/>
    <w:rsid w:val="00D01155"/>
    <w:rsid w:val="00D33D37"/>
    <w:rsid w:val="00D36C9F"/>
    <w:rsid w:val="00D54FBA"/>
    <w:rsid w:val="00D64490"/>
    <w:rsid w:val="00D66893"/>
    <w:rsid w:val="00D71473"/>
    <w:rsid w:val="00DA0A72"/>
    <w:rsid w:val="00DF1FCB"/>
    <w:rsid w:val="00DF4999"/>
    <w:rsid w:val="00E60451"/>
    <w:rsid w:val="00E76E65"/>
    <w:rsid w:val="00E81EDE"/>
    <w:rsid w:val="00E95346"/>
    <w:rsid w:val="00EA6C3B"/>
    <w:rsid w:val="00EB2FCC"/>
    <w:rsid w:val="00EE0429"/>
    <w:rsid w:val="00EE4066"/>
    <w:rsid w:val="00EF625A"/>
    <w:rsid w:val="00F376FB"/>
    <w:rsid w:val="00F44BBC"/>
    <w:rsid w:val="00F61C17"/>
    <w:rsid w:val="00F6796A"/>
    <w:rsid w:val="00F86864"/>
    <w:rsid w:val="00F94740"/>
    <w:rsid w:val="00F95280"/>
    <w:rsid w:val="00FA0CD1"/>
    <w:rsid w:val="00FB4DBE"/>
    <w:rsid w:val="00FD2F8B"/>
    <w:rsid w:val="00FD470A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hadowcolor="none"/>
    </o:shapedefaults>
    <o:shapelayout v:ext="edit">
      <o:idmap v:ext="edit" data="1"/>
    </o:shapelayout>
  </w:shapeDefaults>
  <w:decimalSymbol w:val=","/>
  <w:listSeparator w:val=";"/>
  <w14:docId w14:val="2017B863"/>
  <w15:docId w15:val="{14115144-8885-4701-B6CE-DB366EE6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8C063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10B77-5875-4122-B283-A4F657156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29</cp:revision>
  <dcterms:created xsi:type="dcterms:W3CDTF">2018-09-10T13:23:00Z</dcterms:created>
  <dcterms:modified xsi:type="dcterms:W3CDTF">2025-07-25T10:32:00Z</dcterms:modified>
</cp:coreProperties>
</file>