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8"/>
        <w:gridCol w:w="2517"/>
        <w:gridCol w:w="4668"/>
      </w:tblGrid>
      <w:tr w:rsidR="008622A1" w:rsidRPr="00AB114E" w14:paraId="0E428844" w14:textId="77777777" w:rsidTr="00C04850">
        <w:trPr>
          <w:trHeight w:val="516"/>
        </w:trPr>
        <w:tc>
          <w:tcPr>
            <w:tcW w:w="1242" w:type="dxa"/>
            <w:vAlign w:val="center"/>
          </w:tcPr>
          <w:p w14:paraId="3D7945EC" w14:textId="77777777" w:rsidR="008622A1" w:rsidRPr="00D71473" w:rsidRDefault="001B0919" w:rsidP="00683408">
            <w:pPr>
              <w:pStyle w:val="MainText"/>
              <w:ind w:firstLine="4"/>
              <w:jc w:val="left"/>
            </w:pPr>
            <w:r>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204B9291" w14:textId="30C8B51A" w:rsidR="008622A1" w:rsidRPr="00D71473" w:rsidRDefault="00C04850" w:rsidP="00C04850">
            <w:pPr>
              <w:pStyle w:val="11"/>
            </w:pPr>
            <w:r w:rsidRPr="00C235BB">
              <w:t xml:space="preserve">POLYMERIC STATIONARY PHASES WITH VARIABLE POLARITY FOR GC SEPARATION OF AROMATIC COMPOUNDS AND </w:t>
            </w:r>
            <w:r w:rsidR="00F7403C" w:rsidRPr="00B41BD7">
              <w:t>their</w:t>
            </w:r>
            <w:r w:rsidRPr="00C235BB">
              <w:t xml:space="preserve"> SULFUR ANALOG</w:t>
            </w:r>
            <w:r>
              <w:t>S</w:t>
            </w:r>
          </w:p>
        </w:tc>
      </w:tr>
      <w:tr w:rsidR="00D71473" w:rsidRPr="00AB114E" w14:paraId="700D4314" w14:textId="77777777" w:rsidTr="00DF4999">
        <w:trPr>
          <w:trHeight w:val="516"/>
        </w:trPr>
        <w:tc>
          <w:tcPr>
            <w:tcW w:w="2410" w:type="dxa"/>
            <w:gridSpan w:val="2"/>
            <w:vMerge w:val="restart"/>
          </w:tcPr>
          <w:p w14:paraId="7E929C76"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2972518A" w14:textId="66F19DE7" w:rsidR="00D71473" w:rsidRPr="00930DA8" w:rsidRDefault="00DF4999" w:rsidP="007516EA">
            <w:pPr>
              <w:pStyle w:val="MainText"/>
              <w:ind w:firstLine="0"/>
              <w:jc w:val="left"/>
            </w:pPr>
            <w:r w:rsidRPr="00941F8C">
              <w:rPr>
                <w:b/>
              </w:rPr>
              <w:t>20</w:t>
            </w:r>
            <w:r w:rsidR="00936CA2">
              <w:rPr>
                <w:b/>
              </w:rPr>
              <w:t>25</w:t>
            </w:r>
            <w:r w:rsidRPr="00941F8C">
              <w:t>,</w:t>
            </w:r>
            <w:r w:rsidRPr="009415DA">
              <w:rPr>
                <w:i/>
                <w:iCs/>
              </w:rPr>
              <w:t xml:space="preserve"> </w:t>
            </w:r>
            <w:r w:rsidR="009415DA" w:rsidRPr="009415DA">
              <w:rPr>
                <w:i/>
                <w:iCs/>
              </w:rPr>
              <w:t>8</w:t>
            </w:r>
            <w:r w:rsidRPr="000E1B06">
              <w:rPr>
                <w:i/>
                <w:iCs/>
              </w:rPr>
              <w:t xml:space="preserve"> (</w:t>
            </w:r>
            <w:r w:rsidR="009415DA">
              <w:rPr>
                <w:i/>
                <w:iCs/>
              </w:rPr>
              <w:t>1–3</w:t>
            </w:r>
            <w:r w:rsidRPr="000E1B06">
              <w:rPr>
                <w:i/>
                <w:iCs/>
              </w:rPr>
              <w:t>)</w:t>
            </w:r>
            <w:r w:rsidRPr="00941F8C">
              <w:t>, XX–XX</w:t>
            </w:r>
          </w:p>
          <w:p w14:paraId="397287B4" w14:textId="390F8686" w:rsidR="007516EA" w:rsidRPr="007516EA" w:rsidRDefault="007516EA" w:rsidP="007516EA">
            <w:pPr>
              <w:pStyle w:val="MainText"/>
              <w:ind w:firstLine="0"/>
              <w:jc w:val="left"/>
            </w:pPr>
            <w:r>
              <w:t>DOI: 10.32931/ioXXXXx</w:t>
            </w:r>
          </w:p>
          <w:p w14:paraId="21AED923" w14:textId="77777777" w:rsidR="00BE4FEF" w:rsidRPr="00D71473" w:rsidRDefault="00BE4FEF" w:rsidP="007516EA">
            <w:pPr>
              <w:pStyle w:val="MainText"/>
              <w:ind w:firstLine="0"/>
              <w:jc w:val="left"/>
            </w:pPr>
          </w:p>
          <w:p w14:paraId="4BCCE62C" w14:textId="77777777" w:rsidR="00D71473" w:rsidRPr="00D71473" w:rsidRDefault="00D71473" w:rsidP="007516EA">
            <w:pPr>
              <w:pStyle w:val="MainText"/>
              <w:ind w:firstLine="0"/>
              <w:rPr>
                <w:i/>
                <w:szCs w:val="14"/>
              </w:rPr>
            </w:pPr>
            <w:r w:rsidRPr="009415DA">
              <w:rPr>
                <w:i/>
                <w:szCs w:val="14"/>
                <w:highlight w:val="green"/>
              </w:rPr>
              <w:t xml:space="preserve">Received </w:t>
            </w:r>
            <w:r w:rsidR="008E062B" w:rsidRPr="009415DA">
              <w:rPr>
                <w:i/>
                <w:szCs w:val="14"/>
                <w:highlight w:val="green"/>
              </w:rPr>
              <w:t>XX</w:t>
            </w:r>
            <w:r w:rsidRPr="009415DA">
              <w:rPr>
                <w:i/>
                <w:szCs w:val="14"/>
                <w:highlight w:val="green"/>
              </w:rPr>
              <w:t xml:space="preserve"> </w:t>
            </w:r>
            <w:r w:rsidR="008E062B" w:rsidRPr="009415DA">
              <w:rPr>
                <w:i/>
                <w:szCs w:val="14"/>
                <w:highlight w:val="green"/>
              </w:rPr>
              <w:t>Month</w:t>
            </w:r>
            <w:r w:rsidRPr="009415DA">
              <w:rPr>
                <w:i/>
                <w:szCs w:val="14"/>
                <w:highlight w:val="green"/>
              </w:rPr>
              <w:t xml:space="preserve"> 2</w:t>
            </w:r>
            <w:r w:rsidR="008E062B" w:rsidRPr="009415DA">
              <w:rPr>
                <w:i/>
                <w:szCs w:val="14"/>
                <w:highlight w:val="green"/>
              </w:rPr>
              <w:t>0XX</w:t>
            </w:r>
            <w:r w:rsidRPr="00D71473">
              <w:rPr>
                <w:i/>
                <w:szCs w:val="14"/>
              </w:rPr>
              <w:t>,</w:t>
            </w:r>
          </w:p>
          <w:p w14:paraId="0EA70F00" w14:textId="223C5BA0" w:rsidR="00D71473" w:rsidRPr="00D71473" w:rsidRDefault="00D71473" w:rsidP="007516EA">
            <w:pPr>
              <w:pStyle w:val="MainText"/>
              <w:ind w:firstLine="0"/>
              <w:rPr>
                <w:i/>
                <w:szCs w:val="14"/>
              </w:rPr>
            </w:pPr>
            <w:r w:rsidRPr="00D71473">
              <w:rPr>
                <w:i/>
                <w:szCs w:val="14"/>
              </w:rPr>
              <w:t xml:space="preserve">Accepted </w:t>
            </w:r>
            <w:r w:rsidR="00DA73DC">
              <w:rPr>
                <w:i/>
                <w:szCs w:val="14"/>
              </w:rPr>
              <w:t xml:space="preserve">6 April </w:t>
            </w:r>
            <w:r w:rsidR="008E062B">
              <w:rPr>
                <w:i/>
                <w:szCs w:val="14"/>
              </w:rPr>
              <w:t>20</w:t>
            </w:r>
            <w:r w:rsidR="00DA73DC">
              <w:rPr>
                <w:i/>
                <w:szCs w:val="14"/>
              </w:rPr>
              <w:t>25</w:t>
            </w:r>
          </w:p>
          <w:p w14:paraId="39F72919" w14:textId="77777777" w:rsidR="00820A77" w:rsidRDefault="00820A77" w:rsidP="007516EA">
            <w:pPr>
              <w:pStyle w:val="MainText"/>
              <w:ind w:firstLine="0"/>
              <w:rPr>
                <w:szCs w:val="14"/>
              </w:rPr>
            </w:pPr>
          </w:p>
          <w:p w14:paraId="59F08377"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7AF04ED5" w14:textId="424AAF18" w:rsidR="00D71473" w:rsidRPr="00D71473" w:rsidRDefault="00917632" w:rsidP="001447F7">
            <w:pPr>
              <w:pStyle w:val="AuthorNames"/>
              <w:ind w:left="0"/>
            </w:pPr>
            <w:r w:rsidRPr="00C235BB">
              <w:t>A. Yu. Kanateva,*</w:t>
            </w:r>
            <w:r w:rsidRPr="00917632">
              <w:rPr>
                <w:i/>
              </w:rPr>
              <w:t xml:space="preserve"> </w:t>
            </w:r>
            <w:r w:rsidRPr="00C235BB">
              <w:t>A. A. Kurganov, A. A. Korolev,</w:t>
            </w:r>
            <w:r w:rsidR="001447F7">
              <w:t xml:space="preserve"> </w:t>
            </w:r>
            <w:r w:rsidRPr="00C235BB">
              <w:t>and E. N. Viktorova</w:t>
            </w:r>
          </w:p>
        </w:tc>
      </w:tr>
      <w:tr w:rsidR="00D71473" w:rsidRPr="00AB114E" w14:paraId="6FFB79A5" w14:textId="77777777" w:rsidTr="00DF4999">
        <w:trPr>
          <w:trHeight w:val="263"/>
        </w:trPr>
        <w:tc>
          <w:tcPr>
            <w:tcW w:w="2410" w:type="dxa"/>
            <w:gridSpan w:val="2"/>
            <w:vMerge/>
          </w:tcPr>
          <w:p w14:paraId="47D3404A" w14:textId="77777777" w:rsidR="00D71473" w:rsidRDefault="00D71473" w:rsidP="00D71473">
            <w:pPr>
              <w:pStyle w:val="AuthorNames"/>
            </w:pPr>
          </w:p>
        </w:tc>
        <w:tc>
          <w:tcPr>
            <w:tcW w:w="7229" w:type="dxa"/>
            <w:gridSpan w:val="2"/>
          </w:tcPr>
          <w:p w14:paraId="5BCD59D0" w14:textId="073D7D96" w:rsidR="00D71473" w:rsidRDefault="00917632" w:rsidP="00B0720A">
            <w:pPr>
              <w:pStyle w:val="Affiliations"/>
              <w:ind w:left="0"/>
            </w:pPr>
            <w:r w:rsidRPr="00C235BB">
              <w:rPr>
                <w:rFonts w:cs="Times New Roman"/>
                <w:color w:val="auto"/>
              </w:rPr>
              <w:t>Topchiev Institute of Petrochemical Synthesis, R</w:t>
            </w:r>
            <w:r>
              <w:rPr>
                <w:rFonts w:cs="Times New Roman"/>
                <w:color w:val="auto"/>
              </w:rPr>
              <w:t>ussian Academy of Sciences,</w:t>
            </w:r>
            <w:r w:rsidR="00936CA2">
              <w:rPr>
                <w:rFonts w:cs="Times New Roman"/>
                <w:color w:val="auto"/>
              </w:rPr>
              <w:br/>
            </w:r>
            <w:r>
              <w:rPr>
                <w:rFonts w:cs="Times New Roman"/>
                <w:color w:val="auto"/>
              </w:rPr>
              <w:t xml:space="preserve">Leninskii pr. 29, </w:t>
            </w:r>
            <w:r w:rsidR="00936CA2">
              <w:rPr>
                <w:rFonts w:cs="Times New Roman"/>
                <w:color w:val="auto"/>
              </w:rPr>
              <w:t>Moscow, 119991 Russia</w:t>
            </w:r>
          </w:p>
        </w:tc>
      </w:tr>
      <w:tr w:rsidR="00CD6FAC" w:rsidRPr="001C434A" w14:paraId="63C36414" w14:textId="77777777" w:rsidTr="00DF4999">
        <w:tc>
          <w:tcPr>
            <w:tcW w:w="4962" w:type="dxa"/>
            <w:gridSpan w:val="3"/>
          </w:tcPr>
          <w:p w14:paraId="1D769D2A" w14:textId="77777777" w:rsidR="00D71473" w:rsidRPr="0065245B" w:rsidRDefault="00D71473" w:rsidP="009667F3">
            <w:pPr>
              <w:pStyle w:val="Header1"/>
            </w:pPr>
            <w:r w:rsidRPr="00021E9C">
              <w:t>Abstract</w:t>
            </w:r>
          </w:p>
          <w:p w14:paraId="1AECFC0A" w14:textId="506007E7" w:rsidR="00CD6FAC" w:rsidRDefault="0059405C" w:rsidP="001C434A">
            <w:pPr>
              <w:pStyle w:val="MainText"/>
              <w:ind w:firstLine="284"/>
            </w:pPr>
            <w:r>
              <w:t>M</w:t>
            </w:r>
            <w:r w:rsidR="001C434A" w:rsidRPr="00C235BB">
              <w:t xml:space="preserve">ixed stationary phases for </w:t>
            </w:r>
            <w:r w:rsidR="00094E0A" w:rsidRPr="00094E0A">
              <w:rPr>
                <w:highlight w:val="green"/>
              </w:rPr>
              <w:t>gas chromatography</w:t>
            </w:r>
            <w:r w:rsidR="00094E0A" w:rsidRPr="00094E0A">
              <w:rPr>
                <w:highlight w:val="green"/>
              </w:rPr>
              <w:t xml:space="preserve"> (</w:t>
            </w:r>
            <w:r w:rsidR="001C434A" w:rsidRPr="00094E0A">
              <w:rPr>
                <w:highlight w:val="green"/>
              </w:rPr>
              <w:t>GC</w:t>
            </w:r>
            <w:r w:rsidR="00094E0A" w:rsidRPr="00094E0A">
              <w:rPr>
                <w:highlight w:val="green"/>
              </w:rPr>
              <w:t>)</w:t>
            </w:r>
            <w:r w:rsidR="001C434A" w:rsidRPr="00C235BB">
              <w:t xml:space="preserve"> were prepared </w:t>
            </w:r>
            <w:r w:rsidR="009331A2">
              <w:t xml:space="preserve">by </w:t>
            </w:r>
            <w:r w:rsidR="001C434A" w:rsidRPr="00C235BB">
              <w:t>physical mixing of two polymers with different polarity: non-polar polydimethylsiloxane and polar poly</w:t>
            </w:r>
            <w:r>
              <w:t>(</w:t>
            </w:r>
            <w:r w:rsidR="001C434A" w:rsidRPr="00C235BB">
              <w:t>ethylene glycol</w:t>
            </w:r>
            <w:r>
              <w:t>)</w:t>
            </w:r>
            <w:r w:rsidR="001C434A" w:rsidRPr="00C235BB">
              <w:t xml:space="preserve">. Several GC capillary columns were prepared with pure PDMS and pure PEG, and their blends in different ratios. All the polymeric mixtures were investigated using </w:t>
            </w:r>
            <w:r w:rsidR="001C434A" w:rsidRPr="00DE5A7B">
              <w:rPr>
                <w:highlight w:val="green"/>
              </w:rPr>
              <w:t>inversed GC</w:t>
            </w:r>
            <w:r w:rsidR="00DE5A7B" w:rsidRPr="00DE5A7B">
              <w:rPr>
                <w:highlight w:val="green"/>
              </w:rPr>
              <w:t xml:space="preserve"> (IGC)</w:t>
            </w:r>
            <w:r w:rsidR="001C434A" w:rsidRPr="00C235BB">
              <w:t>. ∆</w:t>
            </w:r>
            <w:r w:rsidR="001C434A" w:rsidRPr="0059405C">
              <w:rPr>
                <w:i/>
                <w:iCs/>
              </w:rPr>
              <w:t>H</w:t>
            </w:r>
            <w:r w:rsidR="001C434A" w:rsidRPr="00C235BB">
              <w:t xml:space="preserve"> and ∆</w:t>
            </w:r>
            <w:r w:rsidR="001C434A" w:rsidRPr="0059405C">
              <w:rPr>
                <w:i/>
                <w:iCs/>
              </w:rPr>
              <w:t>S</w:t>
            </w:r>
            <w:r w:rsidR="001C434A" w:rsidRPr="00C235BB">
              <w:t xml:space="preserve"> of </w:t>
            </w:r>
            <w:r w:rsidR="00DE5A7B">
              <w:t xml:space="preserve">the </w:t>
            </w:r>
            <w:r w:rsidR="001C434A" w:rsidRPr="00C235BB">
              <w:t>sorption for sorbates of different classes were determined for all blends and individual polymers. The efficient polarity of the prepared mixtures differed from the linear combinations of the individual ones</w:t>
            </w:r>
            <w:r w:rsidR="00F94740" w:rsidRPr="006070A2">
              <w:t>.</w:t>
            </w:r>
          </w:p>
        </w:tc>
        <w:tc>
          <w:tcPr>
            <w:tcW w:w="4677" w:type="dxa"/>
            <w:vAlign w:val="center"/>
          </w:tcPr>
          <w:p w14:paraId="2A53968D" w14:textId="1E8DFBEE" w:rsidR="00CD6FAC" w:rsidRDefault="001C434A" w:rsidP="005C7369">
            <w:pPr>
              <w:pStyle w:val="MainText"/>
              <w:ind w:firstLine="0"/>
              <w:jc w:val="center"/>
            </w:pPr>
            <w:r w:rsidRPr="00C235BB">
              <w:rPr>
                <w:noProof/>
              </w:rPr>
              <w:drawing>
                <wp:inline distT="0" distB="0" distL="0" distR="0" wp14:anchorId="4806A49D" wp14:editId="2186D51E">
                  <wp:extent cx="2400300" cy="1404365"/>
                  <wp:effectExtent l="0" t="0" r="0" b="0"/>
                  <wp:docPr id="2055703116" name="Рисунок 1" descr="Изображение выглядит как линия, текст,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17" name="Рисунок 1" descr="Изображение выглядит как линия, текст, График, диаграмма&#10;&#10;Автоматически созданное описание"/>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2421833" cy="1416963"/>
                          </a:xfrm>
                          <a:prstGeom prst="rect">
                            <a:avLst/>
                          </a:prstGeom>
                        </pic:spPr>
                      </pic:pic>
                    </a:graphicData>
                  </a:graphic>
                </wp:inline>
              </w:drawing>
            </w:r>
          </w:p>
        </w:tc>
      </w:tr>
      <w:tr w:rsidR="0065245B" w:rsidRPr="00AB114E" w14:paraId="009B990E" w14:textId="77777777" w:rsidTr="00DF4999">
        <w:tc>
          <w:tcPr>
            <w:tcW w:w="9639" w:type="dxa"/>
            <w:gridSpan w:val="4"/>
          </w:tcPr>
          <w:p w14:paraId="59E350B2" w14:textId="571F2E9C" w:rsidR="0065245B" w:rsidRDefault="0065245B" w:rsidP="00930DA8">
            <w:pPr>
              <w:pStyle w:val="MainText"/>
              <w:spacing w:before="120" w:after="120"/>
              <w:ind w:firstLine="284"/>
            </w:pPr>
            <w:r w:rsidRPr="006A32BB">
              <w:rPr>
                <w:b/>
              </w:rPr>
              <w:t>Key words:</w:t>
            </w:r>
            <w:r w:rsidRPr="0065245B">
              <w:t xml:space="preserve"> </w:t>
            </w:r>
            <w:r w:rsidR="008744F8" w:rsidRPr="00C235BB">
              <w:t>polydimethylsiloxane, poly</w:t>
            </w:r>
            <w:r w:rsidR="0059405C">
              <w:t>(</w:t>
            </w:r>
            <w:r w:rsidR="008744F8" w:rsidRPr="00C235BB">
              <w:t>ethylene glycol</w:t>
            </w:r>
            <w:r w:rsidR="0059405C">
              <w:t>)</w:t>
            </w:r>
            <w:r w:rsidR="008744F8" w:rsidRPr="00C235BB">
              <w:t>, enthalpy, entropy, compensation effect</w:t>
            </w:r>
            <w:r w:rsidRPr="0065245B">
              <w:t>.</w:t>
            </w:r>
          </w:p>
        </w:tc>
      </w:tr>
    </w:tbl>
    <w:p w14:paraId="6C4B6023" w14:textId="77777777" w:rsidR="00166162" w:rsidRDefault="00166162" w:rsidP="00427E5A">
      <w:pPr>
        <w:rPr>
          <w:sz w:val="20"/>
          <w:szCs w:val="20"/>
          <w:lang w:val="en-US"/>
        </w:rPr>
        <w:sectPr w:rsidR="00166162" w:rsidSect="007A3351">
          <w:headerReference w:type="default" r:id="rId11"/>
          <w:footerReference w:type="default" r:id="rId12"/>
          <w:endnotePr>
            <w:numFmt w:val="chicago"/>
          </w:endnotePr>
          <w:pgSz w:w="11906" w:h="16838" w:code="9"/>
          <w:pgMar w:top="1134" w:right="1134" w:bottom="1134" w:left="1134" w:header="709" w:footer="709" w:gutter="0"/>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1C434A">
      <w:pPr>
        <w:spacing w:after="240"/>
        <w:rPr>
          <w:rFonts w:ascii="Arial" w:hAnsi="Arial" w:cs="Arial"/>
          <w:b/>
          <w:lang w:val="en-US"/>
        </w:rPr>
      </w:pPr>
      <w:r w:rsidRPr="00427E5A">
        <w:rPr>
          <w:rFonts w:ascii="Arial" w:hAnsi="Arial" w:cs="Arial"/>
          <w:b/>
          <w:lang w:val="en-US"/>
        </w:rPr>
        <w:t>Introduction</w:t>
      </w:r>
    </w:p>
    <w:p w14:paraId="7A489F85" w14:textId="3ECB9F1F" w:rsidR="00427E5A" w:rsidRPr="00F376FB" w:rsidRDefault="001C434A" w:rsidP="00071D12">
      <w:pPr>
        <w:pStyle w:val="MainText"/>
        <w:ind w:firstLine="284"/>
      </w:pPr>
      <w:r w:rsidRPr="00C235BB">
        <w:t>The most often discussed thermodynamic functions of sorption for chromatographic systems are enthalpy ∆</w:t>
      </w:r>
      <w:r w:rsidRPr="00094E0A">
        <w:rPr>
          <w:i/>
          <w:iCs/>
        </w:rPr>
        <w:t>H</w:t>
      </w:r>
      <w:r w:rsidRPr="00C235BB">
        <w:t xml:space="preserve"> and entropy ∆</w:t>
      </w:r>
      <w:r w:rsidRPr="00094E0A">
        <w:rPr>
          <w:i/>
          <w:iCs/>
        </w:rPr>
        <w:t>S</w:t>
      </w:r>
      <w:r w:rsidRPr="00C235BB">
        <w:t xml:space="preserve"> of </w:t>
      </w:r>
      <w:r w:rsidR="006C7E05">
        <w:t xml:space="preserve">the </w:t>
      </w:r>
      <w:r w:rsidRPr="00C235BB">
        <w:t xml:space="preserve">sorption of </w:t>
      </w:r>
      <w:r w:rsidR="008202CB">
        <w:t xml:space="preserve">different </w:t>
      </w:r>
      <w:r w:rsidRPr="00C235BB">
        <w:t>analytes</w:t>
      </w:r>
      <w:r w:rsidR="00094E0A">
        <w:t>,</w:t>
      </w:r>
      <w:r w:rsidRPr="00C235BB">
        <w:t xml:space="preserve"> which </w:t>
      </w:r>
      <w:r w:rsidR="008202CB">
        <w:t xml:space="preserve">serve as the tools </w:t>
      </w:r>
      <w:r w:rsidRPr="00C235BB">
        <w:t>for evaluatin</w:t>
      </w:r>
      <w:r w:rsidR="00E53C51">
        <w:t>g</w:t>
      </w:r>
      <w:r w:rsidR="00D73F89">
        <w:t xml:space="preserve"> </w:t>
      </w:r>
      <w:r w:rsidR="00094E0A">
        <w:t xml:space="preserve">the </w:t>
      </w:r>
      <w:r w:rsidRPr="00C235BB">
        <w:t>properties of polymers</w:t>
      </w:r>
      <w:r w:rsidR="008202CB">
        <w:t xml:space="preserve">, potentially suitable </w:t>
      </w:r>
      <w:r w:rsidR="008202CB" w:rsidRPr="00C235BB">
        <w:t xml:space="preserve">as stationary phases </w:t>
      </w:r>
      <w:r w:rsidR="008202CB">
        <w:t xml:space="preserve">in </w:t>
      </w:r>
      <w:r w:rsidRPr="00C235BB">
        <w:t>GC [1]. However, the sorption system in G</w:t>
      </w:r>
      <w:r w:rsidR="008202CB">
        <w:t>C</w:t>
      </w:r>
      <w:r w:rsidRPr="00C235BB">
        <w:t xml:space="preserve"> separation processes is not sufficiently formalized</w:t>
      </w:r>
      <w:r w:rsidR="008202CB">
        <w:t>;</w:t>
      </w:r>
      <w:r w:rsidRPr="00C235BB">
        <w:t xml:space="preserve"> the phenomenon of sorption is often investigated separately from other processes, not as a part of general chemical thermodynamics of the system [2]. The</w:t>
      </w:r>
      <w:r w:rsidR="008202CB">
        <w:t xml:space="preserve"> </w:t>
      </w:r>
      <w:r w:rsidRPr="00C235BB">
        <w:t xml:space="preserve">present </w:t>
      </w:r>
      <w:r w:rsidR="008202CB">
        <w:t xml:space="preserve">work </w:t>
      </w:r>
      <w:r w:rsidRPr="00C235BB">
        <w:t xml:space="preserve">is devoted to </w:t>
      </w:r>
      <w:r w:rsidR="008202CB">
        <w:t xml:space="preserve">the </w:t>
      </w:r>
      <w:r w:rsidRPr="00C235BB">
        <w:t>evaluation of enthalpy ∆</w:t>
      </w:r>
      <w:r w:rsidRPr="008202CB">
        <w:rPr>
          <w:i/>
          <w:iCs/>
        </w:rPr>
        <w:t>H</w:t>
      </w:r>
      <w:r w:rsidRPr="00C235BB">
        <w:t xml:space="preserve"> and entropy ∆</w:t>
      </w:r>
      <w:r w:rsidRPr="008202CB">
        <w:rPr>
          <w:i/>
          <w:iCs/>
        </w:rPr>
        <w:t>S</w:t>
      </w:r>
      <w:r w:rsidRPr="00C235BB">
        <w:t xml:space="preserve"> of </w:t>
      </w:r>
      <w:r w:rsidR="00DE5A7B">
        <w:t xml:space="preserve">the </w:t>
      </w:r>
      <w:r w:rsidRPr="00C235BB">
        <w:t xml:space="preserve">sorption of analytes of different classes together with chromatographic polarity evaluation </w:t>
      </w:r>
      <w:r w:rsidR="0076576F">
        <w:t>by</w:t>
      </w:r>
      <w:r w:rsidRPr="00C235BB">
        <w:t xml:space="preserve"> </w:t>
      </w:r>
      <w:r w:rsidR="00E416FF">
        <w:t xml:space="preserve">the </w:t>
      </w:r>
      <w:r w:rsidRPr="00C235BB">
        <w:t xml:space="preserve">Rohrschneider method [3] for the newly prepared polymeric stationary phases using IGC as </w:t>
      </w:r>
      <w:r w:rsidR="00B8395F">
        <w:t>the</w:t>
      </w:r>
      <w:r w:rsidRPr="00C235BB">
        <w:t xml:space="preserve"> comparison </w:t>
      </w:r>
      <w:r w:rsidR="00B8395F">
        <w:t>tool</w:t>
      </w:r>
      <w:r w:rsidRPr="00C235BB">
        <w:t>. The stationary phases were prepared by physical mixing of two polymers with different polarity: non-polar polydimethylsiloxane (SE-30) and polar poly</w:t>
      </w:r>
      <w:r w:rsidR="00B8395F">
        <w:t>(</w:t>
      </w:r>
      <w:r w:rsidRPr="00C235BB">
        <w:t>ethylene glycol</w:t>
      </w:r>
      <w:r w:rsidR="00B8395F">
        <w:t>)</w:t>
      </w:r>
      <w:r w:rsidRPr="00C235BB">
        <w:t xml:space="preserve"> (PEG 20M). The polymeric stationary phases were tested for </w:t>
      </w:r>
      <w:r w:rsidR="00B8395F">
        <w:t xml:space="preserve">the </w:t>
      </w:r>
      <w:r w:rsidRPr="00C235BB">
        <w:t>separation of compounds of different classes</w:t>
      </w:r>
      <w:r w:rsidR="00B8395F">
        <w:t>,</w:t>
      </w:r>
      <w:r w:rsidRPr="00C235BB">
        <w:t xml:space="preserve"> mainly focusing on </w:t>
      </w:r>
      <w:r w:rsidR="00B8395F">
        <w:t xml:space="preserve">the </w:t>
      </w:r>
      <w:r w:rsidRPr="00C235BB">
        <w:t>separation of aromatic compounds and their sulfur-containing analogs. The polymers were selected based on their diametral polarit</w:t>
      </w:r>
      <w:r w:rsidR="00E02D6B">
        <w:t>ies</w:t>
      </w:r>
      <w:r w:rsidRPr="00C235BB">
        <w:t xml:space="preserve"> and considering the necessity to maintain them at a temperature above the glass transition temperature under gas chromatographic conditions</w:t>
      </w:r>
      <w:r w:rsidR="00D6701F">
        <w:t>,</w:t>
      </w:r>
      <w:r w:rsidRPr="00C235BB">
        <w:t xml:space="preserve"> while </w:t>
      </w:r>
      <w:r w:rsidR="006F3739">
        <w:t>keeping</w:t>
      </w:r>
      <w:r w:rsidRPr="00C235BB">
        <w:t xml:space="preserve"> low volatility of the material. </w:t>
      </w:r>
      <w:r w:rsidR="00D6701F">
        <w:t>The s</w:t>
      </w:r>
      <w:r w:rsidRPr="00C235BB">
        <w:t>eparation of sulfur</w:t>
      </w:r>
      <w:r w:rsidR="00D6701F">
        <w:t>-</w:t>
      </w:r>
      <w:r w:rsidRPr="00C235BB">
        <w:t xml:space="preserve">containing compounds and their aromatic analogs </w:t>
      </w:r>
      <w:r w:rsidR="00D6701F">
        <w:t>has</w:t>
      </w:r>
      <w:r w:rsidRPr="00C235BB">
        <w:t xml:space="preserve"> </w:t>
      </w:r>
      <w:r w:rsidR="00D6701F">
        <w:t xml:space="preserve">been </w:t>
      </w:r>
      <w:r w:rsidRPr="00C235BB">
        <w:t xml:space="preserve">widely </w:t>
      </w:r>
      <w:r w:rsidR="00D6701F">
        <w:t>reported [4–7]</w:t>
      </w:r>
      <w:r w:rsidRPr="00C235BB">
        <w:t>. The simplest pair is benzene</w:t>
      </w:r>
      <w:r w:rsidR="00D6701F">
        <w:t>/</w:t>
      </w:r>
      <w:r w:rsidRPr="00C235BB">
        <w:t>thiophene. It is known that the latter is the most common impurity in benzene</w:t>
      </w:r>
      <w:r w:rsidR="00D6701F">
        <w:t>, which</w:t>
      </w:r>
      <w:r w:rsidRPr="00C235BB">
        <w:t xml:space="preserve"> deteriorat</w:t>
      </w:r>
      <w:r w:rsidR="00D6701F">
        <w:t>es</w:t>
      </w:r>
      <w:r w:rsidRPr="00C235BB">
        <w:t xml:space="preserve"> the reagent quality. Different methods are suggested for </w:t>
      </w:r>
      <w:r w:rsidR="00D6701F">
        <w:t xml:space="preserve">the </w:t>
      </w:r>
      <w:r w:rsidRPr="00C235BB">
        <w:t>separation of benzene and thiophene, such as selective adsorption, solvent extraction, or extractive distillation methods [8</w:t>
      </w:r>
      <w:r w:rsidR="00D6701F">
        <w:t>–</w:t>
      </w:r>
      <w:r w:rsidRPr="00C235BB">
        <w:t xml:space="preserve">10], resulting in rather </w:t>
      </w:r>
      <w:r w:rsidR="0051734E">
        <w:t>low</w:t>
      </w:r>
      <w:r w:rsidRPr="00C235BB">
        <w:t xml:space="preserve"> </w:t>
      </w:r>
      <w:r w:rsidRPr="00C235BB">
        <w:t>thiophene contents, which in turn demands sensitive chromatographic methods for sulfur</w:t>
      </w:r>
      <w:r w:rsidR="00D6701F">
        <w:t>-</w:t>
      </w:r>
      <w:r w:rsidRPr="00C235BB">
        <w:t xml:space="preserve">containing compound control. One of the </w:t>
      </w:r>
      <w:r w:rsidR="00D6701F">
        <w:t>current</w:t>
      </w:r>
      <w:r w:rsidRPr="00C235BB">
        <w:t xml:space="preserve"> problems is </w:t>
      </w:r>
      <w:r w:rsidR="00D6701F">
        <w:t xml:space="preserve">the </w:t>
      </w:r>
      <w:r w:rsidRPr="00C235BB">
        <w:t xml:space="preserve">inversion of </w:t>
      </w:r>
      <w:r w:rsidR="00172ED8">
        <w:t xml:space="preserve">a </w:t>
      </w:r>
      <w:r w:rsidRPr="00C235BB">
        <w:t xml:space="preserve">retention time for </w:t>
      </w:r>
      <w:r w:rsidR="00172ED8">
        <w:t xml:space="preserve">the </w:t>
      </w:r>
      <w:r w:rsidRPr="00C235BB">
        <w:t xml:space="preserve">benzene/thiophene pair: nonpolar polymeric stationary phases demonstrate higher difference in </w:t>
      </w:r>
      <w:r w:rsidR="00172ED8">
        <w:t xml:space="preserve">the </w:t>
      </w:r>
      <w:r w:rsidRPr="00C235BB">
        <w:t xml:space="preserve">retention factors of </w:t>
      </w:r>
      <w:r w:rsidR="00172ED8">
        <w:t xml:space="preserve">the </w:t>
      </w:r>
      <w:r w:rsidRPr="00C235BB">
        <w:t>compounds of interest, but retention of thiophene is lower than those of benzene, making quantification of thiophene</w:t>
      </w:r>
      <w:r w:rsidR="00172ED8">
        <w:t xml:space="preserve"> difficult</w:t>
      </w:r>
      <w:r w:rsidRPr="00C235BB">
        <w:t>. For polar stationary phases</w:t>
      </w:r>
      <w:r w:rsidR="00172ED8">
        <w:t>, the</w:t>
      </w:r>
      <w:r w:rsidRPr="00C235BB">
        <w:t xml:space="preserve"> thiophene retention is higher than </w:t>
      </w:r>
      <w:r w:rsidR="00F32DF4">
        <w:t xml:space="preserve">that </w:t>
      </w:r>
      <w:r w:rsidRPr="00C235BB">
        <w:t>for benzene</w:t>
      </w:r>
      <w:r w:rsidR="00172ED8">
        <w:t>;</w:t>
      </w:r>
      <w:r w:rsidRPr="00C235BB">
        <w:t xml:space="preserve"> however</w:t>
      </w:r>
      <w:r w:rsidR="00AE5C92">
        <w:t>,</w:t>
      </w:r>
      <w:r w:rsidRPr="00C235BB">
        <w:t xml:space="preserve"> both retention factors are significantly lower. The solution may be either </w:t>
      </w:r>
      <w:r w:rsidR="00AE5C92">
        <w:t xml:space="preserve">the </w:t>
      </w:r>
      <w:r w:rsidRPr="00C235BB">
        <w:t>utilization of longer chromatographic columns</w:t>
      </w:r>
      <w:r w:rsidR="00AE5C92">
        <w:t>,</w:t>
      </w:r>
      <w:r w:rsidRPr="00C235BB">
        <w:t xml:space="preserve"> </w:t>
      </w:r>
      <w:r w:rsidR="00232FBC">
        <w:t>leading to</w:t>
      </w:r>
      <w:r w:rsidR="00AE5C92">
        <w:t xml:space="preserve"> an</w:t>
      </w:r>
      <w:r w:rsidRPr="00C235BB">
        <w:t xml:space="preserve"> increase </w:t>
      </w:r>
      <w:r w:rsidR="00AE5C92">
        <w:t xml:space="preserve">in the </w:t>
      </w:r>
      <w:r w:rsidRPr="00C235BB">
        <w:t>analysis time, or</w:t>
      </w:r>
      <w:r w:rsidR="00AE5C92">
        <w:t xml:space="preserve"> the</w:t>
      </w:r>
      <w:r w:rsidRPr="00C235BB">
        <w:t xml:space="preserve"> preparation of capillary columns with on-demand chromatographic polarity, ensuring retention </w:t>
      </w:r>
      <w:r w:rsidR="00AE5C92">
        <w:t>owing</w:t>
      </w:r>
      <w:r w:rsidRPr="00C235BB">
        <w:t xml:space="preserve"> to </w:t>
      </w:r>
      <w:r w:rsidR="00AE5C92">
        <w:t xml:space="preserve">the </w:t>
      </w:r>
      <w:r w:rsidRPr="00C235BB">
        <w:t xml:space="preserve">non-polar polymer and selectivity </w:t>
      </w:r>
      <w:r w:rsidR="00AE5C92">
        <w:t>owing</w:t>
      </w:r>
      <w:r w:rsidRPr="00C235BB">
        <w:t xml:space="preserve"> to the polar one. Th</w:t>
      </w:r>
      <w:r w:rsidR="00AE5C92">
        <w:t xml:space="preserve">is work deals with the </w:t>
      </w:r>
      <w:r w:rsidRPr="00C235BB">
        <w:t>second way</w:t>
      </w:r>
      <w:r w:rsidR="008E062B">
        <w:t>.</w:t>
      </w:r>
    </w:p>
    <w:p w14:paraId="4F1CB291" w14:textId="77777777" w:rsidR="00875175" w:rsidRDefault="00875175" w:rsidP="00B23601">
      <w:pPr>
        <w:pStyle w:val="Header1"/>
        <w:spacing w:before="240" w:after="240"/>
      </w:pPr>
      <w:r w:rsidRPr="00875175">
        <w:t>Results and discussion</w:t>
      </w:r>
    </w:p>
    <w:p w14:paraId="0B6282EC" w14:textId="36A3D27C" w:rsidR="001C434A" w:rsidRDefault="001C434A" w:rsidP="001C434A">
      <w:pPr>
        <w:spacing w:after="0"/>
        <w:ind w:firstLine="284"/>
        <w:jc w:val="both"/>
        <w:rPr>
          <w:rFonts w:ascii="Times New Roman" w:hAnsi="Times New Roman" w:cs="Times New Roman"/>
          <w:sz w:val="18"/>
          <w:szCs w:val="18"/>
          <w:lang w:val="en-US"/>
        </w:rPr>
      </w:pPr>
      <w:r w:rsidRPr="00C235BB">
        <w:rPr>
          <w:rFonts w:ascii="Times New Roman" w:hAnsi="Times New Roman" w:cs="Times New Roman"/>
          <w:sz w:val="18"/>
          <w:szCs w:val="18"/>
          <w:lang w:val="en-US"/>
        </w:rPr>
        <w:t>The values of differential enthalpy ∆</w:t>
      </w:r>
      <w:r w:rsidRPr="00D041D8">
        <w:rPr>
          <w:rFonts w:ascii="Times New Roman" w:hAnsi="Times New Roman" w:cs="Times New Roman"/>
          <w:i/>
          <w:iCs/>
          <w:sz w:val="18"/>
          <w:szCs w:val="18"/>
          <w:lang w:val="en-US"/>
        </w:rPr>
        <w:t>H</w:t>
      </w:r>
      <w:r w:rsidRPr="00C235BB">
        <w:rPr>
          <w:rFonts w:ascii="Times New Roman" w:hAnsi="Times New Roman" w:cs="Times New Roman"/>
          <w:sz w:val="18"/>
          <w:szCs w:val="18"/>
          <w:vertAlign w:val="superscript"/>
          <w:lang w:val="en-US"/>
        </w:rPr>
        <w:t>0</w:t>
      </w:r>
      <w:r w:rsidRPr="00C235BB">
        <w:rPr>
          <w:rFonts w:ascii="Times New Roman" w:hAnsi="Times New Roman" w:cs="Times New Roman"/>
          <w:sz w:val="18"/>
          <w:szCs w:val="18"/>
          <w:lang w:val="en-US"/>
        </w:rPr>
        <w:t xml:space="preserve"> and entropy ∆</w:t>
      </w:r>
      <w:r w:rsidRPr="00D041D8">
        <w:rPr>
          <w:rFonts w:ascii="Times New Roman" w:hAnsi="Times New Roman" w:cs="Times New Roman"/>
          <w:i/>
          <w:iCs/>
          <w:sz w:val="18"/>
          <w:szCs w:val="18"/>
          <w:lang w:val="en-US"/>
        </w:rPr>
        <w:t>S</w:t>
      </w:r>
      <w:r w:rsidRPr="00C235BB">
        <w:rPr>
          <w:rFonts w:ascii="Times New Roman" w:hAnsi="Times New Roman" w:cs="Times New Roman"/>
          <w:sz w:val="18"/>
          <w:szCs w:val="18"/>
          <w:vertAlign w:val="superscript"/>
          <w:lang w:val="en-US"/>
        </w:rPr>
        <w:t>0</w:t>
      </w:r>
      <w:r w:rsidRPr="00C235BB">
        <w:rPr>
          <w:rFonts w:ascii="Times New Roman" w:hAnsi="Times New Roman" w:cs="Times New Roman"/>
          <w:sz w:val="18"/>
          <w:szCs w:val="18"/>
          <w:lang w:val="en-US"/>
        </w:rPr>
        <w:t xml:space="preserve"> of </w:t>
      </w:r>
      <w:r w:rsidR="00D041D8">
        <w:rPr>
          <w:rFonts w:ascii="Times New Roman" w:hAnsi="Times New Roman" w:cs="Times New Roman"/>
          <w:sz w:val="18"/>
          <w:szCs w:val="18"/>
          <w:lang w:val="en-US"/>
        </w:rPr>
        <w:t xml:space="preserve">the </w:t>
      </w:r>
      <w:r w:rsidRPr="00C235BB">
        <w:rPr>
          <w:rFonts w:ascii="Times New Roman" w:hAnsi="Times New Roman" w:cs="Times New Roman"/>
          <w:sz w:val="18"/>
          <w:szCs w:val="18"/>
          <w:lang w:val="en-US"/>
        </w:rPr>
        <w:t xml:space="preserve">sorption for the saturated and aromatic hydrocarbons </w:t>
      </w:r>
      <w:r w:rsidR="00D041D8">
        <w:rPr>
          <w:rFonts w:ascii="Times New Roman" w:hAnsi="Times New Roman" w:cs="Times New Roman"/>
          <w:sz w:val="18"/>
          <w:szCs w:val="18"/>
          <w:lang w:val="en-US"/>
        </w:rPr>
        <w:t xml:space="preserve">explored </w:t>
      </w:r>
      <w:r w:rsidRPr="00C235BB">
        <w:rPr>
          <w:rFonts w:ascii="Times New Roman" w:hAnsi="Times New Roman" w:cs="Times New Roman"/>
          <w:sz w:val="18"/>
          <w:szCs w:val="18"/>
          <w:lang w:val="en-US"/>
        </w:rPr>
        <w:t>were calculated for all the stationary phases and are shown in Table</w:t>
      </w:r>
      <w:r w:rsidR="00D041D8">
        <w:rPr>
          <w:rFonts w:ascii="Times New Roman" w:hAnsi="Times New Roman" w:cs="Times New Roman"/>
          <w:sz w:val="18"/>
          <w:szCs w:val="18"/>
          <w:lang w:val="en-US"/>
        </w:rPr>
        <w:t>s</w:t>
      </w:r>
      <w:r w:rsidRPr="00C235BB">
        <w:rPr>
          <w:rFonts w:ascii="Times New Roman" w:hAnsi="Times New Roman" w:cs="Times New Roman"/>
          <w:sz w:val="18"/>
          <w:szCs w:val="18"/>
          <w:lang w:val="en-US"/>
        </w:rPr>
        <w:t xml:space="preserve"> 1</w:t>
      </w:r>
      <w:r w:rsidR="00D041D8">
        <w:rPr>
          <w:rFonts w:ascii="Times New Roman" w:hAnsi="Times New Roman" w:cs="Times New Roman"/>
          <w:sz w:val="18"/>
          <w:szCs w:val="18"/>
          <w:lang w:val="en-US"/>
        </w:rPr>
        <w:t xml:space="preserve">, </w:t>
      </w:r>
      <w:r w:rsidRPr="00C235BB">
        <w:rPr>
          <w:rFonts w:ascii="Times New Roman" w:hAnsi="Times New Roman" w:cs="Times New Roman"/>
          <w:sz w:val="18"/>
          <w:szCs w:val="18"/>
          <w:lang w:val="en-US"/>
        </w:rPr>
        <w:t xml:space="preserve">2. It was shown earlier </w:t>
      </w:r>
      <w:r w:rsidR="00D041D8">
        <w:rPr>
          <w:rFonts w:ascii="Times New Roman" w:hAnsi="Times New Roman" w:cs="Times New Roman"/>
          <w:sz w:val="18"/>
          <w:szCs w:val="18"/>
          <w:lang w:val="en-US"/>
        </w:rPr>
        <w:t>[1]</w:t>
      </w:r>
      <w:r w:rsidRPr="00C235BB">
        <w:rPr>
          <w:rFonts w:ascii="Times New Roman" w:hAnsi="Times New Roman" w:cs="Times New Roman"/>
          <w:sz w:val="18"/>
          <w:szCs w:val="18"/>
          <w:lang w:val="en-US"/>
        </w:rPr>
        <w:t xml:space="preserve"> that the enthalpy-based methylene selectivity values of non-polar SE-30 and </w:t>
      </w:r>
      <w:r w:rsidR="00D041D8">
        <w:rPr>
          <w:rFonts w:ascii="Times New Roman" w:hAnsi="Times New Roman" w:cs="Times New Roman"/>
          <w:sz w:val="18"/>
          <w:szCs w:val="18"/>
          <w:lang w:val="en-US"/>
        </w:rPr>
        <w:t>that</w:t>
      </w:r>
      <w:r w:rsidRPr="00C235BB">
        <w:rPr>
          <w:rFonts w:ascii="Times New Roman" w:hAnsi="Times New Roman" w:cs="Times New Roman"/>
          <w:sz w:val="18"/>
          <w:szCs w:val="18"/>
          <w:lang w:val="en-US"/>
        </w:rPr>
        <w:t xml:space="preserve"> of polar stationary phase PEG 20M differ. It was expected that the mixed stationary phase should demonstrate the properties being </w:t>
      </w:r>
      <w:r w:rsidR="00D041D8">
        <w:rPr>
          <w:rFonts w:ascii="Times New Roman" w:hAnsi="Times New Roman" w:cs="Times New Roman"/>
          <w:sz w:val="18"/>
          <w:szCs w:val="18"/>
          <w:lang w:val="en-US"/>
        </w:rPr>
        <w:t>a</w:t>
      </w:r>
      <w:r w:rsidRPr="00C235BB">
        <w:rPr>
          <w:rFonts w:ascii="Times New Roman" w:hAnsi="Times New Roman" w:cs="Times New Roman"/>
          <w:sz w:val="18"/>
          <w:szCs w:val="18"/>
          <w:lang w:val="en-US"/>
        </w:rPr>
        <w:t xml:space="preserve"> linear combination of the properties of the individual polymers. To </w:t>
      </w:r>
      <w:r w:rsidR="00D041D8">
        <w:rPr>
          <w:rFonts w:ascii="Times New Roman" w:hAnsi="Times New Roman" w:cs="Times New Roman"/>
          <w:sz w:val="18"/>
          <w:szCs w:val="18"/>
          <w:lang w:val="en-US"/>
        </w:rPr>
        <w:t>study this issue</w:t>
      </w:r>
      <w:r w:rsidRPr="00C235BB">
        <w:rPr>
          <w:rFonts w:ascii="Times New Roman" w:hAnsi="Times New Roman" w:cs="Times New Roman"/>
          <w:sz w:val="18"/>
          <w:szCs w:val="18"/>
          <w:lang w:val="en-US"/>
        </w:rPr>
        <w:t xml:space="preserve">, </w:t>
      </w:r>
      <w:r w:rsidR="00D041D8">
        <w:rPr>
          <w:rFonts w:ascii="Times New Roman" w:hAnsi="Times New Roman" w:cs="Times New Roman"/>
          <w:sz w:val="18"/>
          <w:szCs w:val="18"/>
          <w:lang w:val="en-US"/>
        </w:rPr>
        <w:t xml:space="preserve">the </w:t>
      </w:r>
      <w:r w:rsidRPr="00C235BB">
        <w:rPr>
          <w:rFonts w:ascii="Times New Roman" w:hAnsi="Times New Roman" w:cs="Times New Roman"/>
          <w:sz w:val="18"/>
          <w:szCs w:val="18"/>
          <w:lang w:val="en-US"/>
        </w:rPr>
        <w:t>values of enthalpy ∆</w:t>
      </w:r>
      <w:r w:rsidRPr="00D041D8">
        <w:rPr>
          <w:rFonts w:ascii="Times New Roman" w:hAnsi="Times New Roman" w:cs="Times New Roman"/>
          <w:i/>
          <w:iCs/>
          <w:sz w:val="18"/>
          <w:szCs w:val="18"/>
          <w:lang w:val="en-US"/>
        </w:rPr>
        <w:t>H</w:t>
      </w:r>
      <w:r w:rsidRPr="00C235BB">
        <w:rPr>
          <w:rFonts w:ascii="Times New Roman" w:hAnsi="Times New Roman" w:cs="Times New Roman"/>
          <w:sz w:val="18"/>
          <w:szCs w:val="18"/>
          <w:lang w:val="en-US"/>
        </w:rPr>
        <w:t xml:space="preserve"> and entropy ∆</w:t>
      </w:r>
      <w:r w:rsidRPr="00D041D8">
        <w:rPr>
          <w:rFonts w:ascii="Times New Roman" w:hAnsi="Times New Roman" w:cs="Times New Roman"/>
          <w:i/>
          <w:iCs/>
          <w:sz w:val="18"/>
          <w:szCs w:val="18"/>
          <w:lang w:val="en-US"/>
        </w:rPr>
        <w:t>S</w:t>
      </w:r>
      <w:r w:rsidRPr="00C235BB">
        <w:rPr>
          <w:rFonts w:ascii="Times New Roman" w:hAnsi="Times New Roman" w:cs="Times New Roman"/>
          <w:sz w:val="18"/>
          <w:szCs w:val="18"/>
          <w:lang w:val="en-US"/>
        </w:rPr>
        <w:t xml:space="preserve"> of</w:t>
      </w:r>
      <w:r w:rsidR="00D041D8">
        <w:rPr>
          <w:rFonts w:ascii="Times New Roman" w:hAnsi="Times New Roman" w:cs="Times New Roman"/>
          <w:sz w:val="18"/>
          <w:szCs w:val="18"/>
          <w:lang w:val="en-US"/>
        </w:rPr>
        <w:t xml:space="preserve"> the</w:t>
      </w:r>
      <w:r w:rsidRPr="00C235BB">
        <w:rPr>
          <w:rFonts w:ascii="Times New Roman" w:hAnsi="Times New Roman" w:cs="Times New Roman"/>
          <w:sz w:val="18"/>
          <w:szCs w:val="18"/>
          <w:lang w:val="en-US"/>
        </w:rPr>
        <w:t xml:space="preserve"> sorption for </w:t>
      </w:r>
      <w:r w:rsidR="00D041D8">
        <w:rPr>
          <w:rFonts w:ascii="Times New Roman" w:hAnsi="Times New Roman" w:cs="Times New Roman"/>
          <w:sz w:val="18"/>
          <w:szCs w:val="18"/>
          <w:lang w:val="en-US"/>
        </w:rPr>
        <w:t xml:space="preserve">the </w:t>
      </w:r>
      <w:r w:rsidRPr="00C235BB">
        <w:rPr>
          <w:rFonts w:ascii="Times New Roman" w:hAnsi="Times New Roman" w:cs="Times New Roman"/>
          <w:sz w:val="18"/>
          <w:szCs w:val="18"/>
          <w:lang w:val="en-US"/>
        </w:rPr>
        <w:t>non-polar and polar sorbates (Tables 1 and 2) were determined for each individual polymer and for all the mixtures.</w:t>
      </w:r>
    </w:p>
    <w:p w14:paraId="0E61AFC8" w14:textId="54E50827" w:rsidR="004F6702" w:rsidRPr="00C235BB" w:rsidRDefault="004F6702" w:rsidP="00A65266">
      <w:pPr>
        <w:widowControl w:val="0"/>
        <w:spacing w:after="0"/>
        <w:ind w:firstLine="284"/>
        <w:jc w:val="both"/>
        <w:rPr>
          <w:rFonts w:ascii="Times New Roman" w:hAnsi="Times New Roman" w:cs="Times New Roman"/>
          <w:sz w:val="18"/>
          <w:szCs w:val="18"/>
          <w:lang w:val="en-US"/>
        </w:rPr>
      </w:pPr>
      <w:r w:rsidRPr="00EB4EDD">
        <w:rPr>
          <w:rFonts w:ascii="Times New Roman" w:hAnsi="Times New Roman" w:cs="Times New Roman"/>
          <w:sz w:val="18"/>
          <w:szCs w:val="18"/>
          <w:lang w:val="en-US"/>
        </w:rPr>
        <w:t>As</w:t>
      </w:r>
      <w:r w:rsidRPr="00C235BB">
        <w:rPr>
          <w:rFonts w:ascii="Times New Roman" w:hAnsi="Times New Roman" w:cs="Times New Roman"/>
          <w:sz w:val="18"/>
          <w:szCs w:val="18"/>
          <w:lang w:val="en-US"/>
        </w:rPr>
        <w:t xml:space="preserve"> </w:t>
      </w:r>
      <w:r>
        <w:rPr>
          <w:rFonts w:ascii="Times New Roman" w:hAnsi="Times New Roman" w:cs="Times New Roman"/>
          <w:sz w:val="18"/>
          <w:szCs w:val="18"/>
          <w:lang w:val="en-US"/>
        </w:rPr>
        <w:t>can be seen from</w:t>
      </w:r>
      <w:r w:rsidRPr="00C235BB">
        <w:rPr>
          <w:rFonts w:ascii="Times New Roman" w:hAnsi="Times New Roman" w:cs="Times New Roman"/>
          <w:sz w:val="18"/>
          <w:szCs w:val="18"/>
          <w:lang w:val="en-US"/>
        </w:rPr>
        <w:t xml:space="preserve"> Tables</w:t>
      </w:r>
      <w:r>
        <w:rPr>
          <w:rFonts w:ascii="Times New Roman" w:hAnsi="Times New Roman" w:cs="Times New Roman"/>
          <w:sz w:val="18"/>
          <w:szCs w:val="18"/>
          <w:lang w:val="en-US"/>
        </w:rPr>
        <w:t xml:space="preserve"> 1 and 2</w:t>
      </w:r>
      <w:r w:rsidRPr="00C235BB">
        <w:rPr>
          <w:rFonts w:ascii="Times New Roman" w:hAnsi="Times New Roman" w:cs="Times New Roman"/>
          <w:sz w:val="18"/>
          <w:szCs w:val="18"/>
          <w:lang w:val="en-US"/>
        </w:rPr>
        <w:t>, the efficient polarit</w:t>
      </w:r>
      <w:r w:rsidR="00530F0A">
        <w:rPr>
          <w:rFonts w:ascii="Times New Roman" w:hAnsi="Times New Roman" w:cs="Times New Roman"/>
          <w:sz w:val="18"/>
          <w:szCs w:val="18"/>
          <w:lang w:val="en-US"/>
        </w:rPr>
        <w:t>ies</w:t>
      </w:r>
      <w:r w:rsidRPr="00C235BB">
        <w:rPr>
          <w:rFonts w:ascii="Times New Roman" w:hAnsi="Times New Roman" w:cs="Times New Roman"/>
          <w:sz w:val="18"/>
          <w:szCs w:val="18"/>
          <w:lang w:val="en-US"/>
        </w:rPr>
        <w:t xml:space="preserve"> of the prepared mixtures differ from the linear combinations of </w:t>
      </w:r>
    </w:p>
    <w:p w14:paraId="5D4560DD" w14:textId="77A5D043" w:rsidR="001C434A" w:rsidRPr="00EB4EDD" w:rsidRDefault="001C434A" w:rsidP="00EB4EDD">
      <w:pPr>
        <w:pStyle w:val="Captions"/>
        <w:spacing w:after="120" w:line="276" w:lineRule="auto"/>
        <w:ind w:firstLine="0"/>
        <w:rPr>
          <w:b w:val="0"/>
          <w:sz w:val="16"/>
          <w:szCs w:val="16"/>
        </w:rPr>
      </w:pPr>
      <w:r w:rsidRPr="00EB4EDD">
        <w:rPr>
          <w:sz w:val="16"/>
          <w:szCs w:val="16"/>
        </w:rPr>
        <w:t xml:space="preserve">Table 1. </w:t>
      </w:r>
      <w:r w:rsidRPr="00EB4EDD">
        <w:rPr>
          <w:b w:val="0"/>
          <w:sz w:val="16"/>
          <w:szCs w:val="16"/>
        </w:rPr>
        <w:t xml:space="preserve">Enthalpy of </w:t>
      </w:r>
      <w:r w:rsidR="00D041D8">
        <w:rPr>
          <w:b w:val="0"/>
          <w:sz w:val="16"/>
          <w:szCs w:val="16"/>
        </w:rPr>
        <w:t xml:space="preserve">the </w:t>
      </w:r>
      <w:r w:rsidRPr="00EB4EDD">
        <w:rPr>
          <w:b w:val="0"/>
          <w:sz w:val="16"/>
          <w:szCs w:val="16"/>
        </w:rPr>
        <w:t xml:space="preserve">sorption of </w:t>
      </w:r>
      <w:r w:rsidR="00D041D8">
        <w:rPr>
          <w:b w:val="0"/>
          <w:sz w:val="16"/>
          <w:szCs w:val="16"/>
        </w:rPr>
        <w:t xml:space="preserve">the </w:t>
      </w:r>
      <w:r w:rsidRPr="00EB4EDD">
        <w:rPr>
          <w:b w:val="0"/>
          <w:sz w:val="16"/>
          <w:szCs w:val="16"/>
        </w:rPr>
        <w:t>test solutes on the investigated polymeric stationary phases</w:t>
      </w:r>
    </w:p>
    <w:tbl>
      <w:tblPr>
        <w:tblStyle w:val="af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90"/>
        <w:gridCol w:w="686"/>
        <w:gridCol w:w="672"/>
        <w:gridCol w:w="626"/>
        <w:gridCol w:w="626"/>
        <w:gridCol w:w="626"/>
        <w:gridCol w:w="8"/>
      </w:tblGrid>
      <w:tr w:rsidR="001C434A" w:rsidRPr="00AB114E" w14:paraId="09F26E42" w14:textId="77777777" w:rsidTr="00AB114E">
        <w:trPr>
          <w:trHeight w:val="227"/>
        </w:trPr>
        <w:tc>
          <w:tcPr>
            <w:tcW w:w="850" w:type="dxa"/>
            <w:vMerge w:val="restart"/>
            <w:tcBorders>
              <w:top w:val="single" w:sz="4" w:space="0" w:color="auto"/>
            </w:tcBorders>
            <w:vAlign w:val="center"/>
          </w:tcPr>
          <w:p w14:paraId="49A1E2EA" w14:textId="77777777" w:rsidR="001C434A" w:rsidRPr="00EB4EDD" w:rsidRDefault="001C434A" w:rsidP="00EB4EDD">
            <w:pPr>
              <w:pStyle w:val="MainText"/>
              <w:ind w:firstLine="0"/>
              <w:jc w:val="center"/>
              <w:rPr>
                <w:sz w:val="16"/>
                <w:szCs w:val="16"/>
              </w:rPr>
            </w:pPr>
            <w:r w:rsidRPr="00EB4EDD">
              <w:rPr>
                <w:sz w:val="16"/>
                <w:szCs w:val="16"/>
              </w:rPr>
              <w:lastRenderedPageBreak/>
              <w:t>Sorbate</w:t>
            </w:r>
          </w:p>
        </w:tc>
        <w:tc>
          <w:tcPr>
            <w:tcW w:w="3834" w:type="dxa"/>
            <w:gridSpan w:val="7"/>
            <w:tcBorders>
              <w:top w:val="single" w:sz="4" w:space="0" w:color="auto"/>
              <w:bottom w:val="single" w:sz="4" w:space="0" w:color="auto"/>
            </w:tcBorders>
            <w:vAlign w:val="center"/>
          </w:tcPr>
          <w:p w14:paraId="628B02AC" w14:textId="373E3C06" w:rsidR="001C434A" w:rsidRPr="00EB4EDD" w:rsidRDefault="001C434A" w:rsidP="00EB4EDD">
            <w:pPr>
              <w:pStyle w:val="MainText"/>
              <w:ind w:firstLine="0"/>
              <w:jc w:val="center"/>
              <w:rPr>
                <w:sz w:val="16"/>
                <w:szCs w:val="16"/>
              </w:rPr>
            </w:pPr>
            <w:r w:rsidRPr="00EB4EDD">
              <w:rPr>
                <w:sz w:val="16"/>
                <w:szCs w:val="16"/>
              </w:rPr>
              <w:t>∆</w:t>
            </w:r>
            <w:r w:rsidRPr="00D041D8">
              <w:rPr>
                <w:i/>
                <w:iCs/>
                <w:sz w:val="16"/>
                <w:szCs w:val="16"/>
              </w:rPr>
              <w:t>H</w:t>
            </w:r>
            <w:r w:rsidRPr="00EB4EDD">
              <w:rPr>
                <w:sz w:val="16"/>
                <w:szCs w:val="16"/>
              </w:rPr>
              <w:t xml:space="preserve"> for the corresponding polymer blend, kJ</w:t>
            </w:r>
            <w:r w:rsidR="00D041D8">
              <w:rPr>
                <w:sz w:val="16"/>
                <w:szCs w:val="16"/>
              </w:rPr>
              <w:t>/</w:t>
            </w:r>
            <w:r w:rsidRPr="00EB4EDD">
              <w:rPr>
                <w:sz w:val="16"/>
                <w:szCs w:val="16"/>
              </w:rPr>
              <w:t>mol</w:t>
            </w:r>
          </w:p>
        </w:tc>
      </w:tr>
      <w:tr w:rsidR="001C434A" w:rsidRPr="00EB4EDD" w14:paraId="700D60D8" w14:textId="77777777" w:rsidTr="00AB114E">
        <w:trPr>
          <w:gridAfter w:val="1"/>
          <w:wAfter w:w="8" w:type="dxa"/>
          <w:trHeight w:val="227"/>
        </w:trPr>
        <w:tc>
          <w:tcPr>
            <w:tcW w:w="850" w:type="dxa"/>
            <w:vMerge/>
            <w:tcBorders>
              <w:bottom w:val="single" w:sz="4" w:space="0" w:color="auto"/>
            </w:tcBorders>
            <w:vAlign w:val="center"/>
          </w:tcPr>
          <w:p w14:paraId="347C916D" w14:textId="77777777" w:rsidR="001C434A" w:rsidRPr="00EB4EDD" w:rsidRDefault="001C434A" w:rsidP="00EB4EDD">
            <w:pPr>
              <w:pStyle w:val="MainText"/>
              <w:ind w:firstLine="0"/>
              <w:jc w:val="center"/>
              <w:rPr>
                <w:sz w:val="16"/>
                <w:szCs w:val="16"/>
              </w:rPr>
            </w:pPr>
          </w:p>
        </w:tc>
        <w:tc>
          <w:tcPr>
            <w:tcW w:w="590" w:type="dxa"/>
            <w:tcBorders>
              <w:bottom w:val="single" w:sz="4" w:space="0" w:color="auto"/>
            </w:tcBorders>
            <w:vAlign w:val="center"/>
          </w:tcPr>
          <w:p w14:paraId="29E3C5F6" w14:textId="77777777" w:rsidR="001C434A" w:rsidRPr="00EB4EDD" w:rsidRDefault="001C434A" w:rsidP="00EB4EDD">
            <w:pPr>
              <w:pStyle w:val="MainText"/>
              <w:ind w:firstLine="0"/>
              <w:jc w:val="center"/>
              <w:rPr>
                <w:sz w:val="16"/>
                <w:szCs w:val="16"/>
                <w:lang w:val="ru-RU"/>
              </w:rPr>
            </w:pPr>
            <w:r w:rsidRPr="00EB4EDD">
              <w:rPr>
                <w:sz w:val="16"/>
                <w:szCs w:val="16"/>
              </w:rPr>
              <w:t>PEG</w:t>
            </w:r>
          </w:p>
        </w:tc>
        <w:tc>
          <w:tcPr>
            <w:tcW w:w="686" w:type="dxa"/>
            <w:tcBorders>
              <w:bottom w:val="single" w:sz="4" w:space="0" w:color="auto"/>
            </w:tcBorders>
            <w:vAlign w:val="center"/>
          </w:tcPr>
          <w:p w14:paraId="222E2D29" w14:textId="77777777" w:rsidR="001C434A" w:rsidRPr="00EB4EDD" w:rsidRDefault="001C434A" w:rsidP="00EB4EDD">
            <w:pPr>
              <w:pStyle w:val="MainText"/>
              <w:ind w:firstLine="0"/>
              <w:jc w:val="center"/>
              <w:rPr>
                <w:sz w:val="16"/>
                <w:szCs w:val="16"/>
                <w:lang w:val="ru-RU"/>
              </w:rPr>
            </w:pPr>
            <w:r w:rsidRPr="00EB4EDD">
              <w:rPr>
                <w:sz w:val="16"/>
                <w:szCs w:val="16"/>
                <w:lang w:val="ru-RU"/>
              </w:rPr>
              <w:t>80</w:t>
            </w:r>
            <w:r w:rsidRPr="00EB4EDD">
              <w:rPr>
                <w:sz w:val="16"/>
                <w:szCs w:val="16"/>
              </w:rPr>
              <w:t xml:space="preserve"> PEG</w:t>
            </w:r>
          </w:p>
        </w:tc>
        <w:tc>
          <w:tcPr>
            <w:tcW w:w="672" w:type="dxa"/>
            <w:tcBorders>
              <w:bottom w:val="single" w:sz="4" w:space="0" w:color="auto"/>
            </w:tcBorders>
            <w:vAlign w:val="center"/>
          </w:tcPr>
          <w:p w14:paraId="6087399C" w14:textId="77777777" w:rsidR="001C434A" w:rsidRPr="00EB4EDD" w:rsidRDefault="001C434A" w:rsidP="00EB4EDD">
            <w:pPr>
              <w:pStyle w:val="MainText"/>
              <w:ind w:firstLine="0"/>
              <w:jc w:val="center"/>
              <w:rPr>
                <w:sz w:val="16"/>
                <w:szCs w:val="16"/>
                <w:lang w:val="ru-RU"/>
              </w:rPr>
            </w:pPr>
            <w:r w:rsidRPr="00EB4EDD">
              <w:rPr>
                <w:sz w:val="16"/>
                <w:szCs w:val="16"/>
                <w:lang w:val="ru-RU"/>
              </w:rPr>
              <w:t>60</w:t>
            </w:r>
            <w:r w:rsidRPr="00EB4EDD">
              <w:rPr>
                <w:sz w:val="16"/>
                <w:szCs w:val="16"/>
              </w:rPr>
              <w:t xml:space="preserve"> PEG</w:t>
            </w:r>
          </w:p>
        </w:tc>
        <w:tc>
          <w:tcPr>
            <w:tcW w:w="626" w:type="dxa"/>
            <w:tcBorders>
              <w:bottom w:val="single" w:sz="4" w:space="0" w:color="auto"/>
            </w:tcBorders>
            <w:vAlign w:val="center"/>
          </w:tcPr>
          <w:p w14:paraId="3EBA0CF5" w14:textId="77777777" w:rsidR="001C434A" w:rsidRPr="00EB4EDD" w:rsidRDefault="001C434A" w:rsidP="00EB4EDD">
            <w:pPr>
              <w:pStyle w:val="MainText"/>
              <w:ind w:firstLine="0"/>
              <w:jc w:val="center"/>
              <w:rPr>
                <w:sz w:val="16"/>
                <w:szCs w:val="16"/>
                <w:lang w:val="ru-RU"/>
              </w:rPr>
            </w:pPr>
            <w:r w:rsidRPr="00EB4EDD">
              <w:rPr>
                <w:sz w:val="16"/>
                <w:szCs w:val="16"/>
                <w:lang w:val="ru-RU"/>
              </w:rPr>
              <w:t>40</w:t>
            </w:r>
            <w:r w:rsidRPr="00EB4EDD">
              <w:rPr>
                <w:sz w:val="16"/>
                <w:szCs w:val="16"/>
              </w:rPr>
              <w:t xml:space="preserve"> PEG</w:t>
            </w:r>
          </w:p>
        </w:tc>
        <w:tc>
          <w:tcPr>
            <w:tcW w:w="626" w:type="dxa"/>
            <w:tcBorders>
              <w:bottom w:val="single" w:sz="4" w:space="0" w:color="auto"/>
            </w:tcBorders>
            <w:vAlign w:val="center"/>
          </w:tcPr>
          <w:p w14:paraId="028FF371" w14:textId="77777777" w:rsidR="001C434A" w:rsidRPr="00EB4EDD" w:rsidRDefault="001C434A" w:rsidP="00EB4EDD">
            <w:pPr>
              <w:pStyle w:val="MainText"/>
              <w:ind w:firstLine="0"/>
              <w:jc w:val="center"/>
              <w:rPr>
                <w:sz w:val="16"/>
                <w:szCs w:val="16"/>
                <w:lang w:val="ru-RU"/>
              </w:rPr>
            </w:pPr>
            <w:r w:rsidRPr="00EB4EDD">
              <w:rPr>
                <w:sz w:val="16"/>
                <w:szCs w:val="16"/>
                <w:lang w:val="ru-RU"/>
              </w:rPr>
              <w:t>20</w:t>
            </w:r>
            <w:r w:rsidRPr="00EB4EDD">
              <w:rPr>
                <w:sz w:val="16"/>
                <w:szCs w:val="16"/>
              </w:rPr>
              <w:t xml:space="preserve"> PEG</w:t>
            </w:r>
          </w:p>
        </w:tc>
        <w:tc>
          <w:tcPr>
            <w:tcW w:w="626" w:type="dxa"/>
            <w:tcBorders>
              <w:bottom w:val="single" w:sz="4" w:space="0" w:color="auto"/>
            </w:tcBorders>
            <w:vAlign w:val="center"/>
          </w:tcPr>
          <w:p w14:paraId="677AE0C2" w14:textId="77777777" w:rsidR="001C434A" w:rsidRPr="00EB4EDD" w:rsidRDefault="001C434A" w:rsidP="00EB4EDD">
            <w:pPr>
              <w:pStyle w:val="MainText"/>
              <w:ind w:firstLine="0"/>
              <w:jc w:val="center"/>
              <w:rPr>
                <w:sz w:val="16"/>
                <w:szCs w:val="16"/>
                <w:lang w:val="ru-RU"/>
              </w:rPr>
            </w:pPr>
            <w:r w:rsidRPr="00EB4EDD">
              <w:rPr>
                <w:sz w:val="16"/>
                <w:szCs w:val="16"/>
                <w:lang w:val="ru-RU"/>
              </w:rPr>
              <w:t>0</w:t>
            </w:r>
            <w:r w:rsidRPr="00EB4EDD">
              <w:rPr>
                <w:sz w:val="16"/>
                <w:szCs w:val="16"/>
              </w:rPr>
              <w:t xml:space="preserve"> PEG</w:t>
            </w:r>
          </w:p>
        </w:tc>
      </w:tr>
      <w:tr w:rsidR="001C434A" w:rsidRPr="00EB4EDD" w14:paraId="08442F86" w14:textId="77777777" w:rsidTr="00AB114E">
        <w:trPr>
          <w:gridAfter w:val="1"/>
          <w:wAfter w:w="8" w:type="dxa"/>
          <w:trHeight w:val="227"/>
        </w:trPr>
        <w:tc>
          <w:tcPr>
            <w:tcW w:w="850" w:type="dxa"/>
            <w:tcBorders>
              <w:top w:val="single" w:sz="4" w:space="0" w:color="auto"/>
            </w:tcBorders>
            <w:vAlign w:val="center"/>
          </w:tcPr>
          <w:p w14:paraId="4C4944AA" w14:textId="77777777" w:rsidR="001C434A" w:rsidRPr="00EB4EDD" w:rsidRDefault="001C434A" w:rsidP="00EB4EDD">
            <w:pPr>
              <w:pStyle w:val="MainText"/>
              <w:ind w:firstLine="0"/>
              <w:jc w:val="center"/>
              <w:rPr>
                <w:sz w:val="16"/>
                <w:szCs w:val="16"/>
              </w:rPr>
            </w:pPr>
            <w:r w:rsidRPr="00EB4EDD">
              <w:rPr>
                <w:sz w:val="16"/>
                <w:szCs w:val="16"/>
              </w:rPr>
              <w:t>Hexane</w:t>
            </w:r>
          </w:p>
        </w:tc>
        <w:tc>
          <w:tcPr>
            <w:tcW w:w="590" w:type="dxa"/>
            <w:tcBorders>
              <w:top w:val="single" w:sz="4" w:space="0" w:color="auto"/>
            </w:tcBorders>
            <w:vAlign w:val="center"/>
          </w:tcPr>
          <w:p w14:paraId="31DC13E3" w14:textId="78B87B59"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8.89</w:t>
            </w:r>
          </w:p>
        </w:tc>
        <w:tc>
          <w:tcPr>
            <w:tcW w:w="686" w:type="dxa"/>
            <w:tcBorders>
              <w:top w:val="single" w:sz="4" w:space="0" w:color="auto"/>
            </w:tcBorders>
            <w:vAlign w:val="center"/>
          </w:tcPr>
          <w:p w14:paraId="62F3B50B" w14:textId="5E190203"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3.60</w:t>
            </w:r>
          </w:p>
        </w:tc>
        <w:tc>
          <w:tcPr>
            <w:tcW w:w="672" w:type="dxa"/>
            <w:tcBorders>
              <w:top w:val="single" w:sz="4" w:space="0" w:color="auto"/>
            </w:tcBorders>
            <w:vAlign w:val="center"/>
          </w:tcPr>
          <w:p w14:paraId="3A754F12" w14:textId="1BB51EB0" w:rsidR="001C434A" w:rsidRPr="00EB4EDD" w:rsidRDefault="00EB4EDD" w:rsidP="00EB4EDD">
            <w:pPr>
              <w:pStyle w:val="MainText"/>
              <w:ind w:firstLine="0"/>
              <w:jc w:val="center"/>
              <w:rPr>
                <w:sz w:val="16"/>
                <w:szCs w:val="16"/>
              </w:rPr>
            </w:pPr>
            <w:r>
              <w:rPr>
                <w:sz w:val="16"/>
                <w:szCs w:val="16"/>
              </w:rPr>
              <w:t>–</w:t>
            </w:r>
            <w:r w:rsidR="001C434A" w:rsidRPr="00EB4EDD">
              <w:rPr>
                <w:sz w:val="16"/>
                <w:szCs w:val="16"/>
                <w:lang w:val="ru-RU"/>
              </w:rPr>
              <w:t>3.</w:t>
            </w:r>
            <w:r w:rsidR="001C434A" w:rsidRPr="00EB4EDD">
              <w:rPr>
                <w:sz w:val="16"/>
                <w:szCs w:val="16"/>
              </w:rPr>
              <w:t>65</w:t>
            </w:r>
          </w:p>
        </w:tc>
        <w:tc>
          <w:tcPr>
            <w:tcW w:w="626" w:type="dxa"/>
            <w:tcBorders>
              <w:top w:val="single" w:sz="4" w:space="0" w:color="auto"/>
            </w:tcBorders>
            <w:vAlign w:val="center"/>
          </w:tcPr>
          <w:p w14:paraId="41674AD8" w14:textId="7A5C04B1"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3.04</w:t>
            </w:r>
          </w:p>
        </w:tc>
        <w:tc>
          <w:tcPr>
            <w:tcW w:w="626" w:type="dxa"/>
            <w:tcBorders>
              <w:top w:val="single" w:sz="4" w:space="0" w:color="auto"/>
            </w:tcBorders>
            <w:vAlign w:val="center"/>
          </w:tcPr>
          <w:p w14:paraId="32AF0A20" w14:textId="03A1CC4C"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3.48</w:t>
            </w:r>
          </w:p>
        </w:tc>
        <w:tc>
          <w:tcPr>
            <w:tcW w:w="626" w:type="dxa"/>
            <w:tcBorders>
              <w:top w:val="single" w:sz="4" w:space="0" w:color="auto"/>
            </w:tcBorders>
            <w:vAlign w:val="center"/>
          </w:tcPr>
          <w:p w14:paraId="0024364F" w14:textId="690D4DE0"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8.86</w:t>
            </w:r>
          </w:p>
        </w:tc>
      </w:tr>
      <w:tr w:rsidR="001C434A" w:rsidRPr="00EB4EDD" w14:paraId="660A2575" w14:textId="77777777" w:rsidTr="00AB114E">
        <w:trPr>
          <w:gridAfter w:val="1"/>
          <w:wAfter w:w="8" w:type="dxa"/>
          <w:trHeight w:val="227"/>
        </w:trPr>
        <w:tc>
          <w:tcPr>
            <w:tcW w:w="850" w:type="dxa"/>
            <w:vAlign w:val="center"/>
          </w:tcPr>
          <w:p w14:paraId="3ADFCB59" w14:textId="77777777" w:rsidR="001C434A" w:rsidRPr="00EB4EDD" w:rsidRDefault="001C434A" w:rsidP="00EB4EDD">
            <w:pPr>
              <w:pStyle w:val="MainText"/>
              <w:ind w:firstLine="0"/>
              <w:jc w:val="center"/>
              <w:rPr>
                <w:sz w:val="16"/>
                <w:szCs w:val="16"/>
              </w:rPr>
            </w:pPr>
            <w:r w:rsidRPr="00EB4EDD">
              <w:rPr>
                <w:sz w:val="16"/>
                <w:szCs w:val="16"/>
              </w:rPr>
              <w:t>Heptane</w:t>
            </w:r>
          </w:p>
        </w:tc>
        <w:tc>
          <w:tcPr>
            <w:tcW w:w="590" w:type="dxa"/>
            <w:vAlign w:val="center"/>
          </w:tcPr>
          <w:p w14:paraId="3688E8DE" w14:textId="4C1A326B"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9.73</w:t>
            </w:r>
          </w:p>
        </w:tc>
        <w:tc>
          <w:tcPr>
            <w:tcW w:w="686" w:type="dxa"/>
            <w:vAlign w:val="center"/>
          </w:tcPr>
          <w:p w14:paraId="3D5A6B82" w14:textId="0E90A00D"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4.73</w:t>
            </w:r>
          </w:p>
        </w:tc>
        <w:tc>
          <w:tcPr>
            <w:tcW w:w="672" w:type="dxa"/>
            <w:vAlign w:val="center"/>
          </w:tcPr>
          <w:p w14:paraId="50DB326B" w14:textId="46F88CD2"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5.04</w:t>
            </w:r>
          </w:p>
        </w:tc>
        <w:tc>
          <w:tcPr>
            <w:tcW w:w="626" w:type="dxa"/>
            <w:vAlign w:val="center"/>
          </w:tcPr>
          <w:p w14:paraId="042A04B2" w14:textId="2342A7E4"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4.54</w:t>
            </w:r>
          </w:p>
        </w:tc>
        <w:tc>
          <w:tcPr>
            <w:tcW w:w="626" w:type="dxa"/>
            <w:vAlign w:val="center"/>
          </w:tcPr>
          <w:p w14:paraId="5B02E1A0" w14:textId="570E96E6"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5.38</w:t>
            </w:r>
          </w:p>
        </w:tc>
        <w:tc>
          <w:tcPr>
            <w:tcW w:w="626" w:type="dxa"/>
            <w:vAlign w:val="center"/>
          </w:tcPr>
          <w:p w14:paraId="1896A379" w14:textId="3FBB3FA5"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9.62</w:t>
            </w:r>
          </w:p>
        </w:tc>
      </w:tr>
      <w:tr w:rsidR="001C434A" w:rsidRPr="00EB4EDD" w14:paraId="24F15EEA" w14:textId="77777777" w:rsidTr="00AB114E">
        <w:trPr>
          <w:gridAfter w:val="1"/>
          <w:wAfter w:w="8" w:type="dxa"/>
          <w:trHeight w:val="227"/>
        </w:trPr>
        <w:tc>
          <w:tcPr>
            <w:tcW w:w="850" w:type="dxa"/>
            <w:tcBorders>
              <w:bottom w:val="single" w:sz="4" w:space="0" w:color="auto"/>
            </w:tcBorders>
            <w:vAlign w:val="center"/>
          </w:tcPr>
          <w:p w14:paraId="2E4BE4CD" w14:textId="77777777" w:rsidR="001C434A" w:rsidRPr="00EB4EDD" w:rsidRDefault="001C434A" w:rsidP="00EB4EDD">
            <w:pPr>
              <w:pStyle w:val="MainText"/>
              <w:ind w:firstLine="0"/>
              <w:jc w:val="center"/>
              <w:rPr>
                <w:sz w:val="16"/>
                <w:szCs w:val="16"/>
              </w:rPr>
            </w:pPr>
            <w:r w:rsidRPr="00EB4EDD">
              <w:rPr>
                <w:sz w:val="16"/>
                <w:szCs w:val="16"/>
              </w:rPr>
              <w:t>Ethanol</w:t>
            </w:r>
          </w:p>
        </w:tc>
        <w:tc>
          <w:tcPr>
            <w:tcW w:w="590" w:type="dxa"/>
            <w:tcBorders>
              <w:bottom w:val="single" w:sz="4" w:space="0" w:color="auto"/>
            </w:tcBorders>
            <w:vAlign w:val="center"/>
          </w:tcPr>
          <w:p w14:paraId="30956A82" w14:textId="3C2E796C"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7.45</w:t>
            </w:r>
          </w:p>
        </w:tc>
        <w:tc>
          <w:tcPr>
            <w:tcW w:w="686" w:type="dxa"/>
            <w:tcBorders>
              <w:bottom w:val="single" w:sz="4" w:space="0" w:color="auto"/>
            </w:tcBorders>
            <w:vAlign w:val="center"/>
          </w:tcPr>
          <w:p w14:paraId="6F23D57D" w14:textId="5BE923BC"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4.92</w:t>
            </w:r>
          </w:p>
        </w:tc>
        <w:tc>
          <w:tcPr>
            <w:tcW w:w="672" w:type="dxa"/>
            <w:tcBorders>
              <w:bottom w:val="single" w:sz="4" w:space="0" w:color="auto"/>
            </w:tcBorders>
            <w:vAlign w:val="center"/>
          </w:tcPr>
          <w:p w14:paraId="4CC21B90" w14:textId="7219CCC7"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6.09</w:t>
            </w:r>
          </w:p>
        </w:tc>
        <w:tc>
          <w:tcPr>
            <w:tcW w:w="626" w:type="dxa"/>
            <w:tcBorders>
              <w:bottom w:val="single" w:sz="4" w:space="0" w:color="auto"/>
            </w:tcBorders>
            <w:vAlign w:val="center"/>
          </w:tcPr>
          <w:p w14:paraId="4DA84698" w14:textId="6BD08268"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3.75</w:t>
            </w:r>
          </w:p>
        </w:tc>
        <w:tc>
          <w:tcPr>
            <w:tcW w:w="626" w:type="dxa"/>
            <w:tcBorders>
              <w:bottom w:val="single" w:sz="4" w:space="0" w:color="auto"/>
            </w:tcBorders>
            <w:vAlign w:val="center"/>
          </w:tcPr>
          <w:p w14:paraId="4BA9028B" w14:textId="0C904040"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4.11</w:t>
            </w:r>
          </w:p>
        </w:tc>
        <w:tc>
          <w:tcPr>
            <w:tcW w:w="626" w:type="dxa"/>
            <w:tcBorders>
              <w:bottom w:val="single" w:sz="4" w:space="0" w:color="auto"/>
            </w:tcBorders>
            <w:vAlign w:val="center"/>
          </w:tcPr>
          <w:p w14:paraId="2DD379B8" w14:textId="32962E44" w:rsidR="001C434A" w:rsidRPr="00EB4EDD" w:rsidRDefault="00EB4EDD" w:rsidP="00EB4EDD">
            <w:pPr>
              <w:pStyle w:val="MainText"/>
              <w:ind w:firstLine="0"/>
              <w:jc w:val="center"/>
              <w:rPr>
                <w:sz w:val="16"/>
                <w:szCs w:val="16"/>
              </w:rPr>
            </w:pPr>
            <w:r>
              <w:rPr>
                <w:sz w:val="16"/>
                <w:szCs w:val="16"/>
              </w:rPr>
              <w:t>–</w:t>
            </w:r>
            <w:r w:rsidR="001C434A" w:rsidRPr="00EB4EDD">
              <w:rPr>
                <w:sz w:val="16"/>
                <w:szCs w:val="16"/>
              </w:rPr>
              <w:t>9.31</w:t>
            </w:r>
          </w:p>
        </w:tc>
      </w:tr>
    </w:tbl>
    <w:p w14:paraId="5AD2ED08" w14:textId="4B4BF95D" w:rsidR="001C434A" w:rsidRPr="00EB4EDD" w:rsidRDefault="001C434A" w:rsidP="00EB4EDD">
      <w:pPr>
        <w:pStyle w:val="Captions"/>
        <w:spacing w:after="120" w:line="276" w:lineRule="auto"/>
        <w:ind w:firstLine="0"/>
        <w:rPr>
          <w:b w:val="0"/>
          <w:sz w:val="16"/>
          <w:szCs w:val="16"/>
        </w:rPr>
      </w:pPr>
      <w:r w:rsidRPr="00EB4EDD">
        <w:rPr>
          <w:sz w:val="16"/>
          <w:szCs w:val="16"/>
        </w:rPr>
        <w:t xml:space="preserve">Table 2. </w:t>
      </w:r>
      <w:r w:rsidRPr="00EB4EDD">
        <w:rPr>
          <w:b w:val="0"/>
          <w:sz w:val="16"/>
          <w:szCs w:val="16"/>
        </w:rPr>
        <w:t xml:space="preserve">Entropy of </w:t>
      </w:r>
      <w:r w:rsidR="00D041D8">
        <w:rPr>
          <w:b w:val="0"/>
          <w:sz w:val="16"/>
          <w:szCs w:val="16"/>
        </w:rPr>
        <w:t xml:space="preserve">the </w:t>
      </w:r>
      <w:r w:rsidRPr="00EB4EDD">
        <w:rPr>
          <w:b w:val="0"/>
          <w:sz w:val="16"/>
          <w:szCs w:val="16"/>
        </w:rPr>
        <w:t xml:space="preserve">sorption of </w:t>
      </w:r>
      <w:r w:rsidR="00D041D8">
        <w:rPr>
          <w:b w:val="0"/>
          <w:sz w:val="16"/>
          <w:szCs w:val="16"/>
        </w:rPr>
        <w:t xml:space="preserve">the </w:t>
      </w:r>
      <w:r w:rsidRPr="00EB4EDD">
        <w:rPr>
          <w:b w:val="0"/>
          <w:sz w:val="16"/>
          <w:szCs w:val="16"/>
        </w:rPr>
        <w:t>test solutes on the investigated polymeric stationary phases</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660"/>
        <w:gridCol w:w="632"/>
        <w:gridCol w:w="685"/>
        <w:gridCol w:w="632"/>
        <w:gridCol w:w="632"/>
        <w:gridCol w:w="670"/>
      </w:tblGrid>
      <w:tr w:rsidR="001C434A" w:rsidRPr="00AB114E" w14:paraId="67D356EA" w14:textId="77777777" w:rsidTr="00AB114E">
        <w:trPr>
          <w:trHeight w:val="227"/>
          <w:jc w:val="center"/>
        </w:trPr>
        <w:tc>
          <w:tcPr>
            <w:tcW w:w="804" w:type="dxa"/>
            <w:vMerge w:val="restart"/>
            <w:tcBorders>
              <w:top w:val="single" w:sz="4" w:space="0" w:color="auto"/>
              <w:bottom w:val="single" w:sz="4" w:space="0" w:color="auto"/>
            </w:tcBorders>
            <w:vAlign w:val="center"/>
          </w:tcPr>
          <w:p w14:paraId="68DC2452" w14:textId="77777777" w:rsidR="001C434A" w:rsidRPr="00EB4EDD" w:rsidRDefault="001C434A" w:rsidP="00EB4EDD">
            <w:pPr>
              <w:pStyle w:val="MainText"/>
              <w:ind w:firstLine="0"/>
              <w:jc w:val="center"/>
              <w:rPr>
                <w:sz w:val="16"/>
                <w:szCs w:val="16"/>
              </w:rPr>
            </w:pPr>
            <w:r w:rsidRPr="00EB4EDD">
              <w:rPr>
                <w:sz w:val="16"/>
                <w:szCs w:val="16"/>
              </w:rPr>
              <w:t>Sorbate</w:t>
            </w:r>
          </w:p>
        </w:tc>
        <w:tc>
          <w:tcPr>
            <w:tcW w:w="3911" w:type="dxa"/>
            <w:gridSpan w:val="6"/>
            <w:tcBorders>
              <w:top w:val="single" w:sz="4" w:space="0" w:color="auto"/>
              <w:bottom w:val="single" w:sz="4" w:space="0" w:color="auto"/>
            </w:tcBorders>
            <w:vAlign w:val="center"/>
          </w:tcPr>
          <w:p w14:paraId="606A4484" w14:textId="07F5AAB8" w:rsidR="001C434A" w:rsidRPr="00EB4EDD" w:rsidRDefault="001C434A" w:rsidP="00EB4122">
            <w:pPr>
              <w:pStyle w:val="MainText"/>
              <w:ind w:firstLine="0"/>
              <w:jc w:val="center"/>
              <w:rPr>
                <w:sz w:val="16"/>
                <w:szCs w:val="16"/>
              </w:rPr>
            </w:pPr>
            <w:r w:rsidRPr="00EB4EDD">
              <w:rPr>
                <w:sz w:val="16"/>
                <w:szCs w:val="16"/>
              </w:rPr>
              <w:t>∆</w:t>
            </w:r>
            <w:r w:rsidRPr="00D041D8">
              <w:rPr>
                <w:i/>
                <w:iCs/>
                <w:sz w:val="16"/>
                <w:szCs w:val="16"/>
              </w:rPr>
              <w:t>S</w:t>
            </w:r>
            <w:r w:rsidRPr="00EB4EDD">
              <w:rPr>
                <w:sz w:val="16"/>
                <w:szCs w:val="16"/>
              </w:rPr>
              <w:t xml:space="preserve"> for the corresponding polymer blend, J</w:t>
            </w:r>
            <w:r w:rsidR="00D041D8">
              <w:rPr>
                <w:sz w:val="16"/>
                <w:szCs w:val="16"/>
              </w:rPr>
              <w:t>/</w:t>
            </w:r>
            <w:r w:rsidRPr="00EB4EDD">
              <w:rPr>
                <w:sz w:val="16"/>
                <w:szCs w:val="16"/>
              </w:rPr>
              <w:t>mol</w:t>
            </w:r>
            <w:r w:rsidR="00D041D8">
              <w:rPr>
                <w:sz w:val="16"/>
                <w:szCs w:val="16"/>
              </w:rPr>
              <w:t>·</w:t>
            </w:r>
            <w:r w:rsidRPr="00EB4EDD">
              <w:rPr>
                <w:sz w:val="16"/>
                <w:szCs w:val="16"/>
              </w:rPr>
              <w:t>K</w:t>
            </w:r>
          </w:p>
        </w:tc>
      </w:tr>
      <w:tr w:rsidR="001C434A" w:rsidRPr="00EB4EDD" w14:paraId="4EA1E1F3" w14:textId="77777777" w:rsidTr="00AB114E">
        <w:trPr>
          <w:trHeight w:val="227"/>
          <w:jc w:val="center"/>
        </w:trPr>
        <w:tc>
          <w:tcPr>
            <w:tcW w:w="804" w:type="dxa"/>
            <w:vMerge/>
            <w:tcBorders>
              <w:top w:val="single" w:sz="4" w:space="0" w:color="auto"/>
              <w:bottom w:val="single" w:sz="4" w:space="0" w:color="auto"/>
            </w:tcBorders>
            <w:vAlign w:val="center"/>
          </w:tcPr>
          <w:p w14:paraId="31BA3C7B" w14:textId="77777777" w:rsidR="001C434A" w:rsidRPr="00EB4EDD" w:rsidRDefault="001C434A" w:rsidP="00EB4EDD">
            <w:pPr>
              <w:pStyle w:val="MainText"/>
              <w:ind w:firstLine="0"/>
              <w:jc w:val="center"/>
              <w:rPr>
                <w:sz w:val="16"/>
                <w:szCs w:val="16"/>
              </w:rPr>
            </w:pPr>
          </w:p>
        </w:tc>
        <w:tc>
          <w:tcPr>
            <w:tcW w:w="660" w:type="dxa"/>
            <w:tcBorders>
              <w:top w:val="single" w:sz="4" w:space="0" w:color="auto"/>
              <w:bottom w:val="single" w:sz="4" w:space="0" w:color="auto"/>
            </w:tcBorders>
            <w:vAlign w:val="center"/>
          </w:tcPr>
          <w:p w14:paraId="50AEFC9F" w14:textId="77777777" w:rsidR="001C434A" w:rsidRPr="00EB4EDD" w:rsidRDefault="001C434A" w:rsidP="00EB4EDD">
            <w:pPr>
              <w:pStyle w:val="MainText"/>
              <w:ind w:firstLine="0"/>
              <w:jc w:val="center"/>
              <w:rPr>
                <w:sz w:val="16"/>
                <w:szCs w:val="16"/>
              </w:rPr>
            </w:pPr>
            <w:r w:rsidRPr="00EB4EDD">
              <w:rPr>
                <w:sz w:val="16"/>
                <w:szCs w:val="16"/>
              </w:rPr>
              <w:t>PEG</w:t>
            </w:r>
          </w:p>
        </w:tc>
        <w:tc>
          <w:tcPr>
            <w:tcW w:w="632" w:type="dxa"/>
            <w:tcBorders>
              <w:top w:val="single" w:sz="4" w:space="0" w:color="auto"/>
              <w:bottom w:val="single" w:sz="4" w:space="0" w:color="auto"/>
            </w:tcBorders>
            <w:vAlign w:val="center"/>
          </w:tcPr>
          <w:p w14:paraId="641E339B" w14:textId="77777777" w:rsidR="001C434A" w:rsidRPr="00EB4EDD" w:rsidRDefault="001C434A" w:rsidP="00EB4EDD">
            <w:pPr>
              <w:pStyle w:val="MainText"/>
              <w:ind w:firstLine="0"/>
              <w:jc w:val="center"/>
              <w:rPr>
                <w:sz w:val="16"/>
                <w:szCs w:val="16"/>
              </w:rPr>
            </w:pPr>
            <w:r w:rsidRPr="00EB4EDD">
              <w:rPr>
                <w:sz w:val="16"/>
                <w:szCs w:val="16"/>
                <w:lang w:val="ru-RU"/>
              </w:rPr>
              <w:t>80</w:t>
            </w:r>
            <w:r w:rsidRPr="00EB4EDD">
              <w:rPr>
                <w:sz w:val="16"/>
                <w:szCs w:val="16"/>
              </w:rPr>
              <w:t xml:space="preserve"> PEG</w:t>
            </w:r>
          </w:p>
        </w:tc>
        <w:tc>
          <w:tcPr>
            <w:tcW w:w="685" w:type="dxa"/>
            <w:tcBorders>
              <w:top w:val="single" w:sz="4" w:space="0" w:color="auto"/>
              <w:bottom w:val="single" w:sz="4" w:space="0" w:color="auto"/>
            </w:tcBorders>
            <w:vAlign w:val="center"/>
          </w:tcPr>
          <w:p w14:paraId="75AEA4F6" w14:textId="77777777" w:rsidR="001C434A" w:rsidRPr="00EB4EDD" w:rsidRDefault="001C434A" w:rsidP="00EB4EDD">
            <w:pPr>
              <w:pStyle w:val="MainText"/>
              <w:ind w:firstLine="0"/>
              <w:jc w:val="center"/>
              <w:rPr>
                <w:sz w:val="16"/>
                <w:szCs w:val="16"/>
              </w:rPr>
            </w:pPr>
            <w:r w:rsidRPr="00EB4EDD">
              <w:rPr>
                <w:sz w:val="16"/>
                <w:szCs w:val="16"/>
                <w:lang w:val="ru-RU"/>
              </w:rPr>
              <w:t>60</w:t>
            </w:r>
            <w:r w:rsidRPr="00EB4EDD">
              <w:rPr>
                <w:sz w:val="16"/>
                <w:szCs w:val="16"/>
              </w:rPr>
              <w:t xml:space="preserve"> PEG</w:t>
            </w:r>
          </w:p>
        </w:tc>
        <w:tc>
          <w:tcPr>
            <w:tcW w:w="632" w:type="dxa"/>
            <w:tcBorders>
              <w:top w:val="single" w:sz="4" w:space="0" w:color="auto"/>
              <w:bottom w:val="single" w:sz="4" w:space="0" w:color="auto"/>
            </w:tcBorders>
            <w:vAlign w:val="center"/>
          </w:tcPr>
          <w:p w14:paraId="47FB6189" w14:textId="77777777" w:rsidR="001C434A" w:rsidRPr="00EB4EDD" w:rsidRDefault="001C434A" w:rsidP="00EB4EDD">
            <w:pPr>
              <w:pStyle w:val="MainText"/>
              <w:ind w:firstLine="0"/>
              <w:jc w:val="center"/>
              <w:rPr>
                <w:sz w:val="16"/>
                <w:szCs w:val="16"/>
              </w:rPr>
            </w:pPr>
            <w:r w:rsidRPr="00EB4EDD">
              <w:rPr>
                <w:sz w:val="16"/>
                <w:szCs w:val="16"/>
                <w:lang w:val="ru-RU"/>
              </w:rPr>
              <w:t>40</w:t>
            </w:r>
            <w:r w:rsidRPr="00EB4EDD">
              <w:rPr>
                <w:sz w:val="16"/>
                <w:szCs w:val="16"/>
              </w:rPr>
              <w:t xml:space="preserve"> PEG</w:t>
            </w:r>
          </w:p>
        </w:tc>
        <w:tc>
          <w:tcPr>
            <w:tcW w:w="632" w:type="dxa"/>
            <w:tcBorders>
              <w:top w:val="single" w:sz="4" w:space="0" w:color="auto"/>
              <w:bottom w:val="single" w:sz="4" w:space="0" w:color="auto"/>
            </w:tcBorders>
            <w:vAlign w:val="center"/>
          </w:tcPr>
          <w:p w14:paraId="11D99B77" w14:textId="77777777" w:rsidR="001C434A" w:rsidRPr="00EB4EDD" w:rsidRDefault="001C434A" w:rsidP="00EB4EDD">
            <w:pPr>
              <w:pStyle w:val="MainText"/>
              <w:ind w:firstLine="0"/>
              <w:jc w:val="center"/>
              <w:rPr>
                <w:sz w:val="16"/>
                <w:szCs w:val="16"/>
              </w:rPr>
            </w:pPr>
            <w:r w:rsidRPr="00EB4EDD">
              <w:rPr>
                <w:sz w:val="16"/>
                <w:szCs w:val="16"/>
                <w:lang w:val="ru-RU"/>
              </w:rPr>
              <w:t>20</w:t>
            </w:r>
            <w:r w:rsidRPr="00EB4EDD">
              <w:rPr>
                <w:sz w:val="16"/>
                <w:szCs w:val="16"/>
              </w:rPr>
              <w:t xml:space="preserve"> PEG</w:t>
            </w:r>
          </w:p>
        </w:tc>
        <w:tc>
          <w:tcPr>
            <w:tcW w:w="670" w:type="dxa"/>
            <w:tcBorders>
              <w:top w:val="single" w:sz="4" w:space="0" w:color="auto"/>
              <w:bottom w:val="single" w:sz="4" w:space="0" w:color="auto"/>
            </w:tcBorders>
            <w:vAlign w:val="center"/>
          </w:tcPr>
          <w:p w14:paraId="642DDDC6" w14:textId="1D034A0E" w:rsidR="001C434A" w:rsidRPr="00EB4EDD" w:rsidRDefault="001C434A" w:rsidP="00EB4EDD">
            <w:pPr>
              <w:pStyle w:val="MainText"/>
              <w:ind w:firstLine="0"/>
              <w:jc w:val="center"/>
              <w:rPr>
                <w:sz w:val="16"/>
                <w:szCs w:val="16"/>
              </w:rPr>
            </w:pPr>
            <w:r w:rsidRPr="00EB4EDD">
              <w:rPr>
                <w:sz w:val="16"/>
                <w:szCs w:val="16"/>
                <w:lang w:val="ru-RU"/>
              </w:rPr>
              <w:t>0</w:t>
            </w:r>
            <w:r w:rsidR="00EB4EDD">
              <w:rPr>
                <w:sz w:val="16"/>
                <w:szCs w:val="16"/>
              </w:rPr>
              <w:br/>
            </w:r>
            <w:r w:rsidRPr="00EB4EDD">
              <w:rPr>
                <w:sz w:val="16"/>
                <w:szCs w:val="16"/>
              </w:rPr>
              <w:t>PEG</w:t>
            </w:r>
          </w:p>
        </w:tc>
      </w:tr>
      <w:tr w:rsidR="001C434A" w:rsidRPr="00EB4EDD" w14:paraId="02A9B270" w14:textId="77777777" w:rsidTr="00AB114E">
        <w:trPr>
          <w:trHeight w:val="227"/>
          <w:jc w:val="center"/>
        </w:trPr>
        <w:tc>
          <w:tcPr>
            <w:tcW w:w="804" w:type="dxa"/>
            <w:tcBorders>
              <w:top w:val="single" w:sz="4" w:space="0" w:color="auto"/>
            </w:tcBorders>
            <w:vAlign w:val="center"/>
          </w:tcPr>
          <w:p w14:paraId="33660C22" w14:textId="77777777" w:rsidR="001C434A" w:rsidRPr="00EB4EDD" w:rsidRDefault="001C434A" w:rsidP="00EB4EDD">
            <w:pPr>
              <w:pStyle w:val="MainText"/>
              <w:ind w:firstLine="0"/>
              <w:jc w:val="left"/>
              <w:rPr>
                <w:sz w:val="16"/>
                <w:szCs w:val="16"/>
              </w:rPr>
            </w:pPr>
            <w:r w:rsidRPr="00EB4EDD">
              <w:rPr>
                <w:sz w:val="16"/>
                <w:szCs w:val="16"/>
              </w:rPr>
              <w:t>Hexane</w:t>
            </w:r>
          </w:p>
        </w:tc>
        <w:tc>
          <w:tcPr>
            <w:tcW w:w="660" w:type="dxa"/>
            <w:tcBorders>
              <w:top w:val="single" w:sz="4" w:space="0" w:color="auto"/>
            </w:tcBorders>
            <w:vAlign w:val="center"/>
          </w:tcPr>
          <w:p w14:paraId="6CEC3A8F" w14:textId="2679D381"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18.09</w:t>
            </w:r>
          </w:p>
        </w:tc>
        <w:tc>
          <w:tcPr>
            <w:tcW w:w="632" w:type="dxa"/>
            <w:tcBorders>
              <w:top w:val="single" w:sz="4" w:space="0" w:color="auto"/>
            </w:tcBorders>
            <w:vAlign w:val="center"/>
          </w:tcPr>
          <w:p w14:paraId="3D8F615B" w14:textId="20199085"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4.06</w:t>
            </w:r>
          </w:p>
        </w:tc>
        <w:tc>
          <w:tcPr>
            <w:tcW w:w="685" w:type="dxa"/>
            <w:tcBorders>
              <w:top w:val="single" w:sz="4" w:space="0" w:color="auto"/>
            </w:tcBorders>
            <w:vAlign w:val="center"/>
          </w:tcPr>
          <w:p w14:paraId="4096BEFE" w14:textId="6AA841C8"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5.00</w:t>
            </w:r>
          </w:p>
        </w:tc>
        <w:tc>
          <w:tcPr>
            <w:tcW w:w="632" w:type="dxa"/>
            <w:tcBorders>
              <w:top w:val="single" w:sz="4" w:space="0" w:color="auto"/>
            </w:tcBorders>
            <w:vAlign w:val="center"/>
          </w:tcPr>
          <w:p w14:paraId="7229F56E" w14:textId="3B6A4B2C"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2.92</w:t>
            </w:r>
          </w:p>
        </w:tc>
        <w:tc>
          <w:tcPr>
            <w:tcW w:w="632" w:type="dxa"/>
            <w:tcBorders>
              <w:top w:val="single" w:sz="4" w:space="0" w:color="auto"/>
            </w:tcBorders>
            <w:vAlign w:val="center"/>
          </w:tcPr>
          <w:p w14:paraId="4EB97106" w14:textId="1468BC70"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4.62</w:t>
            </w:r>
          </w:p>
        </w:tc>
        <w:tc>
          <w:tcPr>
            <w:tcW w:w="670" w:type="dxa"/>
            <w:tcBorders>
              <w:top w:val="single" w:sz="4" w:space="0" w:color="auto"/>
            </w:tcBorders>
            <w:vAlign w:val="center"/>
          </w:tcPr>
          <w:p w14:paraId="3B31DAF5" w14:textId="0A2A353F"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17.99</w:t>
            </w:r>
          </w:p>
        </w:tc>
      </w:tr>
      <w:tr w:rsidR="001C434A" w:rsidRPr="00EB4EDD" w14:paraId="1A40CCF7" w14:textId="77777777" w:rsidTr="00AB114E">
        <w:trPr>
          <w:trHeight w:val="227"/>
          <w:jc w:val="center"/>
        </w:trPr>
        <w:tc>
          <w:tcPr>
            <w:tcW w:w="804" w:type="dxa"/>
            <w:vAlign w:val="center"/>
          </w:tcPr>
          <w:p w14:paraId="432F2677" w14:textId="77777777" w:rsidR="001C434A" w:rsidRPr="00EB4EDD" w:rsidRDefault="001C434A" w:rsidP="00EB4EDD">
            <w:pPr>
              <w:pStyle w:val="MainText"/>
              <w:ind w:firstLine="0"/>
              <w:jc w:val="left"/>
              <w:rPr>
                <w:sz w:val="16"/>
                <w:szCs w:val="16"/>
              </w:rPr>
            </w:pPr>
            <w:r w:rsidRPr="00EB4EDD">
              <w:rPr>
                <w:sz w:val="16"/>
                <w:szCs w:val="16"/>
              </w:rPr>
              <w:t>Heptane</w:t>
            </w:r>
          </w:p>
        </w:tc>
        <w:tc>
          <w:tcPr>
            <w:tcW w:w="660" w:type="dxa"/>
            <w:vAlign w:val="center"/>
          </w:tcPr>
          <w:p w14:paraId="02E36A6B" w14:textId="55FF0F65"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20.33</w:t>
            </w:r>
          </w:p>
        </w:tc>
        <w:tc>
          <w:tcPr>
            <w:tcW w:w="632" w:type="dxa"/>
            <w:vAlign w:val="center"/>
          </w:tcPr>
          <w:p w14:paraId="6976446A" w14:textId="6BE38ECB"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7.37</w:t>
            </w:r>
          </w:p>
        </w:tc>
        <w:tc>
          <w:tcPr>
            <w:tcW w:w="685" w:type="dxa"/>
            <w:vAlign w:val="center"/>
          </w:tcPr>
          <w:p w14:paraId="792B8387" w14:textId="2117842A"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8.91</w:t>
            </w:r>
          </w:p>
        </w:tc>
        <w:tc>
          <w:tcPr>
            <w:tcW w:w="632" w:type="dxa"/>
            <w:vAlign w:val="center"/>
          </w:tcPr>
          <w:p w14:paraId="1561CDE7" w14:textId="6753E472"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7.60</w:t>
            </w:r>
          </w:p>
        </w:tc>
        <w:tc>
          <w:tcPr>
            <w:tcW w:w="632" w:type="dxa"/>
            <w:vAlign w:val="center"/>
          </w:tcPr>
          <w:p w14:paraId="6424D422" w14:textId="708872D6"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9.93</w:t>
            </w:r>
          </w:p>
        </w:tc>
        <w:tc>
          <w:tcPr>
            <w:tcW w:w="670" w:type="dxa"/>
            <w:vAlign w:val="center"/>
          </w:tcPr>
          <w:p w14:paraId="73EB058C" w14:textId="47BBD580"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20.00</w:t>
            </w:r>
          </w:p>
        </w:tc>
      </w:tr>
      <w:tr w:rsidR="001C434A" w:rsidRPr="00EB4EDD" w14:paraId="5C3C56BE" w14:textId="77777777" w:rsidTr="00AB114E">
        <w:trPr>
          <w:trHeight w:val="227"/>
          <w:jc w:val="center"/>
        </w:trPr>
        <w:tc>
          <w:tcPr>
            <w:tcW w:w="804" w:type="dxa"/>
            <w:tcBorders>
              <w:bottom w:val="single" w:sz="4" w:space="0" w:color="auto"/>
            </w:tcBorders>
            <w:vAlign w:val="center"/>
          </w:tcPr>
          <w:p w14:paraId="4303D202" w14:textId="77777777" w:rsidR="001C434A" w:rsidRPr="00EB4EDD" w:rsidRDefault="001C434A" w:rsidP="00EB4EDD">
            <w:pPr>
              <w:pStyle w:val="MainText"/>
              <w:ind w:firstLine="0"/>
              <w:jc w:val="left"/>
              <w:rPr>
                <w:sz w:val="16"/>
                <w:szCs w:val="16"/>
              </w:rPr>
            </w:pPr>
            <w:r w:rsidRPr="00EB4EDD">
              <w:rPr>
                <w:sz w:val="16"/>
                <w:szCs w:val="16"/>
              </w:rPr>
              <w:t>Ethanol</w:t>
            </w:r>
          </w:p>
        </w:tc>
        <w:tc>
          <w:tcPr>
            <w:tcW w:w="660" w:type="dxa"/>
            <w:tcBorders>
              <w:bottom w:val="single" w:sz="4" w:space="0" w:color="auto"/>
            </w:tcBorders>
            <w:vAlign w:val="center"/>
          </w:tcPr>
          <w:p w14:paraId="049C6C00" w14:textId="3A030E1A"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15.37</w:t>
            </w:r>
          </w:p>
        </w:tc>
        <w:tc>
          <w:tcPr>
            <w:tcW w:w="632" w:type="dxa"/>
            <w:tcBorders>
              <w:bottom w:val="single" w:sz="4" w:space="0" w:color="auto"/>
            </w:tcBorders>
            <w:vAlign w:val="center"/>
          </w:tcPr>
          <w:p w14:paraId="7FE7E43C" w14:textId="441DE9BA"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7</w:t>
            </w:r>
            <w:r w:rsidRPr="00EB4EDD">
              <w:rPr>
                <w:sz w:val="16"/>
                <w:szCs w:val="16"/>
              </w:rPr>
              <w:t>.</w:t>
            </w:r>
            <w:r w:rsidR="001C434A" w:rsidRPr="00EB4EDD">
              <w:rPr>
                <w:sz w:val="16"/>
                <w:szCs w:val="16"/>
              </w:rPr>
              <w:t>92</w:t>
            </w:r>
          </w:p>
        </w:tc>
        <w:tc>
          <w:tcPr>
            <w:tcW w:w="685" w:type="dxa"/>
            <w:tcBorders>
              <w:bottom w:val="single" w:sz="4" w:space="0" w:color="auto"/>
            </w:tcBorders>
            <w:vAlign w:val="center"/>
          </w:tcPr>
          <w:p w14:paraId="7E2BC063" w14:textId="2351D642"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11.87</w:t>
            </w:r>
          </w:p>
        </w:tc>
        <w:tc>
          <w:tcPr>
            <w:tcW w:w="632" w:type="dxa"/>
            <w:tcBorders>
              <w:bottom w:val="single" w:sz="4" w:space="0" w:color="auto"/>
            </w:tcBorders>
            <w:vAlign w:val="center"/>
          </w:tcPr>
          <w:p w14:paraId="6F809A10" w14:textId="6353F6BF"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5.34</w:t>
            </w:r>
          </w:p>
        </w:tc>
        <w:tc>
          <w:tcPr>
            <w:tcW w:w="632" w:type="dxa"/>
            <w:tcBorders>
              <w:bottom w:val="single" w:sz="4" w:space="0" w:color="auto"/>
            </w:tcBorders>
            <w:vAlign w:val="center"/>
          </w:tcPr>
          <w:p w14:paraId="33A33AA5" w14:textId="3C471997"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6.43</w:t>
            </w:r>
          </w:p>
        </w:tc>
        <w:tc>
          <w:tcPr>
            <w:tcW w:w="670" w:type="dxa"/>
            <w:tcBorders>
              <w:bottom w:val="single" w:sz="4" w:space="0" w:color="auto"/>
            </w:tcBorders>
            <w:vAlign w:val="center"/>
          </w:tcPr>
          <w:p w14:paraId="180D95E6" w14:textId="62806586" w:rsidR="001C434A" w:rsidRPr="00EB4EDD" w:rsidRDefault="00EB4EDD" w:rsidP="00EB4EDD">
            <w:pPr>
              <w:pStyle w:val="MainText"/>
              <w:ind w:firstLine="0"/>
              <w:jc w:val="center"/>
              <w:rPr>
                <w:sz w:val="16"/>
                <w:szCs w:val="16"/>
              </w:rPr>
            </w:pPr>
            <w:r w:rsidRPr="00EB4EDD">
              <w:rPr>
                <w:sz w:val="16"/>
                <w:szCs w:val="16"/>
              </w:rPr>
              <w:t>–</w:t>
            </w:r>
            <w:r w:rsidR="001C434A" w:rsidRPr="00EB4EDD">
              <w:rPr>
                <w:sz w:val="16"/>
                <w:szCs w:val="16"/>
              </w:rPr>
              <w:t>20.65</w:t>
            </w:r>
          </w:p>
        </w:tc>
      </w:tr>
    </w:tbl>
    <w:p w14:paraId="35C01880" w14:textId="229F1197" w:rsidR="004F6702" w:rsidRDefault="00530F0A" w:rsidP="004F6702">
      <w:pPr>
        <w:spacing w:before="200" w:after="0"/>
        <w:jc w:val="both"/>
        <w:rPr>
          <w:rFonts w:ascii="Times New Roman" w:hAnsi="Times New Roman" w:cs="Times New Roman"/>
          <w:sz w:val="18"/>
          <w:szCs w:val="18"/>
          <w:lang w:val="en-US"/>
        </w:rPr>
      </w:pPr>
      <w:r w:rsidRPr="00C235BB">
        <w:rPr>
          <w:rFonts w:ascii="Times New Roman" w:hAnsi="Times New Roman" w:cs="Times New Roman"/>
          <w:sz w:val="18"/>
          <w:szCs w:val="18"/>
          <w:lang w:val="en-US"/>
        </w:rPr>
        <w:t>the</w:t>
      </w:r>
      <w:r w:rsidRPr="00C235BB">
        <w:rPr>
          <w:rFonts w:ascii="Times New Roman" w:hAnsi="Times New Roman" w:cs="Times New Roman"/>
          <w:sz w:val="18"/>
          <w:szCs w:val="18"/>
          <w:lang w:val="en-US"/>
        </w:rPr>
        <w:t xml:space="preserve"> </w:t>
      </w:r>
      <w:r w:rsidR="00A65266" w:rsidRPr="00C235BB">
        <w:rPr>
          <w:rFonts w:ascii="Times New Roman" w:hAnsi="Times New Roman" w:cs="Times New Roman"/>
          <w:sz w:val="18"/>
          <w:szCs w:val="18"/>
          <w:lang w:val="en-US"/>
        </w:rPr>
        <w:t>individual values</w:t>
      </w:r>
      <w:r w:rsidR="00A65266">
        <w:rPr>
          <w:rFonts w:ascii="Times New Roman" w:hAnsi="Times New Roman" w:cs="Times New Roman"/>
          <w:sz w:val="18"/>
          <w:szCs w:val="18"/>
          <w:lang w:val="en-US"/>
        </w:rPr>
        <w:t>:</w:t>
      </w:r>
      <w:r w:rsidR="00A65266" w:rsidRPr="00C235BB">
        <w:rPr>
          <w:rFonts w:ascii="Times New Roman" w:hAnsi="Times New Roman" w:cs="Times New Roman"/>
          <w:sz w:val="18"/>
          <w:szCs w:val="18"/>
          <w:lang w:val="en-US"/>
        </w:rPr>
        <w:t xml:space="preserve"> the properties of the mixed stationary phase</w:t>
      </w:r>
      <w:r w:rsidR="00A65266">
        <w:rPr>
          <w:rFonts w:ascii="Times New Roman" w:hAnsi="Times New Roman" w:cs="Times New Roman"/>
          <w:sz w:val="18"/>
          <w:szCs w:val="18"/>
          <w:lang w:val="en-US"/>
        </w:rPr>
        <w:t>s</w:t>
      </w:r>
      <w:r w:rsidR="00A65266" w:rsidRPr="00C235BB">
        <w:rPr>
          <w:rFonts w:ascii="Times New Roman" w:hAnsi="Times New Roman" w:cs="Times New Roman"/>
          <w:sz w:val="18"/>
          <w:szCs w:val="18"/>
          <w:lang w:val="en-US"/>
        </w:rPr>
        <w:t xml:space="preserve"> </w:t>
      </w:r>
      <w:r w:rsidR="004F6702" w:rsidRPr="00C235BB">
        <w:rPr>
          <w:rFonts w:ascii="Times New Roman" w:hAnsi="Times New Roman" w:cs="Times New Roman"/>
          <w:sz w:val="18"/>
          <w:szCs w:val="18"/>
          <w:lang w:val="en-US"/>
        </w:rPr>
        <w:t xml:space="preserve">go through the minimum. An optimal three-parameter regression basis can be constructed in the future, reflecting the properties of permutation symmetry and considering the specifics of the isotherms of polymer mixtures, and an optimal algorithm for calculating the regression parameters of sorption isotherms for </w:t>
      </w:r>
      <w:r w:rsidR="004F6702">
        <w:rPr>
          <w:rFonts w:ascii="Times New Roman" w:hAnsi="Times New Roman" w:cs="Times New Roman"/>
          <w:sz w:val="18"/>
          <w:szCs w:val="18"/>
          <w:lang w:val="en-US"/>
        </w:rPr>
        <w:t xml:space="preserve">the </w:t>
      </w:r>
      <w:r w:rsidR="004F6702" w:rsidRPr="00C235BB">
        <w:rPr>
          <w:rFonts w:ascii="Times New Roman" w:hAnsi="Times New Roman" w:cs="Times New Roman"/>
          <w:sz w:val="18"/>
          <w:szCs w:val="18"/>
          <w:lang w:val="en-US"/>
        </w:rPr>
        <w:t>polymer mixtures can be proposed.</w:t>
      </w:r>
    </w:p>
    <w:p w14:paraId="28FDE6FF" w14:textId="7B3EDD63" w:rsidR="001C434A" w:rsidRPr="00C235BB" w:rsidRDefault="001C434A" w:rsidP="004F6702">
      <w:pPr>
        <w:spacing w:after="0"/>
        <w:ind w:firstLine="284"/>
        <w:jc w:val="both"/>
        <w:rPr>
          <w:rFonts w:ascii="Times New Roman" w:hAnsi="Times New Roman" w:cs="Times New Roman"/>
          <w:sz w:val="18"/>
          <w:szCs w:val="18"/>
          <w:lang w:val="en-US"/>
        </w:rPr>
      </w:pPr>
      <w:r w:rsidRPr="00C235BB">
        <w:rPr>
          <w:rFonts w:ascii="Times New Roman" w:hAnsi="Times New Roman" w:cs="Times New Roman"/>
          <w:sz w:val="18"/>
          <w:szCs w:val="18"/>
          <w:lang w:val="en-US"/>
        </w:rPr>
        <w:t>The compensation temperatures were also calculated for comparison of the sorption mechanism of sorbates in all the polymeric mixtures (Fig. 1</w:t>
      </w:r>
      <w:r w:rsidR="004F6702">
        <w:rPr>
          <w:rFonts w:ascii="Times New Roman" w:hAnsi="Times New Roman" w:cs="Times New Roman"/>
          <w:sz w:val="18"/>
          <w:szCs w:val="18"/>
          <w:lang w:val="en-US"/>
        </w:rPr>
        <w:t>a</w:t>
      </w:r>
      <w:r w:rsidRPr="00C235BB">
        <w:rPr>
          <w:rFonts w:ascii="Times New Roman" w:hAnsi="Times New Roman" w:cs="Times New Roman"/>
          <w:sz w:val="18"/>
          <w:szCs w:val="18"/>
          <w:lang w:val="en-US"/>
        </w:rPr>
        <w:t xml:space="preserve">) using the </w:t>
      </w:r>
      <w:r w:rsidR="004F6702">
        <w:rPr>
          <w:rFonts w:ascii="Times New Roman" w:hAnsi="Times New Roman" w:cs="Times New Roman"/>
          <w:sz w:val="18"/>
          <w:szCs w:val="18"/>
          <w:lang w:val="en-US"/>
        </w:rPr>
        <w:t>relation</w:t>
      </w:r>
      <w:r w:rsidRPr="00C235BB">
        <w:rPr>
          <w:rFonts w:ascii="Times New Roman" w:hAnsi="Times New Roman" w:cs="Times New Roman"/>
          <w:sz w:val="18"/>
          <w:szCs w:val="18"/>
          <w:lang w:val="en-US"/>
        </w:rPr>
        <w:t xml:space="preserve"> ∆</w:t>
      </w:r>
      <w:r w:rsidRPr="004F6702">
        <w:rPr>
          <w:rFonts w:ascii="Times New Roman" w:hAnsi="Times New Roman" w:cs="Times New Roman"/>
          <w:i/>
          <w:iCs/>
          <w:sz w:val="18"/>
          <w:szCs w:val="18"/>
          <w:lang w:val="en-US"/>
        </w:rPr>
        <w:t>H</w:t>
      </w:r>
      <w:r w:rsidRPr="00C235BB">
        <w:rPr>
          <w:rFonts w:ascii="Times New Roman" w:hAnsi="Times New Roman" w:cs="Times New Roman"/>
          <w:sz w:val="18"/>
          <w:szCs w:val="18"/>
          <w:lang w:val="en-US"/>
        </w:rPr>
        <w:t xml:space="preserve"> = </w:t>
      </w:r>
      <w:r w:rsidR="004F6702" w:rsidRPr="004F6702">
        <w:rPr>
          <w:rFonts w:ascii="Times New Roman" w:hAnsi="Times New Roman" w:cs="Times New Roman"/>
          <w:i/>
          <w:iCs/>
          <w:sz w:val="18"/>
          <w:szCs w:val="18"/>
          <w:lang w:val="en-US"/>
        </w:rPr>
        <w:t>β</w:t>
      </w:r>
      <w:r w:rsidRPr="00C235BB">
        <w:rPr>
          <w:rFonts w:ascii="Times New Roman" w:hAnsi="Times New Roman" w:cs="Times New Roman"/>
          <w:sz w:val="18"/>
          <w:szCs w:val="18"/>
          <w:lang w:val="en-US"/>
        </w:rPr>
        <w:t>∆</w:t>
      </w:r>
      <w:r w:rsidRPr="004F6702">
        <w:rPr>
          <w:rFonts w:ascii="Times New Roman" w:hAnsi="Times New Roman" w:cs="Times New Roman"/>
          <w:i/>
          <w:iCs/>
          <w:sz w:val="18"/>
          <w:szCs w:val="18"/>
          <w:lang w:val="en-US"/>
        </w:rPr>
        <w:t>S</w:t>
      </w:r>
      <w:r w:rsidRPr="00C235BB">
        <w:rPr>
          <w:rFonts w:ascii="Times New Roman" w:hAnsi="Times New Roman" w:cs="Times New Roman"/>
          <w:sz w:val="18"/>
          <w:szCs w:val="18"/>
          <w:lang w:val="en-US"/>
        </w:rPr>
        <w:t xml:space="preserve"> + </w:t>
      </w:r>
      <w:r w:rsidRPr="004F6702">
        <w:rPr>
          <w:rFonts w:ascii="Times New Roman" w:hAnsi="Times New Roman" w:cs="Times New Roman"/>
          <w:i/>
          <w:iCs/>
          <w:sz w:val="18"/>
          <w:szCs w:val="18"/>
          <w:lang w:val="en-US"/>
        </w:rPr>
        <w:t>α</w:t>
      </w:r>
      <w:r w:rsidRPr="00C235BB">
        <w:rPr>
          <w:rFonts w:ascii="Times New Roman" w:hAnsi="Times New Roman" w:cs="Times New Roman"/>
          <w:sz w:val="18"/>
          <w:szCs w:val="18"/>
          <w:lang w:val="en-US"/>
        </w:rPr>
        <w:t xml:space="preserve">, where </w:t>
      </w:r>
      <w:r w:rsidRPr="004F6702">
        <w:rPr>
          <w:rFonts w:ascii="Times New Roman" w:hAnsi="Times New Roman" w:cs="Times New Roman"/>
          <w:i/>
          <w:iCs/>
          <w:sz w:val="18"/>
          <w:szCs w:val="18"/>
          <w:lang w:val="en-US"/>
        </w:rPr>
        <w:t>β</w:t>
      </w:r>
      <w:r w:rsidRPr="00C235BB">
        <w:rPr>
          <w:rFonts w:ascii="Times New Roman" w:hAnsi="Times New Roman" w:cs="Times New Roman"/>
          <w:sz w:val="18"/>
          <w:szCs w:val="18"/>
          <w:lang w:val="en-US"/>
        </w:rPr>
        <w:t xml:space="preserve"> is the compensation temperature (K). It is interesting to note that </w:t>
      </w:r>
      <w:r w:rsidR="004F6702">
        <w:rPr>
          <w:rFonts w:ascii="Times New Roman" w:hAnsi="Times New Roman" w:cs="Times New Roman"/>
          <w:sz w:val="18"/>
          <w:szCs w:val="18"/>
          <w:lang w:val="en-US"/>
        </w:rPr>
        <w:t xml:space="preserve">the </w:t>
      </w:r>
      <w:r w:rsidRPr="00C235BB">
        <w:rPr>
          <w:rFonts w:ascii="Times New Roman" w:hAnsi="Times New Roman" w:cs="Times New Roman"/>
          <w:sz w:val="18"/>
          <w:szCs w:val="18"/>
          <w:lang w:val="en-US"/>
        </w:rPr>
        <w:t>values of compensation temperatures were th</w:t>
      </w:r>
      <w:r w:rsidR="004F6702">
        <w:rPr>
          <w:rFonts w:ascii="Times New Roman" w:hAnsi="Times New Roman" w:cs="Times New Roman"/>
          <w:sz w:val="18"/>
          <w:szCs w:val="18"/>
          <w:lang w:val="en-US"/>
        </w:rPr>
        <w:t>e</w:t>
      </w:r>
      <w:r w:rsidRPr="00C235BB">
        <w:rPr>
          <w:rFonts w:ascii="Times New Roman" w:hAnsi="Times New Roman" w:cs="Times New Roman"/>
          <w:sz w:val="18"/>
          <w:szCs w:val="18"/>
          <w:lang w:val="en-US"/>
        </w:rPr>
        <w:t xml:space="preserve"> same for all the blends containing PDMS</w:t>
      </w:r>
      <w:r w:rsidR="004F6702">
        <w:rPr>
          <w:rFonts w:ascii="Times New Roman" w:hAnsi="Times New Roman" w:cs="Times New Roman"/>
          <w:sz w:val="18"/>
          <w:szCs w:val="18"/>
          <w:lang w:val="en-US"/>
        </w:rPr>
        <w:t>,</w:t>
      </w:r>
      <w:r w:rsidRPr="00C235BB">
        <w:rPr>
          <w:rFonts w:ascii="Times New Roman" w:hAnsi="Times New Roman" w:cs="Times New Roman"/>
          <w:sz w:val="18"/>
          <w:szCs w:val="18"/>
          <w:lang w:val="en-US"/>
        </w:rPr>
        <w:t xml:space="preserve"> making it to determine the separation mechanism.</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8"/>
        <w:gridCol w:w="2106"/>
      </w:tblGrid>
      <w:tr w:rsidR="00CB6B24" w14:paraId="060E37D8" w14:textId="77777777" w:rsidTr="00365893">
        <w:tc>
          <w:tcPr>
            <w:tcW w:w="2447" w:type="dxa"/>
          </w:tcPr>
          <w:p w14:paraId="5B563539" w14:textId="11035D27" w:rsidR="00CB6B24" w:rsidRDefault="00365893" w:rsidP="00365893">
            <w:pPr>
              <w:pStyle w:val="Captions"/>
              <w:ind w:firstLine="0"/>
              <w:rPr>
                <w:b w:val="0"/>
                <w:bCs/>
                <w:sz w:val="16"/>
                <w:szCs w:val="16"/>
              </w:rPr>
            </w:pPr>
            <w:r w:rsidRPr="00C235BB">
              <w:rPr>
                <w:noProof/>
              </w:rPr>
              <w:drawing>
                <wp:inline distT="0" distB="0" distL="0" distR="0" wp14:anchorId="49195013" wp14:editId="6B21B780">
                  <wp:extent cx="1660188" cy="971341"/>
                  <wp:effectExtent l="0" t="0" r="0" b="635"/>
                  <wp:docPr id="1736317" name="Рисунок 1" descr="Изображение выглядит как линия, текст,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17" name="Рисунок 1" descr="Изображение выглядит как линия, текст, График, диаграмма&#10;&#10;Автоматически созданное описание"/>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1674775" cy="979876"/>
                          </a:xfrm>
                          <a:prstGeom prst="rect">
                            <a:avLst/>
                          </a:prstGeom>
                        </pic:spPr>
                      </pic:pic>
                    </a:graphicData>
                  </a:graphic>
                </wp:inline>
              </w:drawing>
            </w:r>
          </w:p>
        </w:tc>
        <w:tc>
          <w:tcPr>
            <w:tcW w:w="2447" w:type="dxa"/>
          </w:tcPr>
          <w:p w14:paraId="1544A8D9" w14:textId="20C09DA2" w:rsidR="00CB6B24" w:rsidRDefault="00365893" w:rsidP="00365893">
            <w:pPr>
              <w:pStyle w:val="Captions"/>
              <w:ind w:firstLine="0"/>
              <w:rPr>
                <w:b w:val="0"/>
                <w:bCs/>
                <w:sz w:val="16"/>
                <w:szCs w:val="16"/>
              </w:rPr>
            </w:pPr>
            <w:r w:rsidRPr="00C235BB">
              <w:rPr>
                <w:noProof/>
              </w:rPr>
              <w:drawing>
                <wp:inline distT="0" distB="0" distL="0" distR="0" wp14:anchorId="186C2353" wp14:editId="0793E7F8">
                  <wp:extent cx="1212476" cy="932815"/>
                  <wp:effectExtent l="0" t="0" r="6985" b="635"/>
                  <wp:docPr id="1801113408" name="Рисунок 1" descr="Изображение выглядит как темнота, черный, снимок экрана, ноч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13408" name="Рисунок 1" descr="Изображение выглядит как темнота, черный, снимок экрана, ночь&#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0029" cy="938626"/>
                          </a:xfrm>
                          <a:prstGeom prst="rect">
                            <a:avLst/>
                          </a:prstGeom>
                        </pic:spPr>
                      </pic:pic>
                    </a:graphicData>
                  </a:graphic>
                </wp:inline>
              </w:drawing>
            </w:r>
          </w:p>
        </w:tc>
      </w:tr>
      <w:tr w:rsidR="00CB6B24" w14:paraId="571FCE3B" w14:textId="77777777" w:rsidTr="00365893">
        <w:tc>
          <w:tcPr>
            <w:tcW w:w="2447" w:type="dxa"/>
          </w:tcPr>
          <w:p w14:paraId="6A8116FC" w14:textId="08A10CD7" w:rsidR="00CB6B24" w:rsidRPr="00365893" w:rsidRDefault="00365893" w:rsidP="00365893">
            <w:pPr>
              <w:pStyle w:val="Captions"/>
              <w:spacing w:before="0"/>
              <w:ind w:firstLine="0"/>
              <w:jc w:val="center"/>
              <w:rPr>
                <w:i/>
                <w:iCs/>
                <w:sz w:val="16"/>
                <w:szCs w:val="16"/>
              </w:rPr>
            </w:pPr>
            <w:r w:rsidRPr="00365893">
              <w:rPr>
                <w:i/>
                <w:iCs/>
                <w:sz w:val="16"/>
                <w:szCs w:val="16"/>
              </w:rPr>
              <w:t>a</w:t>
            </w:r>
          </w:p>
        </w:tc>
        <w:tc>
          <w:tcPr>
            <w:tcW w:w="2447" w:type="dxa"/>
          </w:tcPr>
          <w:p w14:paraId="755BA041" w14:textId="257652D3" w:rsidR="00CB6B24" w:rsidRPr="00365893" w:rsidRDefault="00365893" w:rsidP="00365893">
            <w:pPr>
              <w:pStyle w:val="Captions"/>
              <w:spacing w:before="0"/>
              <w:ind w:firstLine="0"/>
              <w:jc w:val="center"/>
              <w:rPr>
                <w:i/>
                <w:iCs/>
                <w:sz w:val="16"/>
                <w:szCs w:val="16"/>
              </w:rPr>
            </w:pPr>
            <w:r w:rsidRPr="00365893">
              <w:rPr>
                <w:i/>
                <w:iCs/>
                <w:sz w:val="16"/>
                <w:szCs w:val="16"/>
              </w:rPr>
              <w:t>b</w:t>
            </w:r>
          </w:p>
        </w:tc>
      </w:tr>
    </w:tbl>
    <w:p w14:paraId="2F939809" w14:textId="4AA9DAC3" w:rsidR="001C434A" w:rsidRPr="00C235BB" w:rsidRDefault="001C434A" w:rsidP="00365893">
      <w:pPr>
        <w:pStyle w:val="Captions"/>
        <w:spacing w:before="120" w:after="200" w:line="276" w:lineRule="auto"/>
        <w:ind w:firstLine="0"/>
      </w:pPr>
      <w:r w:rsidRPr="00C235BB">
        <w:rPr>
          <w:sz w:val="16"/>
          <w:szCs w:val="16"/>
        </w:rPr>
        <w:t>Figure 1.</w:t>
      </w:r>
      <w:r w:rsidRPr="00C235BB">
        <w:rPr>
          <w:b w:val="0"/>
          <w:sz w:val="16"/>
          <w:szCs w:val="16"/>
        </w:rPr>
        <w:t xml:space="preserve"> Properties of the prepared columns: </w:t>
      </w:r>
      <w:r w:rsidR="004F6702">
        <w:rPr>
          <w:b w:val="0"/>
          <w:sz w:val="16"/>
          <w:szCs w:val="16"/>
        </w:rPr>
        <w:t>c</w:t>
      </w:r>
      <w:r w:rsidRPr="00C235BB">
        <w:rPr>
          <w:b w:val="0"/>
          <w:sz w:val="16"/>
          <w:szCs w:val="16"/>
        </w:rPr>
        <w:t>ompensation plots for PEG (</w:t>
      </w:r>
      <w:r w:rsidRPr="004F6702">
        <w:rPr>
          <w:bCs/>
          <w:sz w:val="16"/>
          <w:szCs w:val="16"/>
        </w:rPr>
        <w:t>1</w:t>
      </w:r>
      <w:r w:rsidRPr="00C235BB">
        <w:rPr>
          <w:b w:val="0"/>
          <w:sz w:val="16"/>
          <w:szCs w:val="16"/>
        </w:rPr>
        <w:t>) and PDMS and all the blends (</w:t>
      </w:r>
      <w:r w:rsidRPr="004F6702">
        <w:rPr>
          <w:bCs/>
          <w:sz w:val="16"/>
          <w:szCs w:val="16"/>
        </w:rPr>
        <w:t>2</w:t>
      </w:r>
      <w:r w:rsidRPr="00C235BB">
        <w:rPr>
          <w:b w:val="0"/>
          <w:sz w:val="16"/>
          <w:szCs w:val="16"/>
        </w:rPr>
        <w:t>)</w:t>
      </w:r>
      <w:r w:rsidR="004F6702">
        <w:rPr>
          <w:b w:val="0"/>
          <w:sz w:val="16"/>
          <w:szCs w:val="16"/>
        </w:rPr>
        <w:t xml:space="preserve"> (</w:t>
      </w:r>
      <w:r w:rsidR="004F6702" w:rsidRPr="00365893">
        <w:rPr>
          <w:bCs/>
          <w:i/>
          <w:iCs/>
          <w:sz w:val="16"/>
          <w:szCs w:val="16"/>
        </w:rPr>
        <w:t>a</w:t>
      </w:r>
      <w:r w:rsidR="004F6702" w:rsidRPr="004F6702">
        <w:rPr>
          <w:b w:val="0"/>
          <w:sz w:val="16"/>
          <w:szCs w:val="16"/>
        </w:rPr>
        <w:t>)</w:t>
      </w:r>
      <w:r w:rsidR="004F6702">
        <w:rPr>
          <w:b w:val="0"/>
          <w:sz w:val="16"/>
          <w:szCs w:val="16"/>
        </w:rPr>
        <w:t>, s</w:t>
      </w:r>
      <w:r w:rsidRPr="00C235BB">
        <w:rPr>
          <w:b w:val="0"/>
          <w:sz w:val="16"/>
          <w:szCs w:val="16"/>
        </w:rPr>
        <w:t xml:space="preserve">eparation of </w:t>
      </w:r>
      <w:r w:rsidR="004F6702">
        <w:rPr>
          <w:b w:val="0"/>
          <w:sz w:val="16"/>
          <w:szCs w:val="16"/>
        </w:rPr>
        <w:t xml:space="preserve">the </w:t>
      </w:r>
      <w:r w:rsidRPr="00C235BB">
        <w:rPr>
          <w:b w:val="0"/>
          <w:sz w:val="16"/>
          <w:szCs w:val="16"/>
        </w:rPr>
        <w:t>test mixture on the column 40% PDMS</w:t>
      </w:r>
      <w:r w:rsidR="004F6702">
        <w:rPr>
          <w:b w:val="0"/>
          <w:sz w:val="16"/>
          <w:szCs w:val="16"/>
        </w:rPr>
        <w:t xml:space="preserve"> </w:t>
      </w:r>
      <w:r w:rsidRPr="00C235BB">
        <w:rPr>
          <w:b w:val="0"/>
          <w:sz w:val="16"/>
          <w:szCs w:val="16"/>
        </w:rPr>
        <w:t>+</w:t>
      </w:r>
      <w:r w:rsidR="004F6702">
        <w:rPr>
          <w:b w:val="0"/>
          <w:sz w:val="16"/>
          <w:szCs w:val="16"/>
        </w:rPr>
        <w:t xml:space="preserve"> </w:t>
      </w:r>
      <w:r w:rsidRPr="00C235BB">
        <w:rPr>
          <w:b w:val="0"/>
          <w:sz w:val="16"/>
          <w:szCs w:val="16"/>
        </w:rPr>
        <w:t>60% PEG</w:t>
      </w:r>
      <w:r w:rsidR="004F6702">
        <w:rPr>
          <w:b w:val="0"/>
          <w:sz w:val="16"/>
          <w:szCs w:val="16"/>
        </w:rPr>
        <w:t xml:space="preserve"> (</w:t>
      </w:r>
      <w:r w:rsidR="004F6702" w:rsidRPr="00365893">
        <w:rPr>
          <w:bCs/>
          <w:i/>
          <w:iCs/>
          <w:sz w:val="16"/>
          <w:szCs w:val="16"/>
        </w:rPr>
        <w:t>b</w:t>
      </w:r>
      <w:r w:rsidR="004F6702" w:rsidRPr="004F6702">
        <w:rPr>
          <w:b w:val="0"/>
          <w:sz w:val="16"/>
          <w:szCs w:val="16"/>
        </w:rPr>
        <w:t>)</w:t>
      </w:r>
      <w:r w:rsidR="004F6702">
        <w:rPr>
          <w:b w:val="0"/>
          <w:sz w:val="16"/>
          <w:szCs w:val="16"/>
        </w:rPr>
        <w:t>.</w:t>
      </w:r>
      <w:r w:rsidRPr="00C235BB">
        <w:rPr>
          <w:b w:val="0"/>
          <w:sz w:val="16"/>
          <w:szCs w:val="16"/>
        </w:rPr>
        <w:t xml:space="preserve"> S</w:t>
      </w:r>
      <w:r w:rsidR="004F6702">
        <w:rPr>
          <w:b w:val="0"/>
          <w:sz w:val="16"/>
          <w:szCs w:val="16"/>
        </w:rPr>
        <w:t>—</w:t>
      </w:r>
      <w:r w:rsidRPr="00C235BB">
        <w:rPr>
          <w:b w:val="0"/>
          <w:sz w:val="16"/>
          <w:szCs w:val="16"/>
        </w:rPr>
        <w:t xml:space="preserve">solvent (hexane), </w:t>
      </w:r>
      <w:r w:rsidRPr="004F6702">
        <w:rPr>
          <w:bCs/>
          <w:sz w:val="16"/>
          <w:szCs w:val="16"/>
        </w:rPr>
        <w:t>1</w:t>
      </w:r>
      <w:r w:rsidR="004F6702">
        <w:rPr>
          <w:b w:val="0"/>
          <w:sz w:val="16"/>
          <w:szCs w:val="16"/>
        </w:rPr>
        <w:t>—</w:t>
      </w:r>
      <w:r w:rsidRPr="00C235BB">
        <w:rPr>
          <w:b w:val="0"/>
          <w:sz w:val="16"/>
          <w:szCs w:val="16"/>
        </w:rPr>
        <w:t xml:space="preserve">benzene, </w:t>
      </w:r>
      <w:r w:rsidRPr="004F6702">
        <w:rPr>
          <w:bCs/>
          <w:sz w:val="16"/>
          <w:szCs w:val="16"/>
        </w:rPr>
        <w:t>2</w:t>
      </w:r>
      <w:r w:rsidR="004F6702">
        <w:rPr>
          <w:b w:val="0"/>
          <w:sz w:val="16"/>
          <w:szCs w:val="16"/>
        </w:rPr>
        <w:t>—</w:t>
      </w:r>
      <w:r w:rsidRPr="00C235BB">
        <w:rPr>
          <w:b w:val="0"/>
          <w:sz w:val="16"/>
          <w:szCs w:val="16"/>
        </w:rPr>
        <w:t>thiophene</w:t>
      </w:r>
      <w:r w:rsidR="00365893">
        <w:rPr>
          <w:b w:val="0"/>
          <w:sz w:val="16"/>
          <w:szCs w:val="16"/>
        </w:rPr>
        <w:t>.</w:t>
      </w:r>
    </w:p>
    <w:p w14:paraId="4C3C4B1D" w14:textId="573D127C" w:rsidR="001C434A" w:rsidRPr="00C235BB" w:rsidRDefault="001C434A" w:rsidP="001C434A">
      <w:pPr>
        <w:pStyle w:val="MainText"/>
        <w:ind w:firstLine="284"/>
      </w:pPr>
      <w:r w:rsidRPr="00C235BB">
        <w:t xml:space="preserve">To clarify the mechanism of </w:t>
      </w:r>
      <w:r w:rsidR="00E96CC8">
        <w:t xml:space="preserve">the </w:t>
      </w:r>
      <w:r w:rsidRPr="00C235BB">
        <w:t>sorbate</w:t>
      </w:r>
      <w:r w:rsidR="00E96CC8">
        <w:t>–</w:t>
      </w:r>
      <w:r w:rsidRPr="00C235BB">
        <w:t xml:space="preserve">stationary phase interaction, </w:t>
      </w:r>
      <w:r w:rsidR="00E96CC8">
        <w:t xml:space="preserve">the </w:t>
      </w:r>
      <w:r w:rsidRPr="00C235BB">
        <w:t>Rohrschneider constants were calculated for the investigated mixed sorbents using equations shown in Table S1</w:t>
      </w:r>
      <w:r w:rsidR="00E96CC8">
        <w:t xml:space="preserve"> in the Electronic supplementary information (ESI)</w:t>
      </w:r>
      <w:r w:rsidRPr="00C235BB">
        <w:t>. Figure 2 compar</w:t>
      </w:r>
      <w:r w:rsidR="00E96CC8">
        <w:t>es</w:t>
      </w:r>
      <w:r w:rsidRPr="00C235BB">
        <w:t xml:space="preserve"> the values of</w:t>
      </w:r>
      <w:r w:rsidR="00E96CC8">
        <w:t xml:space="preserve"> the</w:t>
      </w:r>
      <w:r w:rsidRPr="00C235BB">
        <w:t xml:space="preserve"> Rohrschneider constants for three stationary phases, containing 20% and 80% of PEG in the polymeric mixture, and for </w:t>
      </w:r>
      <w:r w:rsidR="00DF0105">
        <w:t xml:space="preserve">the </w:t>
      </w:r>
      <w:r w:rsidRPr="00C235BB">
        <w:t>pure PEG sorbent. As one can see from th</w:t>
      </w:r>
      <w:r w:rsidR="00757E72">
        <w:t>is</w:t>
      </w:r>
      <w:r w:rsidRPr="00C235BB">
        <w:t xml:space="preserve"> figure, the greatest contribution to </w:t>
      </w:r>
      <w:r w:rsidR="00757E72">
        <w:t xml:space="preserve">the </w:t>
      </w:r>
      <w:r w:rsidRPr="00C235BB">
        <w:t>retention in both mixtures and for PEG itself was by hydrogen bonding with the electron-donor groups of the polymer (model compound</w:t>
      </w:r>
      <w:r w:rsidR="00265871">
        <w:t>—</w:t>
      </w:r>
      <w:r w:rsidRPr="00C235BB">
        <w:t xml:space="preserve">ethanol, coefficient </w:t>
      </w:r>
      <w:r w:rsidRPr="00265871">
        <w:rPr>
          <w:i/>
          <w:iCs/>
        </w:rPr>
        <w:t>y</w:t>
      </w:r>
      <w:r w:rsidRPr="00C235BB">
        <w:t xml:space="preserve">), which is rather expectable. </w:t>
      </w:r>
      <w:r w:rsidR="00265871">
        <w:t xml:space="preserve">The weight of </w:t>
      </w:r>
      <w:r w:rsidRPr="00C235BB">
        <w:t xml:space="preserve">orientational interactions also grows </w:t>
      </w:r>
      <w:r w:rsidRPr="00265871">
        <w:rPr>
          <w:highlight w:val="green"/>
        </w:rPr>
        <w:t xml:space="preserve">with </w:t>
      </w:r>
      <w:r w:rsidR="00265871" w:rsidRPr="00265871">
        <w:rPr>
          <w:highlight w:val="green"/>
        </w:rPr>
        <w:t xml:space="preserve">an increase in the </w:t>
      </w:r>
      <w:r w:rsidRPr="00265871">
        <w:rPr>
          <w:highlight w:val="green"/>
        </w:rPr>
        <w:t>PEG percentage</w:t>
      </w:r>
      <w:r w:rsidRPr="00C235BB">
        <w:t xml:space="preserve"> (model compound</w:t>
      </w:r>
      <w:r w:rsidR="00265871">
        <w:t>—</w:t>
      </w:r>
      <w:r w:rsidRPr="00C235BB">
        <w:t xml:space="preserve">nitrobenzene, coefficient </w:t>
      </w:r>
      <w:r w:rsidRPr="00265871">
        <w:rPr>
          <w:i/>
          <w:iCs/>
        </w:rPr>
        <w:t>u</w:t>
      </w:r>
      <w:r w:rsidRPr="00C235BB">
        <w:t xml:space="preserve">). However, </w:t>
      </w:r>
      <w:r w:rsidR="00265871">
        <w:t xml:space="preserve">the </w:t>
      </w:r>
      <w:r w:rsidRPr="00C235BB">
        <w:t>addition of</w:t>
      </w:r>
      <w:r w:rsidR="00265871">
        <w:t xml:space="preserve"> the</w:t>
      </w:r>
      <w:r w:rsidRPr="00C235BB">
        <w:t xml:space="preserve"> polar polymer to the sorbent results in </w:t>
      </w:r>
      <w:r w:rsidR="00265871">
        <w:t xml:space="preserve">a </w:t>
      </w:r>
      <w:r w:rsidRPr="00C235BB">
        <w:t xml:space="preserve">dramatic decrease </w:t>
      </w:r>
      <w:r w:rsidR="00265871">
        <w:t xml:space="preserve">in </w:t>
      </w:r>
      <w:r w:rsidRPr="00C235BB">
        <w:t>all the Rohrschneider constants</w:t>
      </w:r>
      <w:r w:rsidR="00265871">
        <w:t>,</w:t>
      </w:r>
      <w:r w:rsidRPr="00C235BB">
        <w:t xml:space="preserve"> </w:t>
      </w:r>
      <w:r w:rsidRPr="00C235BB">
        <w:t>demonstrating a multiple reduction in all the polar interactions even at</w:t>
      </w:r>
      <w:r w:rsidR="00265871">
        <w:t xml:space="preserve"> a</w:t>
      </w:r>
      <w:r w:rsidRPr="00C235BB">
        <w:t xml:space="preserve"> small proportion of </w:t>
      </w:r>
      <w:r w:rsidR="00265871">
        <w:t xml:space="preserve">the </w:t>
      </w:r>
      <w:r w:rsidRPr="00C235BB">
        <w:t xml:space="preserve">non-polar polymer in the mixture, confirming the differences in </w:t>
      </w:r>
      <w:r w:rsidR="00265871">
        <w:t xml:space="preserve">the </w:t>
      </w:r>
      <w:r w:rsidRPr="00C235BB">
        <w:t xml:space="preserve">compensation temperatures for </w:t>
      </w:r>
      <w:r w:rsidR="00265871">
        <w:t xml:space="preserve">the </w:t>
      </w:r>
      <w:r w:rsidRPr="00C235BB">
        <w:t>polymer blends and PEG.</w:t>
      </w:r>
    </w:p>
    <w:p w14:paraId="401A7A11" w14:textId="77777777" w:rsidR="001C434A" w:rsidRPr="00C235BB" w:rsidRDefault="001C434A" w:rsidP="004B2604">
      <w:pPr>
        <w:spacing w:before="200" w:after="120"/>
        <w:jc w:val="center"/>
        <w:rPr>
          <w:rFonts w:ascii="Times New Roman" w:hAnsi="Times New Roman" w:cs="Times New Roman"/>
          <w:sz w:val="18"/>
          <w:szCs w:val="18"/>
          <w:lang w:val="en-US"/>
        </w:rPr>
      </w:pPr>
      <w:r w:rsidRPr="00C235BB">
        <w:rPr>
          <w:noProof/>
        </w:rPr>
        <w:drawing>
          <wp:inline distT="0" distB="0" distL="0" distR="0" wp14:anchorId="5838351A" wp14:editId="7F5A0620">
            <wp:extent cx="1491135" cy="1305620"/>
            <wp:effectExtent l="0" t="0" r="0" b="8890"/>
            <wp:docPr id="338104336" name="Рисунок 1" descr="Изображение выглядит как зарисовка,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04336" name="Рисунок 1" descr="Изображение выглядит как зарисовка, рисунок&#10;&#10;Автоматически созданное описание"/>
                    <pic:cNvPicPr/>
                  </pic:nvPicPr>
                  <pic:blipFill>
                    <a:blip r:embed="rId14"/>
                    <a:stretch>
                      <a:fillRect/>
                    </a:stretch>
                  </pic:blipFill>
                  <pic:spPr>
                    <a:xfrm>
                      <a:off x="0" y="0"/>
                      <a:ext cx="1491135" cy="1305620"/>
                    </a:xfrm>
                    <a:prstGeom prst="rect">
                      <a:avLst/>
                    </a:prstGeom>
                  </pic:spPr>
                </pic:pic>
              </a:graphicData>
            </a:graphic>
          </wp:inline>
        </w:drawing>
      </w:r>
    </w:p>
    <w:p w14:paraId="52C9B28B" w14:textId="158FE0B1" w:rsidR="001C434A" w:rsidRPr="00C235BB" w:rsidRDefault="001C434A" w:rsidP="004B2604">
      <w:pPr>
        <w:pStyle w:val="Captions"/>
        <w:spacing w:before="120" w:after="200" w:line="276" w:lineRule="auto"/>
        <w:ind w:firstLine="0"/>
      </w:pPr>
      <w:r w:rsidRPr="00C235BB">
        <w:rPr>
          <w:sz w:val="16"/>
          <w:szCs w:val="16"/>
        </w:rPr>
        <w:t>Figure 2.</w:t>
      </w:r>
      <w:r w:rsidRPr="00C235BB">
        <w:rPr>
          <w:b w:val="0"/>
          <w:sz w:val="16"/>
          <w:szCs w:val="16"/>
        </w:rPr>
        <w:t xml:space="preserve"> Rohrschneider scheme for</w:t>
      </w:r>
      <w:r w:rsidR="00265871">
        <w:rPr>
          <w:b w:val="0"/>
          <w:sz w:val="16"/>
          <w:szCs w:val="16"/>
        </w:rPr>
        <w:t xml:space="preserve"> the</w:t>
      </w:r>
      <w:r w:rsidRPr="00C235BB">
        <w:rPr>
          <w:b w:val="0"/>
          <w:sz w:val="16"/>
          <w:szCs w:val="16"/>
        </w:rPr>
        <w:t xml:space="preserve"> stationary phases containing 80% </w:t>
      </w:r>
      <w:r w:rsidR="00265871">
        <w:rPr>
          <w:b w:val="0"/>
          <w:sz w:val="16"/>
          <w:szCs w:val="16"/>
        </w:rPr>
        <w:t xml:space="preserve">of </w:t>
      </w:r>
      <w:r w:rsidRPr="00C235BB">
        <w:rPr>
          <w:b w:val="0"/>
          <w:sz w:val="16"/>
          <w:szCs w:val="16"/>
        </w:rPr>
        <w:t xml:space="preserve">PDMS and 20% </w:t>
      </w:r>
      <w:r w:rsidR="00265871">
        <w:rPr>
          <w:b w:val="0"/>
          <w:sz w:val="16"/>
          <w:szCs w:val="16"/>
        </w:rPr>
        <w:t xml:space="preserve">of </w:t>
      </w:r>
      <w:r w:rsidRPr="00C235BB">
        <w:rPr>
          <w:b w:val="0"/>
          <w:sz w:val="16"/>
          <w:szCs w:val="16"/>
        </w:rPr>
        <w:t xml:space="preserve">PEG, 20% </w:t>
      </w:r>
      <w:r w:rsidR="00265871">
        <w:rPr>
          <w:b w:val="0"/>
          <w:sz w:val="16"/>
          <w:szCs w:val="16"/>
        </w:rPr>
        <w:t xml:space="preserve">of </w:t>
      </w:r>
      <w:r w:rsidRPr="00C235BB">
        <w:rPr>
          <w:b w:val="0"/>
          <w:sz w:val="16"/>
          <w:szCs w:val="16"/>
        </w:rPr>
        <w:t xml:space="preserve">PDMS </w:t>
      </w:r>
      <w:r w:rsidR="00265871">
        <w:rPr>
          <w:b w:val="0"/>
          <w:sz w:val="16"/>
          <w:szCs w:val="16"/>
        </w:rPr>
        <w:t xml:space="preserve">and </w:t>
      </w:r>
      <w:r w:rsidRPr="00C235BB">
        <w:rPr>
          <w:b w:val="0"/>
          <w:sz w:val="16"/>
          <w:szCs w:val="16"/>
        </w:rPr>
        <w:t xml:space="preserve">80% </w:t>
      </w:r>
      <w:r w:rsidR="00265871">
        <w:rPr>
          <w:b w:val="0"/>
          <w:sz w:val="16"/>
          <w:szCs w:val="16"/>
        </w:rPr>
        <w:t xml:space="preserve">of </w:t>
      </w:r>
      <w:r w:rsidRPr="00C235BB">
        <w:rPr>
          <w:b w:val="0"/>
          <w:sz w:val="16"/>
          <w:szCs w:val="16"/>
        </w:rPr>
        <w:t xml:space="preserve">PEG, and 100% </w:t>
      </w:r>
      <w:r w:rsidR="00265871">
        <w:rPr>
          <w:b w:val="0"/>
          <w:sz w:val="16"/>
          <w:szCs w:val="16"/>
        </w:rPr>
        <w:t xml:space="preserve">of </w:t>
      </w:r>
      <w:r w:rsidRPr="00C235BB">
        <w:rPr>
          <w:b w:val="0"/>
          <w:sz w:val="16"/>
          <w:szCs w:val="16"/>
        </w:rPr>
        <w:t>PEG.</w:t>
      </w:r>
    </w:p>
    <w:p w14:paraId="1ED36C91" w14:textId="61B1661B" w:rsidR="001C434A" w:rsidRPr="00C235BB" w:rsidRDefault="001C434A" w:rsidP="001C434A">
      <w:pPr>
        <w:pStyle w:val="MainText"/>
        <w:ind w:firstLine="284"/>
      </w:pPr>
      <w:r w:rsidRPr="00C235BB">
        <w:t xml:space="preserve">The prepared columns were evaluated for </w:t>
      </w:r>
      <w:r w:rsidR="00265871">
        <w:t xml:space="preserve">the </w:t>
      </w:r>
      <w:r w:rsidRPr="00C235BB">
        <w:t>separation of aromatic compounds and their sulfur-containing analogs</w:t>
      </w:r>
      <w:r w:rsidR="00175788">
        <w:t xml:space="preserve"> and</w:t>
      </w:r>
      <w:r w:rsidRPr="00C235BB">
        <w:t xml:space="preserve"> demonstrat</w:t>
      </w:r>
      <w:r w:rsidR="00175788">
        <w:t xml:space="preserve">ed </w:t>
      </w:r>
      <w:r w:rsidRPr="00C235BB">
        <w:t xml:space="preserve">selectivity sufficient for </w:t>
      </w:r>
      <w:r w:rsidR="00265871">
        <w:t>the basic</w:t>
      </w:r>
      <w:r w:rsidRPr="00C235BB">
        <w:t xml:space="preserve"> separation of benzene and thiophene (Fig. 1</w:t>
      </w:r>
      <w:r w:rsidR="00265871">
        <w:t>b</w:t>
      </w:r>
      <w:r w:rsidRPr="00C235BB">
        <w:t>).</w:t>
      </w:r>
    </w:p>
    <w:p w14:paraId="2F311995" w14:textId="545423AC" w:rsidR="00875175" w:rsidRPr="009667F3" w:rsidRDefault="00875175" w:rsidP="004B2604">
      <w:pPr>
        <w:pStyle w:val="Header1"/>
        <w:spacing w:before="240" w:after="120"/>
      </w:pPr>
      <w:r w:rsidRPr="009667F3">
        <w:t>Experiment</w:t>
      </w:r>
      <w:r w:rsidR="004B2604">
        <w:t>al section</w:t>
      </w:r>
    </w:p>
    <w:p w14:paraId="794152FA" w14:textId="77777777" w:rsidR="001C434A" w:rsidRPr="00C235BB" w:rsidRDefault="001C434A" w:rsidP="001C434A">
      <w:pPr>
        <w:pStyle w:val="Header2"/>
        <w:spacing w:line="276" w:lineRule="auto"/>
        <w:ind w:firstLine="284"/>
        <w:jc w:val="both"/>
        <w:rPr>
          <w:rFonts w:ascii="Arial" w:hAnsi="Arial" w:cs="Arial"/>
        </w:rPr>
      </w:pPr>
      <w:r w:rsidRPr="00C235BB">
        <w:rPr>
          <w:rFonts w:ascii="Arial" w:hAnsi="Arial" w:cs="Arial"/>
        </w:rPr>
        <w:t>General remarks</w:t>
      </w:r>
    </w:p>
    <w:p w14:paraId="5A192B11" w14:textId="23B1519B" w:rsidR="001C434A" w:rsidRPr="00C235BB" w:rsidRDefault="001C434A" w:rsidP="00D915A0">
      <w:pPr>
        <w:pStyle w:val="Header1"/>
        <w:spacing w:before="0" w:after="0"/>
        <w:ind w:firstLine="284"/>
        <w:jc w:val="both"/>
        <w:rPr>
          <w:rFonts w:ascii="Times New Roman" w:hAnsi="Times New Roman" w:cs="Times New Roman"/>
          <w:b w:val="0"/>
          <w:sz w:val="18"/>
          <w:szCs w:val="18"/>
        </w:rPr>
      </w:pPr>
      <w:r w:rsidRPr="00C235BB">
        <w:rPr>
          <w:rFonts w:ascii="Times New Roman" w:hAnsi="Times New Roman" w:cs="Times New Roman"/>
          <w:b w:val="0"/>
          <w:sz w:val="18"/>
          <w:szCs w:val="18"/>
        </w:rPr>
        <w:t>All reagents used in th</w:t>
      </w:r>
      <w:r w:rsidR="008E5BD6">
        <w:rPr>
          <w:rFonts w:ascii="Times New Roman" w:hAnsi="Times New Roman" w:cs="Times New Roman"/>
          <w:b w:val="0"/>
          <w:sz w:val="18"/>
          <w:szCs w:val="18"/>
        </w:rPr>
        <w:t>is</w:t>
      </w:r>
      <w:r w:rsidRPr="00C235BB">
        <w:rPr>
          <w:rFonts w:ascii="Times New Roman" w:hAnsi="Times New Roman" w:cs="Times New Roman"/>
          <w:b w:val="0"/>
          <w:sz w:val="18"/>
          <w:szCs w:val="18"/>
        </w:rPr>
        <w:t xml:space="preserve"> study were of </w:t>
      </w:r>
      <w:r w:rsidR="00990B19">
        <w:rPr>
          <w:rFonts w:ascii="Times New Roman" w:hAnsi="Times New Roman" w:cs="Times New Roman"/>
          <w:b w:val="0"/>
          <w:sz w:val="18"/>
          <w:szCs w:val="18"/>
        </w:rPr>
        <w:t>reagent</w:t>
      </w:r>
      <w:r w:rsidRPr="00C235BB">
        <w:rPr>
          <w:rFonts w:ascii="Times New Roman" w:hAnsi="Times New Roman" w:cs="Times New Roman"/>
          <w:b w:val="0"/>
          <w:sz w:val="18"/>
          <w:szCs w:val="18"/>
        </w:rPr>
        <w:t xml:space="preserve"> grade and were used without additional purification. Helium (grade A) was used as the carrier gas and was additionally dried through a molecular sieve cartridge. All GC measurements were performed on a </w:t>
      </w:r>
      <w:r w:rsidR="008E5BD6" w:rsidRPr="00C235BB">
        <w:rPr>
          <w:rFonts w:ascii="Times New Roman" w:hAnsi="Times New Roman" w:cs="Times New Roman"/>
          <w:b w:val="0"/>
          <w:sz w:val="18"/>
          <w:szCs w:val="18"/>
        </w:rPr>
        <w:t>Shimadzu</w:t>
      </w:r>
      <w:r w:rsidR="008E5BD6" w:rsidRPr="00C235BB">
        <w:rPr>
          <w:rFonts w:ascii="Times New Roman" w:hAnsi="Times New Roman" w:cs="Times New Roman"/>
          <w:b w:val="0"/>
          <w:sz w:val="18"/>
          <w:szCs w:val="18"/>
        </w:rPr>
        <w:t xml:space="preserve"> </w:t>
      </w:r>
      <w:r w:rsidR="008E5BD6" w:rsidRPr="00C235BB">
        <w:rPr>
          <w:rFonts w:ascii="Times New Roman" w:hAnsi="Times New Roman" w:cs="Times New Roman"/>
          <w:b w:val="0"/>
          <w:sz w:val="18"/>
          <w:szCs w:val="18"/>
        </w:rPr>
        <w:t xml:space="preserve">GC 2010 </w:t>
      </w:r>
      <w:r w:rsidRPr="00C235BB">
        <w:rPr>
          <w:rFonts w:ascii="Times New Roman" w:hAnsi="Times New Roman" w:cs="Times New Roman"/>
          <w:b w:val="0"/>
          <w:sz w:val="18"/>
          <w:szCs w:val="18"/>
        </w:rPr>
        <w:t>gas chromatograph (</w:t>
      </w:r>
      <w:r w:rsidR="008E5BD6">
        <w:rPr>
          <w:rFonts w:ascii="Times New Roman" w:hAnsi="Times New Roman" w:cs="Times New Roman"/>
          <w:b w:val="0"/>
          <w:sz w:val="18"/>
          <w:szCs w:val="18"/>
        </w:rPr>
        <w:t>J</w:t>
      </w:r>
      <w:r w:rsidRPr="00C235BB">
        <w:rPr>
          <w:rFonts w:ascii="Times New Roman" w:hAnsi="Times New Roman" w:cs="Times New Roman"/>
          <w:b w:val="0"/>
          <w:sz w:val="18"/>
          <w:szCs w:val="18"/>
        </w:rPr>
        <w:t xml:space="preserve">apan). The split ratio was 1:50, and </w:t>
      </w:r>
      <w:r w:rsidR="00EA57CC">
        <w:rPr>
          <w:rFonts w:ascii="Times New Roman" w:hAnsi="Times New Roman" w:cs="Times New Roman"/>
          <w:b w:val="0"/>
          <w:sz w:val="18"/>
          <w:szCs w:val="18"/>
        </w:rPr>
        <w:t xml:space="preserve">the </w:t>
      </w:r>
      <w:r w:rsidRPr="00C235BB">
        <w:rPr>
          <w:rFonts w:ascii="Times New Roman" w:hAnsi="Times New Roman" w:cs="Times New Roman"/>
          <w:b w:val="0"/>
          <w:sz w:val="18"/>
          <w:szCs w:val="18"/>
        </w:rPr>
        <w:t xml:space="preserve">detection was performed </w:t>
      </w:r>
      <w:r w:rsidR="00EA57CC">
        <w:rPr>
          <w:rFonts w:ascii="Times New Roman" w:hAnsi="Times New Roman" w:cs="Times New Roman"/>
          <w:b w:val="0"/>
          <w:sz w:val="18"/>
          <w:szCs w:val="18"/>
        </w:rPr>
        <w:t>with</w:t>
      </w:r>
      <w:r w:rsidRPr="00C235BB">
        <w:rPr>
          <w:rFonts w:ascii="Times New Roman" w:hAnsi="Times New Roman" w:cs="Times New Roman"/>
          <w:b w:val="0"/>
          <w:sz w:val="18"/>
          <w:szCs w:val="18"/>
        </w:rPr>
        <w:t xml:space="preserve"> a flame ionization detector (FID). </w:t>
      </w:r>
      <w:r w:rsidR="00EA57CC">
        <w:rPr>
          <w:rFonts w:ascii="Times New Roman" w:hAnsi="Times New Roman" w:cs="Times New Roman"/>
          <w:b w:val="0"/>
          <w:sz w:val="18"/>
          <w:szCs w:val="18"/>
        </w:rPr>
        <w:t>The d</w:t>
      </w:r>
      <w:r w:rsidRPr="00C235BB">
        <w:rPr>
          <w:rFonts w:ascii="Times New Roman" w:hAnsi="Times New Roman" w:cs="Times New Roman"/>
          <w:b w:val="0"/>
          <w:sz w:val="18"/>
          <w:szCs w:val="18"/>
        </w:rPr>
        <w:t xml:space="preserve">ata were acquired using the </w:t>
      </w:r>
      <w:r w:rsidR="00EA57CC" w:rsidRPr="00C235BB">
        <w:rPr>
          <w:rFonts w:ascii="Times New Roman" w:hAnsi="Times New Roman" w:cs="Times New Roman"/>
          <w:b w:val="0"/>
          <w:sz w:val="18"/>
          <w:szCs w:val="18"/>
        </w:rPr>
        <w:t xml:space="preserve">GC-solution </w:t>
      </w:r>
      <w:r w:rsidRPr="00C235BB">
        <w:rPr>
          <w:rFonts w:ascii="Times New Roman" w:hAnsi="Times New Roman" w:cs="Times New Roman"/>
          <w:b w:val="0"/>
          <w:sz w:val="18"/>
          <w:szCs w:val="18"/>
        </w:rPr>
        <w:t xml:space="preserve">software package (Shimadzu, Japan) and were evaluated using </w:t>
      </w:r>
      <w:r w:rsidR="00EA57CC">
        <w:rPr>
          <w:rFonts w:ascii="Times New Roman" w:hAnsi="Times New Roman" w:cs="Times New Roman"/>
          <w:b w:val="0"/>
          <w:sz w:val="18"/>
          <w:szCs w:val="18"/>
        </w:rPr>
        <w:t xml:space="preserve">the </w:t>
      </w:r>
      <w:r w:rsidRPr="00C235BB">
        <w:rPr>
          <w:rFonts w:ascii="Times New Roman" w:hAnsi="Times New Roman" w:cs="Times New Roman"/>
          <w:b w:val="0"/>
          <w:sz w:val="18"/>
          <w:szCs w:val="18"/>
        </w:rPr>
        <w:t>Origin software (version 2018, OriginLab Corp</w:t>
      </w:r>
      <w:r w:rsidR="00EA57CC">
        <w:rPr>
          <w:rFonts w:ascii="Times New Roman" w:hAnsi="Times New Roman" w:cs="Times New Roman"/>
          <w:b w:val="0"/>
          <w:sz w:val="18"/>
          <w:szCs w:val="18"/>
        </w:rPr>
        <w:t>.</w:t>
      </w:r>
      <w:r w:rsidRPr="00C235BB">
        <w:rPr>
          <w:rFonts w:ascii="Times New Roman" w:hAnsi="Times New Roman" w:cs="Times New Roman"/>
          <w:b w:val="0"/>
          <w:sz w:val="18"/>
          <w:szCs w:val="18"/>
        </w:rPr>
        <w:t xml:space="preserve">, USA). The capillary columns were prepared using the static method. The characteristics of the prepared columns are </w:t>
      </w:r>
      <w:r w:rsidR="00677DFF">
        <w:rPr>
          <w:rFonts w:ascii="Times New Roman" w:hAnsi="Times New Roman" w:cs="Times New Roman"/>
          <w:b w:val="0"/>
          <w:sz w:val="18"/>
          <w:szCs w:val="18"/>
        </w:rPr>
        <w:t>presented</w:t>
      </w:r>
      <w:r w:rsidRPr="00C235BB">
        <w:rPr>
          <w:rFonts w:ascii="Times New Roman" w:hAnsi="Times New Roman" w:cs="Times New Roman"/>
          <w:b w:val="0"/>
          <w:sz w:val="18"/>
          <w:szCs w:val="18"/>
        </w:rPr>
        <w:t xml:space="preserve"> in Table 3. After </w:t>
      </w:r>
      <w:r w:rsidR="00677DFF">
        <w:rPr>
          <w:rFonts w:ascii="Times New Roman" w:hAnsi="Times New Roman" w:cs="Times New Roman"/>
          <w:b w:val="0"/>
          <w:sz w:val="18"/>
          <w:szCs w:val="18"/>
        </w:rPr>
        <w:t xml:space="preserve">the </w:t>
      </w:r>
      <w:r w:rsidRPr="00C235BB">
        <w:rPr>
          <w:rFonts w:ascii="Times New Roman" w:hAnsi="Times New Roman" w:cs="Times New Roman"/>
          <w:b w:val="0"/>
          <w:sz w:val="18"/>
          <w:szCs w:val="18"/>
        </w:rPr>
        <w:t>column preparation and installation in the gas chromatograph, the columns were conditioned at 150</w:t>
      </w:r>
      <w:r w:rsidR="00677DFF">
        <w:rPr>
          <w:rFonts w:ascii="Times New Roman" w:hAnsi="Times New Roman" w:cs="Times New Roman"/>
          <w:b w:val="0"/>
          <w:sz w:val="18"/>
          <w:szCs w:val="18"/>
        </w:rPr>
        <w:t xml:space="preserve"> °C</w:t>
      </w:r>
      <w:r w:rsidRPr="00C235BB">
        <w:rPr>
          <w:rFonts w:ascii="Times New Roman" w:hAnsi="Times New Roman" w:cs="Times New Roman"/>
          <w:b w:val="0"/>
          <w:sz w:val="18"/>
          <w:szCs w:val="18"/>
        </w:rPr>
        <w:t xml:space="preserve"> for 60 min</w:t>
      </w:r>
      <w:r w:rsidR="00677DFF">
        <w:rPr>
          <w:rFonts w:ascii="Times New Roman" w:hAnsi="Times New Roman" w:cs="Times New Roman"/>
          <w:b w:val="0"/>
          <w:sz w:val="18"/>
          <w:szCs w:val="18"/>
        </w:rPr>
        <w:t xml:space="preserve"> prior to t</w:t>
      </w:r>
      <w:r w:rsidRPr="00C235BB">
        <w:rPr>
          <w:rFonts w:ascii="Times New Roman" w:hAnsi="Times New Roman" w:cs="Times New Roman"/>
          <w:b w:val="0"/>
          <w:sz w:val="18"/>
          <w:szCs w:val="18"/>
        </w:rPr>
        <w:t xml:space="preserve">he </w:t>
      </w:r>
      <w:r w:rsidR="00677DFF">
        <w:rPr>
          <w:rFonts w:ascii="Times New Roman" w:hAnsi="Times New Roman" w:cs="Times New Roman"/>
          <w:b w:val="0"/>
          <w:sz w:val="18"/>
          <w:szCs w:val="18"/>
        </w:rPr>
        <w:t>measurements</w:t>
      </w:r>
      <w:r w:rsidRPr="00C235BB">
        <w:rPr>
          <w:rFonts w:ascii="Times New Roman" w:hAnsi="Times New Roman" w:cs="Times New Roman"/>
          <w:b w:val="0"/>
          <w:sz w:val="18"/>
          <w:szCs w:val="18"/>
        </w:rPr>
        <w:t>.</w:t>
      </w:r>
    </w:p>
    <w:p w14:paraId="12961AE6" w14:textId="1399F7A1" w:rsidR="001C434A" w:rsidRPr="00C235BB" w:rsidRDefault="001C434A" w:rsidP="00D915A0">
      <w:pPr>
        <w:pStyle w:val="Captions"/>
        <w:spacing w:after="120" w:line="276" w:lineRule="auto"/>
        <w:ind w:firstLine="0"/>
        <w:rPr>
          <w:b w:val="0"/>
          <w:sz w:val="16"/>
          <w:szCs w:val="16"/>
        </w:rPr>
      </w:pPr>
      <w:r w:rsidRPr="00C235BB">
        <w:rPr>
          <w:sz w:val="16"/>
          <w:szCs w:val="16"/>
        </w:rPr>
        <w:t xml:space="preserve">Table 3. </w:t>
      </w:r>
      <w:r w:rsidRPr="00C235BB">
        <w:rPr>
          <w:b w:val="0"/>
          <w:sz w:val="16"/>
          <w:szCs w:val="16"/>
        </w:rPr>
        <w:t xml:space="preserve">Properties of the </w:t>
      </w:r>
      <w:r w:rsidR="00904CDC">
        <w:rPr>
          <w:b w:val="0"/>
          <w:sz w:val="16"/>
          <w:szCs w:val="16"/>
        </w:rPr>
        <w:t xml:space="preserve">resulting </w:t>
      </w:r>
      <w:r w:rsidRPr="00C235BB">
        <w:rPr>
          <w:b w:val="0"/>
          <w:sz w:val="16"/>
          <w:szCs w:val="16"/>
        </w:rPr>
        <w:t>GC columns</w:t>
      </w:r>
    </w:p>
    <w:tbl>
      <w:tblPr>
        <w:tblStyle w:val="af2"/>
        <w:tblW w:w="474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0"/>
        <w:gridCol w:w="749"/>
        <w:gridCol w:w="749"/>
        <w:gridCol w:w="749"/>
        <w:gridCol w:w="749"/>
      </w:tblGrid>
      <w:tr w:rsidR="00904CDC" w:rsidRPr="00C235BB" w14:paraId="5DF27A2B" w14:textId="77777777" w:rsidTr="00913222">
        <w:trPr>
          <w:trHeight w:val="227"/>
        </w:trPr>
        <w:tc>
          <w:tcPr>
            <w:tcW w:w="1750" w:type="dxa"/>
            <w:tcBorders>
              <w:top w:val="single" w:sz="4" w:space="0" w:color="auto"/>
              <w:bottom w:val="single" w:sz="4" w:space="0" w:color="auto"/>
            </w:tcBorders>
            <w:vAlign w:val="center"/>
          </w:tcPr>
          <w:p w14:paraId="499F3916" w14:textId="77777777" w:rsidR="00904CDC" w:rsidRPr="00C235BB" w:rsidRDefault="00904CDC" w:rsidP="00904CDC">
            <w:pPr>
              <w:pStyle w:val="MainText"/>
              <w:ind w:firstLine="0"/>
              <w:rPr>
                <w:sz w:val="16"/>
                <w:szCs w:val="16"/>
              </w:rPr>
            </w:pPr>
            <w:r w:rsidRPr="00C235BB">
              <w:rPr>
                <w:sz w:val="16"/>
                <w:szCs w:val="16"/>
              </w:rPr>
              <w:t>Stationary phase</w:t>
            </w:r>
          </w:p>
        </w:tc>
        <w:tc>
          <w:tcPr>
            <w:tcW w:w="749" w:type="dxa"/>
            <w:tcBorders>
              <w:top w:val="single" w:sz="4" w:space="0" w:color="auto"/>
              <w:bottom w:val="single" w:sz="4" w:space="0" w:color="auto"/>
            </w:tcBorders>
            <w:vAlign w:val="center"/>
          </w:tcPr>
          <w:p w14:paraId="7C5DEFE2" w14:textId="77777777" w:rsidR="00904CDC" w:rsidRPr="00C235BB" w:rsidRDefault="00904CDC" w:rsidP="00904CDC">
            <w:pPr>
              <w:pStyle w:val="MainText"/>
              <w:ind w:firstLine="0"/>
              <w:jc w:val="center"/>
              <w:rPr>
                <w:sz w:val="16"/>
                <w:szCs w:val="16"/>
              </w:rPr>
            </w:pPr>
            <w:r w:rsidRPr="00D915A0">
              <w:rPr>
                <w:i/>
                <w:iCs/>
                <w:sz w:val="16"/>
                <w:szCs w:val="16"/>
              </w:rPr>
              <w:t>L</w:t>
            </w:r>
            <w:r w:rsidRPr="00C235BB">
              <w:rPr>
                <w:sz w:val="16"/>
                <w:szCs w:val="16"/>
              </w:rPr>
              <w:t>, m</w:t>
            </w:r>
          </w:p>
        </w:tc>
        <w:tc>
          <w:tcPr>
            <w:tcW w:w="749" w:type="dxa"/>
            <w:tcBorders>
              <w:top w:val="single" w:sz="4" w:space="0" w:color="auto"/>
              <w:bottom w:val="single" w:sz="4" w:space="0" w:color="auto"/>
            </w:tcBorders>
            <w:vAlign w:val="center"/>
          </w:tcPr>
          <w:p w14:paraId="3AC8AAB6" w14:textId="77777777" w:rsidR="00904CDC" w:rsidRPr="00C235BB" w:rsidRDefault="00904CDC" w:rsidP="00904CDC">
            <w:pPr>
              <w:pStyle w:val="MainText"/>
              <w:ind w:firstLine="0"/>
              <w:jc w:val="center"/>
              <w:rPr>
                <w:sz w:val="16"/>
                <w:szCs w:val="16"/>
              </w:rPr>
            </w:pPr>
            <w:r w:rsidRPr="00D915A0">
              <w:rPr>
                <w:i/>
                <w:iCs/>
                <w:sz w:val="16"/>
                <w:szCs w:val="16"/>
              </w:rPr>
              <w:t>d</w:t>
            </w:r>
            <w:r w:rsidRPr="00C235BB">
              <w:rPr>
                <w:sz w:val="16"/>
                <w:szCs w:val="16"/>
                <w:vertAlign w:val="subscript"/>
              </w:rPr>
              <w:t>c</w:t>
            </w:r>
            <w:r w:rsidRPr="00C235BB">
              <w:rPr>
                <w:sz w:val="16"/>
                <w:szCs w:val="16"/>
              </w:rPr>
              <w:t>, mm</w:t>
            </w:r>
          </w:p>
        </w:tc>
        <w:tc>
          <w:tcPr>
            <w:tcW w:w="749" w:type="dxa"/>
            <w:tcBorders>
              <w:top w:val="single" w:sz="4" w:space="0" w:color="auto"/>
              <w:bottom w:val="single" w:sz="4" w:space="0" w:color="auto"/>
            </w:tcBorders>
            <w:vAlign w:val="center"/>
          </w:tcPr>
          <w:p w14:paraId="3F49DA77" w14:textId="77777777" w:rsidR="00904CDC" w:rsidRPr="00C235BB" w:rsidRDefault="00904CDC" w:rsidP="00904CDC">
            <w:pPr>
              <w:pStyle w:val="MainText"/>
              <w:ind w:firstLine="0"/>
              <w:jc w:val="center"/>
              <w:rPr>
                <w:sz w:val="16"/>
                <w:szCs w:val="16"/>
              </w:rPr>
            </w:pPr>
            <w:r w:rsidRPr="00D915A0">
              <w:rPr>
                <w:i/>
                <w:iCs/>
                <w:sz w:val="16"/>
                <w:szCs w:val="16"/>
              </w:rPr>
              <w:t>d</w:t>
            </w:r>
            <w:r w:rsidRPr="00C235BB">
              <w:rPr>
                <w:sz w:val="16"/>
                <w:szCs w:val="16"/>
                <w:vertAlign w:val="subscript"/>
              </w:rPr>
              <w:t>f</w:t>
            </w:r>
            <w:r w:rsidRPr="00C235BB">
              <w:rPr>
                <w:sz w:val="16"/>
                <w:szCs w:val="16"/>
              </w:rPr>
              <w:t>, µm</w:t>
            </w:r>
          </w:p>
        </w:tc>
        <w:tc>
          <w:tcPr>
            <w:tcW w:w="749" w:type="dxa"/>
            <w:tcBorders>
              <w:top w:val="single" w:sz="4" w:space="0" w:color="auto"/>
              <w:bottom w:val="single" w:sz="4" w:space="0" w:color="auto"/>
            </w:tcBorders>
            <w:vAlign w:val="center"/>
          </w:tcPr>
          <w:p w14:paraId="0F4ED29D" w14:textId="5716E2FB" w:rsidR="00904CDC" w:rsidRPr="00D915A0" w:rsidRDefault="001E2F94" w:rsidP="00904CDC">
            <w:pPr>
              <w:pStyle w:val="MainText"/>
              <w:ind w:firstLine="0"/>
              <w:jc w:val="center"/>
              <w:rPr>
                <w:i/>
                <w:iCs/>
                <w:sz w:val="16"/>
                <w:szCs w:val="16"/>
              </w:rPr>
            </w:pPr>
            <w:r>
              <w:rPr>
                <w:i/>
                <w:iCs/>
                <w:sz w:val="16"/>
                <w:szCs w:val="16"/>
              </w:rPr>
              <w:t>β</w:t>
            </w:r>
          </w:p>
        </w:tc>
      </w:tr>
      <w:tr w:rsidR="00904CDC" w:rsidRPr="00C235BB" w14:paraId="2BC641C4" w14:textId="77777777" w:rsidTr="00913222">
        <w:trPr>
          <w:trHeight w:val="227"/>
        </w:trPr>
        <w:tc>
          <w:tcPr>
            <w:tcW w:w="1750" w:type="dxa"/>
            <w:tcBorders>
              <w:top w:val="single" w:sz="4" w:space="0" w:color="auto"/>
            </w:tcBorders>
            <w:vAlign w:val="center"/>
          </w:tcPr>
          <w:p w14:paraId="1FDB39D2" w14:textId="77777777" w:rsidR="00904CDC" w:rsidRPr="00C235BB" w:rsidRDefault="00904CDC" w:rsidP="00904CDC">
            <w:pPr>
              <w:pStyle w:val="MainText"/>
              <w:ind w:firstLine="0"/>
              <w:rPr>
                <w:sz w:val="16"/>
                <w:szCs w:val="16"/>
                <w:vertAlign w:val="superscript"/>
              </w:rPr>
            </w:pPr>
            <w:r w:rsidRPr="00C235BB">
              <w:rPr>
                <w:sz w:val="16"/>
                <w:szCs w:val="16"/>
              </w:rPr>
              <w:t>PEG</w:t>
            </w:r>
          </w:p>
        </w:tc>
        <w:tc>
          <w:tcPr>
            <w:tcW w:w="749" w:type="dxa"/>
            <w:tcBorders>
              <w:top w:val="single" w:sz="4" w:space="0" w:color="auto"/>
            </w:tcBorders>
            <w:vAlign w:val="center"/>
          </w:tcPr>
          <w:p w14:paraId="3845EE2E" w14:textId="77777777" w:rsidR="00904CDC" w:rsidRPr="00C235BB" w:rsidRDefault="00904CDC" w:rsidP="00904CDC">
            <w:pPr>
              <w:pStyle w:val="MainText"/>
              <w:ind w:firstLine="0"/>
              <w:jc w:val="center"/>
              <w:rPr>
                <w:sz w:val="16"/>
                <w:szCs w:val="16"/>
              </w:rPr>
            </w:pPr>
            <w:r w:rsidRPr="00C235BB">
              <w:rPr>
                <w:sz w:val="16"/>
                <w:szCs w:val="16"/>
              </w:rPr>
              <w:t>16</w:t>
            </w:r>
          </w:p>
        </w:tc>
        <w:tc>
          <w:tcPr>
            <w:tcW w:w="749" w:type="dxa"/>
            <w:tcBorders>
              <w:top w:val="single" w:sz="4" w:space="0" w:color="auto"/>
            </w:tcBorders>
            <w:vAlign w:val="center"/>
          </w:tcPr>
          <w:p w14:paraId="6DCF19B9" w14:textId="77777777" w:rsidR="00904CDC" w:rsidRPr="00C235BB" w:rsidRDefault="00904CDC" w:rsidP="00904CDC">
            <w:pPr>
              <w:pStyle w:val="MainText"/>
              <w:ind w:firstLine="0"/>
              <w:jc w:val="center"/>
              <w:rPr>
                <w:sz w:val="16"/>
                <w:szCs w:val="16"/>
              </w:rPr>
            </w:pPr>
            <w:r w:rsidRPr="00C235BB">
              <w:rPr>
                <w:sz w:val="16"/>
                <w:szCs w:val="16"/>
              </w:rPr>
              <w:t>0.165</w:t>
            </w:r>
          </w:p>
        </w:tc>
        <w:tc>
          <w:tcPr>
            <w:tcW w:w="749" w:type="dxa"/>
            <w:tcBorders>
              <w:top w:val="single" w:sz="4" w:space="0" w:color="auto"/>
            </w:tcBorders>
            <w:vAlign w:val="center"/>
          </w:tcPr>
          <w:p w14:paraId="3D1AC532" w14:textId="77777777" w:rsidR="00904CDC" w:rsidRPr="00C235BB" w:rsidRDefault="00904CDC" w:rsidP="00904CDC">
            <w:pPr>
              <w:pStyle w:val="MainText"/>
              <w:ind w:firstLine="0"/>
              <w:jc w:val="center"/>
              <w:rPr>
                <w:sz w:val="16"/>
                <w:szCs w:val="16"/>
              </w:rPr>
            </w:pPr>
            <w:r w:rsidRPr="00C235BB">
              <w:rPr>
                <w:sz w:val="16"/>
                <w:szCs w:val="16"/>
              </w:rPr>
              <w:t>0.25</w:t>
            </w:r>
          </w:p>
        </w:tc>
        <w:tc>
          <w:tcPr>
            <w:tcW w:w="749" w:type="dxa"/>
            <w:tcBorders>
              <w:top w:val="single" w:sz="4" w:space="0" w:color="auto"/>
            </w:tcBorders>
            <w:vAlign w:val="center"/>
          </w:tcPr>
          <w:p w14:paraId="470BD3B9" w14:textId="77777777" w:rsidR="00904CDC" w:rsidRPr="00C235BB" w:rsidRDefault="00904CDC" w:rsidP="00904CDC">
            <w:pPr>
              <w:pStyle w:val="MainText"/>
              <w:ind w:firstLine="0"/>
              <w:jc w:val="center"/>
              <w:rPr>
                <w:sz w:val="16"/>
                <w:szCs w:val="16"/>
              </w:rPr>
            </w:pPr>
            <w:r w:rsidRPr="00C235BB">
              <w:rPr>
                <w:sz w:val="16"/>
                <w:szCs w:val="16"/>
              </w:rPr>
              <w:t>165</w:t>
            </w:r>
          </w:p>
        </w:tc>
      </w:tr>
      <w:tr w:rsidR="00904CDC" w:rsidRPr="00C235BB" w14:paraId="45B787AC" w14:textId="77777777" w:rsidTr="00913222">
        <w:trPr>
          <w:trHeight w:val="227"/>
        </w:trPr>
        <w:tc>
          <w:tcPr>
            <w:tcW w:w="1750" w:type="dxa"/>
            <w:vAlign w:val="center"/>
          </w:tcPr>
          <w:p w14:paraId="769B9708" w14:textId="77777777" w:rsidR="00904CDC" w:rsidRPr="00C235BB" w:rsidRDefault="00904CDC" w:rsidP="00904CDC">
            <w:pPr>
              <w:pStyle w:val="MainText"/>
              <w:ind w:firstLine="0"/>
              <w:rPr>
                <w:sz w:val="16"/>
                <w:szCs w:val="16"/>
              </w:rPr>
            </w:pPr>
            <w:r w:rsidRPr="00C235BB">
              <w:rPr>
                <w:sz w:val="16"/>
                <w:szCs w:val="16"/>
              </w:rPr>
              <w:t>20% PDMS 80% PEG</w:t>
            </w:r>
          </w:p>
        </w:tc>
        <w:tc>
          <w:tcPr>
            <w:tcW w:w="749" w:type="dxa"/>
            <w:vAlign w:val="center"/>
          </w:tcPr>
          <w:p w14:paraId="49FE02B8" w14:textId="77777777" w:rsidR="00904CDC" w:rsidRPr="00C235BB" w:rsidRDefault="00904CDC" w:rsidP="00904CDC">
            <w:pPr>
              <w:pStyle w:val="MainText"/>
              <w:ind w:firstLine="0"/>
              <w:jc w:val="center"/>
              <w:rPr>
                <w:sz w:val="16"/>
                <w:szCs w:val="16"/>
              </w:rPr>
            </w:pPr>
            <w:r w:rsidRPr="00C235BB">
              <w:rPr>
                <w:sz w:val="16"/>
                <w:szCs w:val="16"/>
              </w:rPr>
              <w:t>10</w:t>
            </w:r>
          </w:p>
        </w:tc>
        <w:tc>
          <w:tcPr>
            <w:tcW w:w="749" w:type="dxa"/>
            <w:vAlign w:val="center"/>
          </w:tcPr>
          <w:p w14:paraId="30BB2D94" w14:textId="77777777" w:rsidR="00904CDC" w:rsidRPr="00C235BB" w:rsidRDefault="00904CDC" w:rsidP="00904CDC">
            <w:pPr>
              <w:pStyle w:val="MainText"/>
              <w:ind w:firstLine="0"/>
              <w:jc w:val="center"/>
              <w:rPr>
                <w:sz w:val="16"/>
                <w:szCs w:val="16"/>
              </w:rPr>
            </w:pPr>
            <w:r w:rsidRPr="00C235BB">
              <w:rPr>
                <w:sz w:val="16"/>
                <w:szCs w:val="16"/>
              </w:rPr>
              <w:t>0.165</w:t>
            </w:r>
          </w:p>
        </w:tc>
        <w:tc>
          <w:tcPr>
            <w:tcW w:w="749" w:type="dxa"/>
            <w:vAlign w:val="center"/>
          </w:tcPr>
          <w:p w14:paraId="17D04D5A" w14:textId="77777777" w:rsidR="00904CDC" w:rsidRPr="00C235BB" w:rsidRDefault="00904CDC" w:rsidP="00904CDC">
            <w:pPr>
              <w:pStyle w:val="MainText"/>
              <w:ind w:firstLine="0"/>
              <w:jc w:val="center"/>
              <w:rPr>
                <w:sz w:val="16"/>
                <w:szCs w:val="16"/>
              </w:rPr>
            </w:pPr>
            <w:r w:rsidRPr="00C235BB">
              <w:rPr>
                <w:sz w:val="16"/>
                <w:szCs w:val="16"/>
              </w:rPr>
              <w:t>0.25</w:t>
            </w:r>
          </w:p>
        </w:tc>
        <w:tc>
          <w:tcPr>
            <w:tcW w:w="749" w:type="dxa"/>
            <w:vAlign w:val="center"/>
          </w:tcPr>
          <w:p w14:paraId="2D342D38" w14:textId="77777777" w:rsidR="00904CDC" w:rsidRPr="00C235BB" w:rsidRDefault="00904CDC" w:rsidP="00904CDC">
            <w:pPr>
              <w:pStyle w:val="MainText"/>
              <w:ind w:firstLine="0"/>
              <w:jc w:val="center"/>
              <w:rPr>
                <w:sz w:val="16"/>
                <w:szCs w:val="16"/>
              </w:rPr>
            </w:pPr>
            <w:r w:rsidRPr="00C235BB">
              <w:rPr>
                <w:sz w:val="16"/>
                <w:szCs w:val="16"/>
              </w:rPr>
              <w:t>165</w:t>
            </w:r>
          </w:p>
        </w:tc>
      </w:tr>
      <w:tr w:rsidR="00904CDC" w:rsidRPr="00C235BB" w14:paraId="267D220D" w14:textId="77777777" w:rsidTr="00913222">
        <w:trPr>
          <w:trHeight w:val="227"/>
        </w:trPr>
        <w:tc>
          <w:tcPr>
            <w:tcW w:w="1750" w:type="dxa"/>
            <w:vAlign w:val="center"/>
          </w:tcPr>
          <w:p w14:paraId="29B95469" w14:textId="77777777" w:rsidR="00904CDC" w:rsidRPr="00C235BB" w:rsidRDefault="00904CDC" w:rsidP="00904CDC">
            <w:pPr>
              <w:pStyle w:val="MainText"/>
              <w:ind w:firstLine="0"/>
              <w:rPr>
                <w:sz w:val="16"/>
                <w:szCs w:val="16"/>
              </w:rPr>
            </w:pPr>
            <w:r w:rsidRPr="00C235BB">
              <w:rPr>
                <w:sz w:val="16"/>
                <w:szCs w:val="16"/>
              </w:rPr>
              <w:t>40% PDMS 60% PEG</w:t>
            </w:r>
          </w:p>
        </w:tc>
        <w:tc>
          <w:tcPr>
            <w:tcW w:w="749" w:type="dxa"/>
            <w:vAlign w:val="center"/>
          </w:tcPr>
          <w:p w14:paraId="45E80D8C" w14:textId="77777777" w:rsidR="00904CDC" w:rsidRPr="00C235BB" w:rsidRDefault="00904CDC" w:rsidP="00904CDC">
            <w:pPr>
              <w:pStyle w:val="MainText"/>
              <w:ind w:firstLine="0"/>
              <w:jc w:val="center"/>
              <w:rPr>
                <w:sz w:val="16"/>
                <w:szCs w:val="16"/>
              </w:rPr>
            </w:pPr>
            <w:r w:rsidRPr="00C235BB">
              <w:rPr>
                <w:sz w:val="16"/>
                <w:szCs w:val="16"/>
              </w:rPr>
              <w:t>10</w:t>
            </w:r>
          </w:p>
        </w:tc>
        <w:tc>
          <w:tcPr>
            <w:tcW w:w="749" w:type="dxa"/>
            <w:vAlign w:val="center"/>
          </w:tcPr>
          <w:p w14:paraId="725C7FAF" w14:textId="77777777" w:rsidR="00904CDC" w:rsidRPr="00C235BB" w:rsidRDefault="00904CDC" w:rsidP="00904CDC">
            <w:pPr>
              <w:pStyle w:val="MainText"/>
              <w:ind w:firstLine="0"/>
              <w:jc w:val="center"/>
              <w:rPr>
                <w:sz w:val="16"/>
                <w:szCs w:val="16"/>
              </w:rPr>
            </w:pPr>
            <w:r w:rsidRPr="00C235BB">
              <w:rPr>
                <w:sz w:val="16"/>
                <w:szCs w:val="16"/>
              </w:rPr>
              <w:t>0.165</w:t>
            </w:r>
          </w:p>
        </w:tc>
        <w:tc>
          <w:tcPr>
            <w:tcW w:w="749" w:type="dxa"/>
            <w:vAlign w:val="center"/>
          </w:tcPr>
          <w:p w14:paraId="619B55E2" w14:textId="77777777" w:rsidR="00904CDC" w:rsidRPr="00C235BB" w:rsidRDefault="00904CDC" w:rsidP="00904CDC">
            <w:pPr>
              <w:pStyle w:val="MainText"/>
              <w:ind w:firstLine="0"/>
              <w:jc w:val="center"/>
              <w:rPr>
                <w:sz w:val="16"/>
                <w:szCs w:val="16"/>
              </w:rPr>
            </w:pPr>
            <w:r w:rsidRPr="00C235BB">
              <w:rPr>
                <w:sz w:val="16"/>
                <w:szCs w:val="16"/>
              </w:rPr>
              <w:t>0.25</w:t>
            </w:r>
          </w:p>
        </w:tc>
        <w:tc>
          <w:tcPr>
            <w:tcW w:w="749" w:type="dxa"/>
            <w:vAlign w:val="center"/>
          </w:tcPr>
          <w:p w14:paraId="1F3A9BF1" w14:textId="77777777" w:rsidR="00904CDC" w:rsidRPr="00C235BB" w:rsidRDefault="00904CDC" w:rsidP="00904CDC">
            <w:pPr>
              <w:pStyle w:val="MainText"/>
              <w:ind w:firstLine="0"/>
              <w:jc w:val="center"/>
              <w:rPr>
                <w:sz w:val="16"/>
                <w:szCs w:val="16"/>
              </w:rPr>
            </w:pPr>
            <w:r w:rsidRPr="00C235BB">
              <w:rPr>
                <w:sz w:val="16"/>
                <w:szCs w:val="16"/>
              </w:rPr>
              <w:t>165</w:t>
            </w:r>
          </w:p>
        </w:tc>
      </w:tr>
      <w:tr w:rsidR="00904CDC" w:rsidRPr="00C235BB" w14:paraId="2C3D33E8" w14:textId="77777777" w:rsidTr="00913222">
        <w:trPr>
          <w:trHeight w:val="227"/>
        </w:trPr>
        <w:tc>
          <w:tcPr>
            <w:tcW w:w="1750" w:type="dxa"/>
            <w:vAlign w:val="center"/>
          </w:tcPr>
          <w:p w14:paraId="185E086C" w14:textId="77777777" w:rsidR="00904CDC" w:rsidRPr="00C235BB" w:rsidRDefault="00904CDC" w:rsidP="00904CDC">
            <w:pPr>
              <w:pStyle w:val="MainText"/>
              <w:ind w:firstLine="0"/>
              <w:rPr>
                <w:sz w:val="16"/>
                <w:szCs w:val="16"/>
              </w:rPr>
            </w:pPr>
            <w:r w:rsidRPr="00C235BB">
              <w:rPr>
                <w:sz w:val="16"/>
                <w:szCs w:val="16"/>
              </w:rPr>
              <w:t>60% PDMS 40% PEG</w:t>
            </w:r>
          </w:p>
        </w:tc>
        <w:tc>
          <w:tcPr>
            <w:tcW w:w="749" w:type="dxa"/>
            <w:vAlign w:val="center"/>
          </w:tcPr>
          <w:p w14:paraId="6A75C936" w14:textId="77777777" w:rsidR="00904CDC" w:rsidRPr="00C235BB" w:rsidRDefault="00904CDC" w:rsidP="00904CDC">
            <w:pPr>
              <w:pStyle w:val="MainText"/>
              <w:ind w:firstLine="0"/>
              <w:jc w:val="center"/>
              <w:rPr>
                <w:sz w:val="16"/>
                <w:szCs w:val="16"/>
              </w:rPr>
            </w:pPr>
            <w:r w:rsidRPr="00C235BB">
              <w:rPr>
                <w:sz w:val="16"/>
                <w:szCs w:val="16"/>
              </w:rPr>
              <w:t>10</w:t>
            </w:r>
          </w:p>
        </w:tc>
        <w:tc>
          <w:tcPr>
            <w:tcW w:w="749" w:type="dxa"/>
            <w:vAlign w:val="center"/>
          </w:tcPr>
          <w:p w14:paraId="43B4FC60" w14:textId="77777777" w:rsidR="00904CDC" w:rsidRPr="00C235BB" w:rsidRDefault="00904CDC" w:rsidP="00904CDC">
            <w:pPr>
              <w:pStyle w:val="MainText"/>
              <w:ind w:firstLine="0"/>
              <w:jc w:val="center"/>
              <w:rPr>
                <w:sz w:val="16"/>
                <w:szCs w:val="16"/>
              </w:rPr>
            </w:pPr>
            <w:r w:rsidRPr="00C235BB">
              <w:rPr>
                <w:sz w:val="16"/>
                <w:szCs w:val="16"/>
              </w:rPr>
              <w:t>0.165</w:t>
            </w:r>
          </w:p>
        </w:tc>
        <w:tc>
          <w:tcPr>
            <w:tcW w:w="749" w:type="dxa"/>
            <w:vAlign w:val="center"/>
          </w:tcPr>
          <w:p w14:paraId="1142CDF6" w14:textId="77777777" w:rsidR="00904CDC" w:rsidRPr="00C235BB" w:rsidRDefault="00904CDC" w:rsidP="00904CDC">
            <w:pPr>
              <w:pStyle w:val="MainText"/>
              <w:ind w:firstLine="0"/>
              <w:jc w:val="center"/>
              <w:rPr>
                <w:sz w:val="16"/>
                <w:szCs w:val="16"/>
              </w:rPr>
            </w:pPr>
            <w:r w:rsidRPr="00C235BB">
              <w:rPr>
                <w:sz w:val="16"/>
                <w:szCs w:val="16"/>
              </w:rPr>
              <w:t>0.25</w:t>
            </w:r>
          </w:p>
        </w:tc>
        <w:tc>
          <w:tcPr>
            <w:tcW w:w="749" w:type="dxa"/>
            <w:vAlign w:val="center"/>
          </w:tcPr>
          <w:p w14:paraId="4AE41D19" w14:textId="77777777" w:rsidR="00904CDC" w:rsidRPr="00C235BB" w:rsidRDefault="00904CDC" w:rsidP="00904CDC">
            <w:pPr>
              <w:pStyle w:val="MainText"/>
              <w:ind w:firstLine="0"/>
              <w:jc w:val="center"/>
              <w:rPr>
                <w:sz w:val="16"/>
                <w:szCs w:val="16"/>
              </w:rPr>
            </w:pPr>
            <w:r w:rsidRPr="00C235BB">
              <w:rPr>
                <w:sz w:val="16"/>
                <w:szCs w:val="16"/>
              </w:rPr>
              <w:t>165</w:t>
            </w:r>
          </w:p>
        </w:tc>
      </w:tr>
      <w:tr w:rsidR="00904CDC" w:rsidRPr="00C235BB" w14:paraId="1854F598" w14:textId="77777777" w:rsidTr="00913222">
        <w:trPr>
          <w:trHeight w:val="227"/>
        </w:trPr>
        <w:tc>
          <w:tcPr>
            <w:tcW w:w="1750" w:type="dxa"/>
            <w:vAlign w:val="center"/>
          </w:tcPr>
          <w:p w14:paraId="00F6B0EF" w14:textId="77777777" w:rsidR="00904CDC" w:rsidRPr="00C235BB" w:rsidRDefault="00904CDC" w:rsidP="00904CDC">
            <w:pPr>
              <w:pStyle w:val="MainText"/>
              <w:ind w:firstLine="0"/>
              <w:rPr>
                <w:sz w:val="16"/>
                <w:szCs w:val="16"/>
              </w:rPr>
            </w:pPr>
            <w:bookmarkStart w:id="0" w:name="_Hlk188549212"/>
            <w:r w:rsidRPr="00C235BB">
              <w:rPr>
                <w:sz w:val="16"/>
                <w:szCs w:val="16"/>
              </w:rPr>
              <w:t>80% PDMS 20% PEG</w:t>
            </w:r>
            <w:bookmarkEnd w:id="0"/>
          </w:p>
        </w:tc>
        <w:tc>
          <w:tcPr>
            <w:tcW w:w="749" w:type="dxa"/>
            <w:vAlign w:val="center"/>
          </w:tcPr>
          <w:p w14:paraId="12EE75E0" w14:textId="77777777" w:rsidR="00904CDC" w:rsidRPr="00C235BB" w:rsidRDefault="00904CDC" w:rsidP="00904CDC">
            <w:pPr>
              <w:pStyle w:val="MainText"/>
              <w:ind w:firstLine="0"/>
              <w:jc w:val="center"/>
              <w:rPr>
                <w:sz w:val="16"/>
                <w:szCs w:val="16"/>
              </w:rPr>
            </w:pPr>
            <w:r w:rsidRPr="00C235BB">
              <w:rPr>
                <w:sz w:val="16"/>
                <w:szCs w:val="16"/>
              </w:rPr>
              <w:t>10</w:t>
            </w:r>
          </w:p>
        </w:tc>
        <w:tc>
          <w:tcPr>
            <w:tcW w:w="749" w:type="dxa"/>
            <w:vAlign w:val="center"/>
          </w:tcPr>
          <w:p w14:paraId="612CDCEE" w14:textId="77777777" w:rsidR="00904CDC" w:rsidRPr="00C235BB" w:rsidRDefault="00904CDC" w:rsidP="00904CDC">
            <w:pPr>
              <w:pStyle w:val="MainText"/>
              <w:ind w:firstLine="0"/>
              <w:jc w:val="center"/>
              <w:rPr>
                <w:sz w:val="16"/>
                <w:szCs w:val="16"/>
              </w:rPr>
            </w:pPr>
            <w:r w:rsidRPr="00C235BB">
              <w:rPr>
                <w:sz w:val="16"/>
                <w:szCs w:val="16"/>
              </w:rPr>
              <w:t>0.165</w:t>
            </w:r>
          </w:p>
        </w:tc>
        <w:tc>
          <w:tcPr>
            <w:tcW w:w="749" w:type="dxa"/>
            <w:vAlign w:val="center"/>
          </w:tcPr>
          <w:p w14:paraId="1124718A" w14:textId="77777777" w:rsidR="00904CDC" w:rsidRPr="00C235BB" w:rsidRDefault="00904CDC" w:rsidP="00904CDC">
            <w:pPr>
              <w:pStyle w:val="MainText"/>
              <w:ind w:firstLine="0"/>
              <w:jc w:val="center"/>
              <w:rPr>
                <w:sz w:val="16"/>
                <w:szCs w:val="16"/>
              </w:rPr>
            </w:pPr>
            <w:r w:rsidRPr="00C235BB">
              <w:rPr>
                <w:sz w:val="16"/>
                <w:szCs w:val="16"/>
              </w:rPr>
              <w:t>0.25</w:t>
            </w:r>
          </w:p>
        </w:tc>
        <w:tc>
          <w:tcPr>
            <w:tcW w:w="749" w:type="dxa"/>
            <w:vAlign w:val="center"/>
          </w:tcPr>
          <w:p w14:paraId="3E247979" w14:textId="77777777" w:rsidR="00904CDC" w:rsidRPr="00C235BB" w:rsidRDefault="00904CDC" w:rsidP="00904CDC">
            <w:pPr>
              <w:pStyle w:val="MainText"/>
              <w:ind w:firstLine="0"/>
              <w:jc w:val="center"/>
              <w:rPr>
                <w:sz w:val="16"/>
                <w:szCs w:val="16"/>
              </w:rPr>
            </w:pPr>
            <w:r w:rsidRPr="00C235BB">
              <w:rPr>
                <w:sz w:val="16"/>
                <w:szCs w:val="16"/>
              </w:rPr>
              <w:t>165</w:t>
            </w:r>
          </w:p>
        </w:tc>
      </w:tr>
      <w:tr w:rsidR="00904CDC" w:rsidRPr="00C235BB" w14:paraId="6527DCF5" w14:textId="77777777" w:rsidTr="00913222">
        <w:trPr>
          <w:trHeight w:val="227"/>
        </w:trPr>
        <w:tc>
          <w:tcPr>
            <w:tcW w:w="1750" w:type="dxa"/>
            <w:tcBorders>
              <w:bottom w:val="single" w:sz="4" w:space="0" w:color="auto"/>
            </w:tcBorders>
            <w:vAlign w:val="center"/>
          </w:tcPr>
          <w:p w14:paraId="5C1AB20C" w14:textId="77777777" w:rsidR="00904CDC" w:rsidRPr="00C235BB" w:rsidRDefault="00904CDC" w:rsidP="00904CDC">
            <w:pPr>
              <w:pStyle w:val="MainText"/>
              <w:ind w:firstLine="0"/>
              <w:rPr>
                <w:sz w:val="16"/>
                <w:szCs w:val="16"/>
                <w:vertAlign w:val="superscript"/>
              </w:rPr>
            </w:pPr>
            <w:r w:rsidRPr="00C235BB">
              <w:rPr>
                <w:sz w:val="16"/>
                <w:szCs w:val="16"/>
                <w:lang w:val="ru-RU"/>
              </w:rPr>
              <w:t>PDMS</w:t>
            </w:r>
          </w:p>
        </w:tc>
        <w:tc>
          <w:tcPr>
            <w:tcW w:w="749" w:type="dxa"/>
            <w:tcBorders>
              <w:bottom w:val="single" w:sz="4" w:space="0" w:color="auto"/>
            </w:tcBorders>
            <w:vAlign w:val="center"/>
          </w:tcPr>
          <w:p w14:paraId="072D5C91" w14:textId="77777777" w:rsidR="00904CDC" w:rsidRPr="00C235BB" w:rsidRDefault="00904CDC" w:rsidP="00904CDC">
            <w:pPr>
              <w:pStyle w:val="MainText"/>
              <w:ind w:firstLine="0"/>
              <w:jc w:val="center"/>
              <w:rPr>
                <w:sz w:val="16"/>
                <w:szCs w:val="16"/>
              </w:rPr>
            </w:pPr>
            <w:r w:rsidRPr="00C235BB">
              <w:rPr>
                <w:sz w:val="16"/>
                <w:szCs w:val="16"/>
              </w:rPr>
              <w:t>15</w:t>
            </w:r>
          </w:p>
        </w:tc>
        <w:tc>
          <w:tcPr>
            <w:tcW w:w="749" w:type="dxa"/>
            <w:tcBorders>
              <w:bottom w:val="single" w:sz="4" w:space="0" w:color="auto"/>
            </w:tcBorders>
            <w:vAlign w:val="center"/>
          </w:tcPr>
          <w:p w14:paraId="7244D0DC" w14:textId="77777777" w:rsidR="00904CDC" w:rsidRPr="00C235BB" w:rsidRDefault="00904CDC" w:rsidP="00904CDC">
            <w:pPr>
              <w:pStyle w:val="MainText"/>
              <w:ind w:firstLine="0"/>
              <w:jc w:val="center"/>
              <w:rPr>
                <w:sz w:val="16"/>
                <w:szCs w:val="16"/>
              </w:rPr>
            </w:pPr>
            <w:r w:rsidRPr="00C235BB">
              <w:rPr>
                <w:sz w:val="16"/>
                <w:szCs w:val="16"/>
              </w:rPr>
              <w:t>0.23</w:t>
            </w:r>
          </w:p>
        </w:tc>
        <w:tc>
          <w:tcPr>
            <w:tcW w:w="749" w:type="dxa"/>
            <w:tcBorders>
              <w:bottom w:val="single" w:sz="4" w:space="0" w:color="auto"/>
            </w:tcBorders>
            <w:vAlign w:val="center"/>
          </w:tcPr>
          <w:p w14:paraId="550D6BE0" w14:textId="7AA4F83C" w:rsidR="00904CDC" w:rsidRPr="00C235BB" w:rsidRDefault="00904CDC" w:rsidP="00904CDC">
            <w:pPr>
              <w:pStyle w:val="MainText"/>
              <w:ind w:firstLine="0"/>
              <w:jc w:val="center"/>
              <w:rPr>
                <w:sz w:val="16"/>
                <w:szCs w:val="16"/>
              </w:rPr>
            </w:pPr>
            <w:r w:rsidRPr="00C235BB">
              <w:rPr>
                <w:sz w:val="16"/>
                <w:szCs w:val="16"/>
              </w:rPr>
              <w:t>0</w:t>
            </w:r>
            <w:r>
              <w:rPr>
                <w:sz w:val="16"/>
                <w:szCs w:val="16"/>
              </w:rPr>
              <w:t>.</w:t>
            </w:r>
            <w:r w:rsidRPr="00C235BB">
              <w:rPr>
                <w:sz w:val="16"/>
                <w:szCs w:val="16"/>
              </w:rPr>
              <w:t>22</w:t>
            </w:r>
          </w:p>
        </w:tc>
        <w:tc>
          <w:tcPr>
            <w:tcW w:w="749" w:type="dxa"/>
            <w:tcBorders>
              <w:bottom w:val="single" w:sz="4" w:space="0" w:color="auto"/>
            </w:tcBorders>
            <w:vAlign w:val="center"/>
          </w:tcPr>
          <w:p w14:paraId="7EF05633" w14:textId="77777777" w:rsidR="00904CDC" w:rsidRPr="00C235BB" w:rsidRDefault="00904CDC" w:rsidP="00904CDC">
            <w:pPr>
              <w:pStyle w:val="MainText"/>
              <w:ind w:firstLine="0"/>
              <w:jc w:val="center"/>
              <w:rPr>
                <w:sz w:val="16"/>
                <w:szCs w:val="16"/>
              </w:rPr>
            </w:pPr>
            <w:r w:rsidRPr="00C235BB">
              <w:rPr>
                <w:sz w:val="16"/>
                <w:szCs w:val="16"/>
              </w:rPr>
              <w:t>261</w:t>
            </w:r>
          </w:p>
        </w:tc>
      </w:tr>
    </w:tbl>
    <w:p w14:paraId="5EED910E" w14:textId="77777777" w:rsidR="001C434A" w:rsidRPr="00C235BB" w:rsidRDefault="001C434A" w:rsidP="0067520C">
      <w:pPr>
        <w:spacing w:before="160" w:after="120"/>
        <w:ind w:firstLine="284"/>
        <w:jc w:val="both"/>
        <w:rPr>
          <w:rFonts w:ascii="Arial" w:hAnsi="Arial" w:cs="Arial"/>
          <w:b/>
          <w:sz w:val="20"/>
          <w:szCs w:val="20"/>
          <w:lang w:val="en-US"/>
        </w:rPr>
      </w:pPr>
      <w:r w:rsidRPr="00C235BB">
        <w:rPr>
          <w:rFonts w:ascii="Arial" w:hAnsi="Arial" w:cs="Arial"/>
          <w:b/>
          <w:sz w:val="20"/>
          <w:szCs w:val="20"/>
          <w:lang w:val="en-US"/>
        </w:rPr>
        <w:t>Calculations</w:t>
      </w:r>
    </w:p>
    <w:p w14:paraId="5AE2B1FB" w14:textId="3A8C4C7F" w:rsidR="001C434A" w:rsidRDefault="001C434A" w:rsidP="00990B19">
      <w:pPr>
        <w:pStyle w:val="MainText"/>
        <w:widowControl w:val="0"/>
        <w:spacing w:after="60"/>
        <w:ind w:firstLine="284"/>
      </w:pPr>
      <w:r w:rsidRPr="00C235BB">
        <w:t xml:space="preserve">The </w:t>
      </w:r>
      <w:r w:rsidR="00AF7132" w:rsidRPr="00C235BB">
        <w:t>thickness</w:t>
      </w:r>
      <w:r w:rsidR="00AF7132" w:rsidRPr="00C235BB">
        <w:t xml:space="preserve"> </w:t>
      </w:r>
      <w:r w:rsidR="00AF7132">
        <w:t xml:space="preserve">of the </w:t>
      </w:r>
      <w:r w:rsidRPr="00C235BB">
        <w:t xml:space="preserve">stationary phase layer </w:t>
      </w:r>
      <w:r w:rsidRPr="0067520C">
        <w:rPr>
          <w:i/>
          <w:iCs/>
        </w:rPr>
        <w:t>d</w:t>
      </w:r>
      <w:r w:rsidRPr="00C235BB">
        <w:rPr>
          <w:vertAlign w:val="subscript"/>
        </w:rPr>
        <w:t>f</w:t>
      </w:r>
      <w:r w:rsidRPr="00C235BB">
        <w:t xml:space="preserve"> and </w:t>
      </w:r>
      <w:r w:rsidR="00AF7132">
        <w:t xml:space="preserve">the </w:t>
      </w:r>
      <w:r w:rsidRPr="00C235BB">
        <w:t xml:space="preserve">phase ratio </w:t>
      </w:r>
      <w:r w:rsidR="00AF7132">
        <w:t xml:space="preserve">values </w:t>
      </w:r>
      <w:r w:rsidR="00990B19" w:rsidRPr="00990B19">
        <w:rPr>
          <w:i/>
          <w:iCs/>
        </w:rPr>
        <w:t>β</w:t>
      </w:r>
      <w:r w:rsidR="00AF7132">
        <w:rPr>
          <w:rFonts w:ascii="Cambria Math" w:hAnsi="Cambria Math"/>
        </w:rPr>
        <w:t xml:space="preserve"> </w:t>
      </w:r>
      <w:r w:rsidRPr="00C235BB">
        <w:t xml:space="preserve">for the </w:t>
      </w:r>
      <w:r w:rsidR="00AF7132">
        <w:t xml:space="preserve">resulting </w:t>
      </w:r>
      <w:r w:rsidRPr="00C235BB">
        <w:t>columns were calculated according to</w:t>
      </w:r>
      <w:r w:rsidR="00AF7132">
        <w:t xml:space="preserve"> relations </w:t>
      </w:r>
      <w:r w:rsidRPr="00C235BB">
        <w:t xml:space="preserve">(1) and (2) described in </w:t>
      </w:r>
      <w:r w:rsidR="00AF7132">
        <w:t xml:space="preserve">Ref. </w:t>
      </w:r>
      <w:r w:rsidRPr="00C235BB">
        <w:t>[11] and are presented in Table 3</w:t>
      </w:r>
      <w:r w:rsidR="00AF7132">
        <w:t>.</w:t>
      </w:r>
    </w:p>
    <w:tbl>
      <w:tblPr>
        <w:tblStyle w:val="af2"/>
        <w:tblW w:w="478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4"/>
        <w:gridCol w:w="443"/>
      </w:tblGrid>
      <w:tr w:rsidR="0067520C" w:rsidRPr="0067520C" w14:paraId="4A30DC43" w14:textId="77777777" w:rsidTr="0067520C">
        <w:tc>
          <w:tcPr>
            <w:tcW w:w="4361" w:type="dxa"/>
            <w:vAlign w:val="center"/>
          </w:tcPr>
          <w:p w14:paraId="4A6C4DB7" w14:textId="414950EC" w:rsidR="0067520C" w:rsidRPr="0067520C" w:rsidRDefault="0067520C" w:rsidP="0067520C">
            <w:pPr>
              <w:pStyle w:val="MainText"/>
              <w:ind w:firstLine="0"/>
              <w:rPr>
                <w:sz w:val="16"/>
                <w:szCs w:val="16"/>
              </w:rPr>
            </w:pPr>
            <m:oMathPara>
              <m:oMath>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f</m:t>
                    </m:r>
                  </m:sub>
                </m:sSub>
                <m:r>
                  <w:rPr>
                    <w:rFonts w:ascii="Cambria Math" w:hAnsi="Cambria Math"/>
                    <w:sz w:val="16"/>
                    <w:szCs w:val="16"/>
                  </w:rPr>
                  <m:t>=0,5</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c</m:t>
                    </m:r>
                  </m:sub>
                </m:sSub>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L</m:t>
                        </m:r>
                      </m:sub>
                    </m:sSub>
                    <m:r>
                      <w:rPr>
                        <w:rFonts w:ascii="Cambria Math" w:hAnsi="Cambria Math"/>
                        <w:sz w:val="16"/>
                        <w:szCs w:val="16"/>
                      </w:rPr>
                      <m:t>∙ρ</m:t>
                    </m:r>
                  </m:num>
                  <m:den>
                    <m:r>
                      <w:rPr>
                        <w:rFonts w:ascii="Cambria Math" w:hAnsi="Cambria Math"/>
                        <w:sz w:val="16"/>
                        <w:szCs w:val="16"/>
                      </w:rPr>
                      <m:t>100-</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L</m:t>
                            </m:r>
                          </m:sub>
                        </m:sSub>
                      </m:num>
                      <m:den>
                        <m:r>
                          <w:rPr>
                            <w:rFonts w:ascii="Cambria Math" w:hAnsi="Cambria Math"/>
                            <w:sz w:val="16"/>
                            <w:szCs w:val="16"/>
                          </w:rPr>
                          <m:t>ρ</m:t>
                        </m:r>
                      </m:den>
                    </m:f>
                  </m:den>
                </m:f>
              </m:oMath>
            </m:oMathPara>
          </w:p>
        </w:tc>
        <w:tc>
          <w:tcPr>
            <w:tcW w:w="426" w:type="dxa"/>
            <w:vAlign w:val="center"/>
          </w:tcPr>
          <w:p w14:paraId="37EE4098" w14:textId="584300CA" w:rsidR="0067520C" w:rsidRPr="0067520C" w:rsidRDefault="0067520C" w:rsidP="0067520C">
            <w:pPr>
              <w:pStyle w:val="MainText"/>
              <w:ind w:firstLine="0"/>
              <w:rPr>
                <w:sz w:val="16"/>
                <w:szCs w:val="16"/>
              </w:rPr>
            </w:pPr>
            <w:r w:rsidRPr="0067520C">
              <w:rPr>
                <w:rFonts w:eastAsiaTheme="minorEastAsia"/>
                <w:sz w:val="16"/>
                <w:szCs w:val="16"/>
              </w:rPr>
              <w:t>(1)</w:t>
            </w:r>
            <w:r w:rsidR="00F528D1">
              <w:rPr>
                <w:rFonts w:eastAsiaTheme="minorEastAsia"/>
                <w:sz w:val="16"/>
                <w:szCs w:val="16"/>
              </w:rPr>
              <w:t>,</w:t>
            </w:r>
          </w:p>
        </w:tc>
      </w:tr>
      <w:tr w:rsidR="0067520C" w:rsidRPr="0067520C" w14:paraId="593E4BEA" w14:textId="77777777" w:rsidTr="0067520C">
        <w:tc>
          <w:tcPr>
            <w:tcW w:w="4361" w:type="dxa"/>
            <w:vAlign w:val="center"/>
          </w:tcPr>
          <w:p w14:paraId="4F7ED666" w14:textId="6A2EEEC0" w:rsidR="0067520C" w:rsidRPr="0067520C" w:rsidRDefault="0067520C" w:rsidP="0067520C">
            <w:pPr>
              <w:pStyle w:val="MainText"/>
              <w:ind w:firstLine="0"/>
              <w:jc w:val="center"/>
              <w:rPr>
                <w:sz w:val="16"/>
                <w:szCs w:val="16"/>
              </w:rPr>
            </w:pPr>
            <m:oMathPara>
              <m:oMath>
                <m:r>
                  <w:rPr>
                    <w:rFonts w:ascii="Cambria Math" w:hAnsi="Cambria Math"/>
                    <w:sz w:val="16"/>
                    <w:szCs w:val="16"/>
                  </w:rPr>
                  <m:t>β=</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c</m:t>
                        </m:r>
                      </m:sub>
                    </m:sSub>
                  </m:num>
                  <m:den>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f</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m</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s</m:t>
                        </m:r>
                      </m:sub>
                    </m:sSub>
                  </m:den>
                </m:f>
              </m:oMath>
            </m:oMathPara>
          </w:p>
        </w:tc>
        <w:tc>
          <w:tcPr>
            <w:tcW w:w="426" w:type="dxa"/>
            <w:vAlign w:val="center"/>
          </w:tcPr>
          <w:p w14:paraId="4FF3DBA6" w14:textId="0BE79B05" w:rsidR="0067520C" w:rsidRPr="0067520C" w:rsidRDefault="0067520C" w:rsidP="0067520C">
            <w:pPr>
              <w:pStyle w:val="MainText"/>
              <w:ind w:firstLine="0"/>
              <w:rPr>
                <w:sz w:val="16"/>
                <w:szCs w:val="16"/>
              </w:rPr>
            </w:pPr>
            <w:r w:rsidRPr="0067520C">
              <w:rPr>
                <w:rFonts w:eastAsiaTheme="minorEastAsia"/>
                <w:sz w:val="16"/>
                <w:szCs w:val="16"/>
              </w:rPr>
              <w:t>(2)</w:t>
            </w:r>
            <w:r w:rsidR="00EB5B4B">
              <w:rPr>
                <w:rFonts w:eastAsiaTheme="minorEastAsia"/>
                <w:sz w:val="16"/>
                <w:szCs w:val="16"/>
              </w:rPr>
              <w:t>.</w:t>
            </w:r>
          </w:p>
        </w:tc>
      </w:tr>
    </w:tbl>
    <w:p w14:paraId="30BA0419" w14:textId="32E75881" w:rsidR="001C434A" w:rsidRPr="00C235BB" w:rsidRDefault="001C434A" w:rsidP="00990B19">
      <w:pPr>
        <w:pStyle w:val="MainText"/>
        <w:spacing w:before="120"/>
        <w:ind w:firstLine="0"/>
      </w:pPr>
      <w:r w:rsidRPr="00C235BB">
        <w:rPr>
          <w:rFonts w:eastAsiaTheme="minorEastAsia"/>
        </w:rPr>
        <w:t xml:space="preserve">Here </w:t>
      </w:r>
      <w:r w:rsidRPr="00AF7132">
        <w:rPr>
          <w:rFonts w:eastAsiaTheme="minorEastAsia"/>
          <w:i/>
          <w:iCs/>
        </w:rPr>
        <w:t>r</w:t>
      </w:r>
      <w:r w:rsidRPr="00C235BB">
        <w:rPr>
          <w:rFonts w:eastAsiaTheme="minorEastAsia"/>
          <w:vertAlign w:val="subscript"/>
        </w:rPr>
        <w:t>c</w:t>
      </w:r>
      <w:r w:rsidRPr="00C235BB">
        <w:rPr>
          <w:rFonts w:eastAsiaTheme="minorEastAsia"/>
        </w:rPr>
        <w:t xml:space="preserve"> is the inner capillary radi</w:t>
      </w:r>
      <w:r w:rsidR="00AF7132">
        <w:rPr>
          <w:rFonts w:eastAsiaTheme="minorEastAsia"/>
        </w:rPr>
        <w:t>us</w:t>
      </w:r>
      <w:r w:rsidRPr="00C235BB">
        <w:rPr>
          <w:rFonts w:eastAsiaTheme="minorEastAsia"/>
        </w:rPr>
        <w:t xml:space="preserve">, </w:t>
      </w:r>
      <w:r w:rsidRPr="00AF7132">
        <w:rPr>
          <w:rFonts w:eastAsiaTheme="minorEastAsia"/>
          <w:i/>
          <w:iCs/>
        </w:rPr>
        <w:t>C</w:t>
      </w:r>
      <w:r w:rsidRPr="00C235BB">
        <w:rPr>
          <w:rFonts w:eastAsiaTheme="minorEastAsia"/>
          <w:vertAlign w:val="subscript"/>
        </w:rPr>
        <w:t>L</w:t>
      </w:r>
      <w:r w:rsidRPr="00C235BB">
        <w:rPr>
          <w:rFonts w:eastAsiaTheme="minorEastAsia"/>
        </w:rPr>
        <w:t xml:space="preserve"> is the concentration of the polymer in the working solution (g/mL).</w:t>
      </w:r>
    </w:p>
    <w:p w14:paraId="6B3BFA1D" w14:textId="69710891" w:rsidR="001C434A" w:rsidRDefault="001C434A" w:rsidP="00EB5D0C">
      <w:pPr>
        <w:pStyle w:val="MainText"/>
        <w:spacing w:after="120"/>
        <w:ind w:firstLine="284"/>
      </w:pPr>
      <w:r w:rsidRPr="00C235BB">
        <w:t xml:space="preserve">The thermodynamic parameters of </w:t>
      </w:r>
      <w:r w:rsidR="006846FC">
        <w:t xml:space="preserve">the </w:t>
      </w:r>
      <w:r w:rsidRPr="00C235BB">
        <w:t xml:space="preserve">sorption for </w:t>
      </w:r>
      <w:r w:rsidR="006846FC">
        <w:t xml:space="preserve">the </w:t>
      </w:r>
      <w:r w:rsidRPr="00C235BB">
        <w:t xml:space="preserve">analyte separation in GC were evaluated by </w:t>
      </w:r>
      <w:r w:rsidR="006846FC">
        <w:t>I</w:t>
      </w:r>
      <w:r w:rsidRPr="00C235BB">
        <w:t xml:space="preserve">GC </w:t>
      </w:r>
      <w:r w:rsidR="006846FC">
        <w:t>[12]</w:t>
      </w:r>
      <w:r w:rsidRPr="00C235BB">
        <w:t xml:space="preserve">. The thermodynamic parameters of </w:t>
      </w:r>
      <w:r w:rsidR="00F528D1">
        <w:t xml:space="preserve">the </w:t>
      </w:r>
      <w:r w:rsidRPr="00C235BB">
        <w:t>sorption</w:t>
      </w:r>
      <w:r w:rsidR="00F528D1">
        <w:t>,</w:t>
      </w:r>
      <w:r w:rsidRPr="00C235BB">
        <w:t xml:space="preserve"> usually evaluated</w:t>
      </w:r>
      <w:r w:rsidR="00F528D1">
        <w:t xml:space="preserve"> by</w:t>
      </w:r>
      <w:r w:rsidRPr="00C235BB">
        <w:t xml:space="preserve"> IGC</w:t>
      </w:r>
      <w:r w:rsidR="00F528D1">
        <w:t>,</w:t>
      </w:r>
      <w:r w:rsidRPr="00C235BB">
        <w:t xml:space="preserve"> are the enthalpy ∆</w:t>
      </w:r>
      <w:r w:rsidRPr="00F528D1">
        <w:rPr>
          <w:i/>
          <w:iCs/>
        </w:rPr>
        <w:t>H</w:t>
      </w:r>
      <w:r w:rsidRPr="00C235BB">
        <w:rPr>
          <w:vertAlign w:val="superscript"/>
        </w:rPr>
        <w:t>0</w:t>
      </w:r>
      <w:r w:rsidRPr="00C235BB">
        <w:t xml:space="preserve"> and entropy ∆</w:t>
      </w:r>
      <w:r w:rsidRPr="00F528D1">
        <w:rPr>
          <w:i/>
          <w:iCs/>
        </w:rPr>
        <w:t>S</w:t>
      </w:r>
      <w:r w:rsidRPr="00C235BB">
        <w:rPr>
          <w:vertAlign w:val="superscript"/>
        </w:rPr>
        <w:t>0</w:t>
      </w:r>
      <w:r w:rsidR="00F528D1" w:rsidRPr="00F528D1">
        <w:t xml:space="preserve"> </w:t>
      </w:r>
      <w:r w:rsidR="00F528D1" w:rsidRPr="00C235BB">
        <w:t xml:space="preserve">of </w:t>
      </w:r>
      <w:r w:rsidR="00F528D1">
        <w:t xml:space="preserve">the </w:t>
      </w:r>
      <w:r w:rsidR="00F528D1" w:rsidRPr="00C235BB">
        <w:t>sorption</w:t>
      </w:r>
      <w:r w:rsidRPr="00C235BB">
        <w:t xml:space="preserve">, which are related to the partitioning coefficient (Henry constant) of the analyte </w:t>
      </w:r>
      <w:r w:rsidRPr="00F528D1">
        <w:rPr>
          <w:i/>
          <w:iCs/>
        </w:rPr>
        <w:t>K</w:t>
      </w:r>
      <w:r w:rsidRPr="00C235BB">
        <w:t xml:space="preserve"> between the mobile and stationary phases</w:t>
      </w:r>
      <w:r w:rsidR="00F528D1">
        <w:t>.</w:t>
      </w:r>
    </w:p>
    <w:tbl>
      <w:tblPr>
        <w:tblStyle w:val="af2"/>
        <w:tblW w:w="478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26"/>
      </w:tblGrid>
      <w:tr w:rsidR="0067520C" w:rsidRPr="0067520C" w14:paraId="3007E277" w14:textId="77777777" w:rsidTr="00FF7402">
        <w:tc>
          <w:tcPr>
            <w:tcW w:w="4361" w:type="dxa"/>
            <w:vAlign w:val="center"/>
          </w:tcPr>
          <w:p w14:paraId="6380719F" w14:textId="05D0909D" w:rsidR="0067520C" w:rsidRPr="0067520C" w:rsidRDefault="00EB5D0C" w:rsidP="00FF7402">
            <w:pPr>
              <w:pStyle w:val="MainText"/>
              <w:ind w:firstLine="0"/>
              <w:rPr>
                <w:sz w:val="16"/>
                <w:szCs w:val="16"/>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=-RTlnK=∆</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oMath>
            </m:oMathPara>
          </w:p>
        </w:tc>
        <w:tc>
          <w:tcPr>
            <w:tcW w:w="426" w:type="dxa"/>
            <w:vAlign w:val="center"/>
          </w:tcPr>
          <w:p w14:paraId="5193D965" w14:textId="39538AE1" w:rsidR="0067520C" w:rsidRPr="0067520C" w:rsidRDefault="0067520C" w:rsidP="00FF7402">
            <w:pPr>
              <w:pStyle w:val="MainText"/>
              <w:ind w:firstLine="0"/>
              <w:rPr>
                <w:sz w:val="16"/>
                <w:szCs w:val="16"/>
              </w:rPr>
            </w:pPr>
            <w:r w:rsidRPr="0067520C">
              <w:rPr>
                <w:rFonts w:eastAsiaTheme="minorEastAsia"/>
                <w:sz w:val="16"/>
                <w:szCs w:val="16"/>
              </w:rPr>
              <w:t>(</w:t>
            </w:r>
            <w:r w:rsidR="00EB5D0C">
              <w:rPr>
                <w:rFonts w:eastAsiaTheme="minorEastAsia"/>
                <w:sz w:val="16"/>
                <w:szCs w:val="16"/>
              </w:rPr>
              <w:t>3</w:t>
            </w:r>
            <w:r w:rsidRPr="0067520C">
              <w:rPr>
                <w:rFonts w:eastAsiaTheme="minorEastAsia"/>
                <w:sz w:val="16"/>
                <w:szCs w:val="16"/>
              </w:rPr>
              <w:t>)</w:t>
            </w:r>
          </w:p>
        </w:tc>
      </w:tr>
    </w:tbl>
    <w:p w14:paraId="7E8F1BB0" w14:textId="6F07CBEF" w:rsidR="001C434A" w:rsidRDefault="001C434A" w:rsidP="001D31C4">
      <w:pPr>
        <w:pStyle w:val="MainText"/>
        <w:spacing w:before="120" w:after="120"/>
        <w:ind w:firstLine="0"/>
      </w:pPr>
      <w:r w:rsidRPr="00C235BB">
        <w:t>where ∆</w:t>
      </w:r>
      <w:r w:rsidRPr="00F528D1">
        <w:rPr>
          <w:i/>
          <w:iCs/>
        </w:rPr>
        <w:t>G</w:t>
      </w:r>
      <w:r w:rsidRPr="00C235BB">
        <w:rPr>
          <w:vertAlign w:val="superscript"/>
        </w:rPr>
        <w:t>0</w:t>
      </w:r>
      <w:r w:rsidRPr="00C235BB">
        <w:t xml:space="preserve"> is the free energy of sorption; </w:t>
      </w:r>
      <w:r w:rsidRPr="00F528D1">
        <w:rPr>
          <w:i/>
          <w:iCs/>
        </w:rPr>
        <w:t>R</w:t>
      </w:r>
      <w:r w:rsidRPr="00C235BB">
        <w:t xml:space="preserve"> is the universal gas constant; </w:t>
      </w:r>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m</m:t>
                </m:r>
              </m:sub>
            </m:sSub>
          </m:den>
        </m:f>
      </m:oMath>
      <w:r w:rsidRPr="00C235BB">
        <w:rPr>
          <w:rFonts w:eastAsiaTheme="minorEastAsia"/>
        </w:rPr>
        <w:t xml:space="preserve"> </w:t>
      </w:r>
      <w:r w:rsidRPr="00C235BB">
        <w:t xml:space="preserve">is an equilibrium constant, </w:t>
      </w:r>
      <w:r w:rsidRPr="00F528D1">
        <w:rPr>
          <w:i/>
          <w:iCs/>
        </w:rPr>
        <w:t>C</w:t>
      </w:r>
      <w:r w:rsidR="00F528D1">
        <w:rPr>
          <w:vertAlign w:val="subscript"/>
        </w:rPr>
        <w:t>s</w:t>
      </w:r>
      <w:r w:rsidRPr="00C235BB">
        <w:t xml:space="preserve"> and </w:t>
      </w:r>
      <w:r w:rsidRPr="00F528D1">
        <w:rPr>
          <w:i/>
          <w:iCs/>
        </w:rPr>
        <w:t>C</w:t>
      </w:r>
      <w:r w:rsidRPr="00F528D1">
        <w:rPr>
          <w:vertAlign w:val="subscript"/>
        </w:rPr>
        <w:t>m</w:t>
      </w:r>
      <w:r w:rsidRPr="00C235BB">
        <w:t xml:space="preserve"> are </w:t>
      </w:r>
      <w:r w:rsidR="00F528D1">
        <w:t xml:space="preserve">the </w:t>
      </w:r>
      <w:r w:rsidRPr="00C235BB">
        <w:t xml:space="preserve">analyte concentrations in the stationary and mobile phases; </w:t>
      </w:r>
      <w:r w:rsidRPr="00F528D1">
        <w:rPr>
          <w:i/>
          <w:iCs/>
        </w:rPr>
        <w:t>T</w:t>
      </w:r>
      <w:r w:rsidRPr="00C235BB">
        <w:t xml:space="preserve"> is the column temperature, K. The partitioning coefficient </w:t>
      </w:r>
      <w:r w:rsidRPr="00F528D1">
        <w:rPr>
          <w:i/>
          <w:iCs/>
        </w:rPr>
        <w:t>K</w:t>
      </w:r>
      <w:r w:rsidRPr="00C235BB">
        <w:t xml:space="preserve"> correlates with the retention factor </w:t>
      </w:r>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p>
    <w:tbl>
      <w:tblPr>
        <w:tblStyle w:val="af2"/>
        <w:tblW w:w="478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26"/>
      </w:tblGrid>
      <w:tr w:rsidR="001D31C4" w:rsidRPr="0067520C" w14:paraId="264E4A5C" w14:textId="77777777" w:rsidTr="00FF7402">
        <w:tc>
          <w:tcPr>
            <w:tcW w:w="4361" w:type="dxa"/>
            <w:vAlign w:val="center"/>
          </w:tcPr>
          <w:p w14:paraId="0318CEAD" w14:textId="6F708023" w:rsidR="001D31C4" w:rsidRPr="0067520C" w:rsidRDefault="001D31C4" w:rsidP="001D31C4">
            <w:pPr>
              <w:pStyle w:val="MainText"/>
              <w:ind w:firstLine="0"/>
              <w:jc w:val="center"/>
              <w:rPr>
                <w:sz w:val="16"/>
                <w:szCs w:val="16"/>
              </w:rPr>
            </w:pPr>
            <w:r w:rsidRPr="00F528D1">
              <w:rPr>
                <w:i/>
                <w:iCs/>
              </w:rPr>
              <w:t>K</w:t>
            </w:r>
            <w:r w:rsidRPr="00C235BB">
              <w:t xml:space="preserve"> = </w:t>
            </w:r>
            <w:r w:rsidRPr="00F528D1">
              <w:rPr>
                <w:i/>
                <w:iCs/>
              </w:rPr>
              <w:t>k</w:t>
            </w:r>
            <w:r w:rsidRPr="00C235BB">
              <w:t>·</w:t>
            </w:r>
            <w:r w:rsidRPr="00C235BB">
              <w:rPr>
                <w:rFonts w:ascii="Cambria Math" w:hAnsi="Cambria Math"/>
              </w:rPr>
              <w:t>β</w:t>
            </w:r>
          </w:p>
        </w:tc>
        <w:tc>
          <w:tcPr>
            <w:tcW w:w="426" w:type="dxa"/>
            <w:vAlign w:val="center"/>
          </w:tcPr>
          <w:p w14:paraId="69BD82C2" w14:textId="2FB17EF8" w:rsidR="001D31C4" w:rsidRPr="0067520C" w:rsidRDefault="001D31C4" w:rsidP="00FF7402">
            <w:pPr>
              <w:pStyle w:val="MainText"/>
              <w:ind w:firstLine="0"/>
              <w:rPr>
                <w:sz w:val="16"/>
                <w:szCs w:val="16"/>
              </w:rPr>
            </w:pPr>
            <w:r w:rsidRPr="0067520C">
              <w:rPr>
                <w:rFonts w:eastAsiaTheme="minorEastAsia"/>
                <w:sz w:val="16"/>
                <w:szCs w:val="16"/>
              </w:rPr>
              <w:t>(</w:t>
            </w:r>
            <w:r>
              <w:rPr>
                <w:rFonts w:eastAsiaTheme="minorEastAsia"/>
                <w:sz w:val="16"/>
                <w:szCs w:val="16"/>
              </w:rPr>
              <w:t>4</w:t>
            </w:r>
            <w:r w:rsidRPr="0067520C">
              <w:rPr>
                <w:rFonts w:eastAsiaTheme="minorEastAsia"/>
                <w:sz w:val="16"/>
                <w:szCs w:val="16"/>
              </w:rPr>
              <w:t>)</w:t>
            </w:r>
          </w:p>
        </w:tc>
      </w:tr>
    </w:tbl>
    <w:p w14:paraId="77A3EF96" w14:textId="580BA8B8" w:rsidR="001C434A" w:rsidRDefault="00C5387C" w:rsidP="001D31C4">
      <w:pPr>
        <w:pStyle w:val="MainText"/>
        <w:spacing w:before="120" w:after="120"/>
        <w:ind w:firstLine="284"/>
      </w:pPr>
      <w:r>
        <w:t xml:space="preserve">A combination of </w:t>
      </w:r>
      <w:r w:rsidR="00F528D1">
        <w:t>e</w:t>
      </w:r>
      <w:r w:rsidR="001C434A" w:rsidRPr="00C235BB">
        <w:t>q</w:t>
      </w:r>
      <w:r w:rsidR="00F528D1">
        <w:t>uations</w:t>
      </w:r>
      <w:r w:rsidR="001C434A" w:rsidRPr="00C235BB">
        <w:t xml:space="preserve"> (3) and (4) a</w:t>
      </w:r>
      <w:r w:rsidR="00F528D1">
        <w:t xml:space="preserve">ffords </w:t>
      </w:r>
      <w:r w:rsidR="001C434A" w:rsidRPr="00C235BB">
        <w:t>the relationship for evaluatin</w:t>
      </w:r>
      <w:r w:rsidR="00F528D1">
        <w:t>g</w:t>
      </w:r>
      <w:r w:rsidR="001C434A" w:rsidRPr="00C235BB">
        <w:t xml:space="preserve"> the thermodynamic parameters of </w:t>
      </w:r>
      <w:r w:rsidR="0072036A">
        <w:t xml:space="preserve">the </w:t>
      </w:r>
      <w:r w:rsidR="001C434A" w:rsidRPr="00C235BB">
        <w:t>sorption from the linear correlation between ln</w:t>
      </w:r>
      <w:r w:rsidR="001C434A" w:rsidRPr="00F528D1">
        <w:rPr>
          <w:i/>
          <w:iCs/>
        </w:rPr>
        <w:t>k</w:t>
      </w:r>
      <w:r w:rsidR="001C434A" w:rsidRPr="00C235BB">
        <w:t xml:space="preserve"> and 1/</w:t>
      </w:r>
      <w:r w:rsidR="001C434A" w:rsidRPr="00F528D1">
        <w:rPr>
          <w:i/>
          <w:iCs/>
        </w:rPr>
        <w:t>T</w:t>
      </w:r>
    </w:p>
    <w:tbl>
      <w:tblPr>
        <w:tblStyle w:val="af2"/>
        <w:tblW w:w="478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4"/>
        <w:gridCol w:w="443"/>
      </w:tblGrid>
      <w:tr w:rsidR="001D31C4" w:rsidRPr="0067520C" w14:paraId="2715CE46" w14:textId="77777777" w:rsidTr="00FF7402">
        <w:tc>
          <w:tcPr>
            <w:tcW w:w="4361" w:type="dxa"/>
            <w:vAlign w:val="center"/>
          </w:tcPr>
          <w:p w14:paraId="1CC520AB" w14:textId="299F72A7" w:rsidR="001D31C4" w:rsidRPr="0067520C" w:rsidRDefault="001D31C4" w:rsidP="001D31C4">
            <w:pPr>
              <w:pStyle w:val="MainText"/>
              <w:ind w:firstLine="0"/>
              <w:jc w:val="center"/>
              <w:rPr>
                <w:sz w:val="16"/>
                <w:szCs w:val="16"/>
              </w:rPr>
            </w:pPr>
            <m:oMathPara>
              <m:oMath>
                <m:r>
                  <w:rPr>
                    <w:rFonts w:ascii="Cambria Math" w:hAnsi="Cambria Math"/>
                    <w:lang w:val="ru-RU"/>
                  </w:rPr>
                  <m:t>l</m:t>
                </m:r>
                <m:r>
                  <w:rPr>
                    <w:rFonts w:ascii="Cambria Math" w:hAnsi="Cambria Math"/>
                  </w:rPr>
                  <m:t>nk=</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num>
                  <m:den>
                    <m:r>
                      <w:rPr>
                        <w:rFonts w:ascii="Cambria Math" w:hAnsi="Cambria Math"/>
                      </w:rPr>
                      <m:t>RT</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0</m:t>
                        </m:r>
                      </m:sup>
                    </m:sSup>
                  </m:num>
                  <m:den>
                    <m:r>
                      <w:rPr>
                        <w:rFonts w:ascii="Cambria Math" w:hAnsi="Cambria Math"/>
                      </w:rPr>
                      <m:t>R</m:t>
                    </m:r>
                  </m:den>
                </m:f>
                <m:r>
                  <w:rPr>
                    <w:rFonts w:ascii="Cambria Math" w:hAnsi="Cambria Math"/>
                  </w:rPr>
                  <m:t>-lnβ</m:t>
                </m:r>
              </m:oMath>
            </m:oMathPara>
          </w:p>
        </w:tc>
        <w:tc>
          <w:tcPr>
            <w:tcW w:w="426" w:type="dxa"/>
            <w:vAlign w:val="center"/>
          </w:tcPr>
          <w:p w14:paraId="5182EEF3" w14:textId="0B47B04C" w:rsidR="001D31C4" w:rsidRPr="0067520C" w:rsidRDefault="001D31C4" w:rsidP="00FF7402">
            <w:pPr>
              <w:pStyle w:val="MainText"/>
              <w:ind w:firstLine="0"/>
              <w:rPr>
                <w:sz w:val="16"/>
                <w:szCs w:val="16"/>
              </w:rPr>
            </w:pPr>
            <w:r w:rsidRPr="0067520C">
              <w:rPr>
                <w:rFonts w:eastAsiaTheme="minorEastAsia"/>
                <w:sz w:val="16"/>
                <w:szCs w:val="16"/>
              </w:rPr>
              <w:t>(</w:t>
            </w:r>
            <w:r>
              <w:rPr>
                <w:rFonts w:eastAsiaTheme="minorEastAsia"/>
                <w:sz w:val="16"/>
                <w:szCs w:val="16"/>
              </w:rPr>
              <w:t>5</w:t>
            </w:r>
            <w:r w:rsidRPr="0067520C">
              <w:rPr>
                <w:rFonts w:eastAsiaTheme="minorEastAsia"/>
                <w:sz w:val="16"/>
                <w:szCs w:val="16"/>
              </w:rPr>
              <w:t>)</w:t>
            </w:r>
            <w:r w:rsidR="00F528D1">
              <w:rPr>
                <w:rFonts w:eastAsiaTheme="minorEastAsia"/>
                <w:sz w:val="16"/>
                <w:szCs w:val="16"/>
              </w:rPr>
              <w:t>.</w:t>
            </w:r>
          </w:p>
        </w:tc>
      </w:tr>
    </w:tbl>
    <w:p w14:paraId="6AF00BB3"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72379E83" w14:textId="78D7E9BE" w:rsidR="001C434A" w:rsidRPr="001C434A" w:rsidRDefault="001C434A" w:rsidP="00A231BA">
      <w:pPr>
        <w:spacing w:after="0"/>
        <w:ind w:firstLine="284"/>
        <w:jc w:val="both"/>
        <w:rPr>
          <w:rFonts w:ascii="Times New Roman" w:hAnsi="Times New Roman" w:cs="Times New Roman"/>
          <w:sz w:val="18"/>
          <w:szCs w:val="18"/>
          <w:lang w:val="en-US"/>
        </w:rPr>
      </w:pPr>
      <w:r w:rsidRPr="00C235BB">
        <w:rPr>
          <w:rFonts w:ascii="Times New Roman" w:hAnsi="Times New Roman" w:cs="Times New Roman"/>
          <w:sz w:val="18"/>
          <w:szCs w:val="18"/>
          <w:lang w:val="en-US"/>
        </w:rPr>
        <w:t xml:space="preserve">The mixed stationary phases for GC were prepared </w:t>
      </w:r>
      <w:r w:rsidR="00807CE6">
        <w:rPr>
          <w:rFonts w:ascii="Times New Roman" w:hAnsi="Times New Roman" w:cs="Times New Roman"/>
          <w:sz w:val="18"/>
          <w:szCs w:val="18"/>
          <w:lang w:val="en-US"/>
        </w:rPr>
        <w:t>by</w:t>
      </w:r>
      <w:r w:rsidRPr="00C235BB">
        <w:rPr>
          <w:rFonts w:ascii="Times New Roman" w:hAnsi="Times New Roman" w:cs="Times New Roman"/>
          <w:sz w:val="18"/>
          <w:szCs w:val="18"/>
          <w:lang w:val="en-US"/>
        </w:rPr>
        <w:t xml:space="preserve"> physical mixing of non-polar polydimethylsiloxane and polar poly</w:t>
      </w:r>
      <w:r w:rsidR="00807CE6">
        <w:rPr>
          <w:rFonts w:ascii="Times New Roman" w:hAnsi="Times New Roman" w:cs="Times New Roman"/>
          <w:sz w:val="18"/>
          <w:szCs w:val="18"/>
          <w:lang w:val="en-US"/>
        </w:rPr>
        <w:t>(</w:t>
      </w:r>
      <w:r w:rsidRPr="00C235BB">
        <w:rPr>
          <w:rFonts w:ascii="Times New Roman" w:hAnsi="Times New Roman" w:cs="Times New Roman"/>
          <w:sz w:val="18"/>
          <w:szCs w:val="18"/>
          <w:lang w:val="en-US"/>
        </w:rPr>
        <w:t>ethylene glycol</w:t>
      </w:r>
      <w:r w:rsidR="00807CE6">
        <w:rPr>
          <w:rFonts w:ascii="Times New Roman" w:hAnsi="Times New Roman" w:cs="Times New Roman"/>
          <w:sz w:val="18"/>
          <w:szCs w:val="18"/>
          <w:lang w:val="en-US"/>
        </w:rPr>
        <w:t>)</w:t>
      </w:r>
      <w:r w:rsidRPr="00C235BB">
        <w:rPr>
          <w:rFonts w:ascii="Times New Roman" w:hAnsi="Times New Roman" w:cs="Times New Roman"/>
          <w:sz w:val="18"/>
          <w:szCs w:val="18"/>
          <w:lang w:val="en-US"/>
        </w:rPr>
        <w:t xml:space="preserve">. </w:t>
      </w:r>
      <w:r w:rsidR="00807CE6">
        <w:rPr>
          <w:rFonts w:ascii="Times New Roman" w:hAnsi="Times New Roman" w:cs="Times New Roman"/>
          <w:sz w:val="18"/>
          <w:szCs w:val="18"/>
          <w:lang w:val="en-US"/>
        </w:rPr>
        <w:t>Based on the values of</w:t>
      </w:r>
      <w:r w:rsidRPr="00C235BB">
        <w:rPr>
          <w:rFonts w:ascii="Times New Roman" w:hAnsi="Times New Roman" w:cs="Times New Roman"/>
          <w:sz w:val="18"/>
          <w:szCs w:val="18"/>
          <w:lang w:val="en-US"/>
        </w:rPr>
        <w:t xml:space="preserve"> ∆</w:t>
      </w:r>
      <w:r w:rsidRPr="00807CE6">
        <w:rPr>
          <w:rFonts w:ascii="Times New Roman" w:hAnsi="Times New Roman" w:cs="Times New Roman"/>
          <w:i/>
          <w:iCs/>
          <w:sz w:val="18"/>
          <w:szCs w:val="18"/>
          <w:lang w:val="en-US"/>
        </w:rPr>
        <w:t>H</w:t>
      </w:r>
      <w:r w:rsidRPr="00C235BB">
        <w:rPr>
          <w:rFonts w:ascii="Times New Roman" w:hAnsi="Times New Roman" w:cs="Times New Roman"/>
          <w:sz w:val="18"/>
          <w:szCs w:val="18"/>
          <w:lang w:val="en-US"/>
        </w:rPr>
        <w:t xml:space="preserve"> and ∆</w:t>
      </w:r>
      <w:r w:rsidRPr="00807CE6">
        <w:rPr>
          <w:rFonts w:ascii="Times New Roman" w:hAnsi="Times New Roman" w:cs="Times New Roman"/>
          <w:i/>
          <w:iCs/>
          <w:sz w:val="18"/>
          <w:szCs w:val="18"/>
          <w:lang w:val="en-US"/>
        </w:rPr>
        <w:t>S</w:t>
      </w:r>
      <w:r w:rsidRPr="00C235BB">
        <w:rPr>
          <w:rFonts w:ascii="Times New Roman" w:hAnsi="Times New Roman" w:cs="Times New Roman"/>
          <w:sz w:val="18"/>
          <w:szCs w:val="18"/>
          <w:lang w:val="en-US"/>
        </w:rPr>
        <w:t xml:space="preserve"> of </w:t>
      </w:r>
      <w:r w:rsidR="00807CE6">
        <w:rPr>
          <w:rFonts w:ascii="Times New Roman" w:hAnsi="Times New Roman" w:cs="Times New Roman"/>
          <w:sz w:val="18"/>
          <w:szCs w:val="18"/>
          <w:lang w:val="en-US"/>
        </w:rPr>
        <w:t xml:space="preserve">the </w:t>
      </w:r>
      <w:r w:rsidRPr="00C235BB">
        <w:rPr>
          <w:rFonts w:ascii="Times New Roman" w:hAnsi="Times New Roman" w:cs="Times New Roman"/>
          <w:sz w:val="18"/>
          <w:szCs w:val="18"/>
          <w:lang w:val="en-US"/>
        </w:rPr>
        <w:t xml:space="preserve">sorption for </w:t>
      </w:r>
      <w:r w:rsidR="00807CE6">
        <w:rPr>
          <w:rFonts w:ascii="Times New Roman" w:hAnsi="Times New Roman" w:cs="Times New Roman"/>
          <w:sz w:val="18"/>
          <w:szCs w:val="18"/>
          <w:lang w:val="en-US"/>
        </w:rPr>
        <w:t xml:space="preserve">the </w:t>
      </w:r>
      <w:r w:rsidRPr="00C235BB">
        <w:rPr>
          <w:rFonts w:ascii="Times New Roman" w:hAnsi="Times New Roman" w:cs="Times New Roman"/>
          <w:sz w:val="18"/>
          <w:szCs w:val="18"/>
          <w:lang w:val="en-US"/>
        </w:rPr>
        <w:t>polar and nonpolar sorbates on all the stationary phases</w:t>
      </w:r>
      <w:r w:rsidR="00807CE6">
        <w:rPr>
          <w:rFonts w:ascii="Times New Roman" w:hAnsi="Times New Roman" w:cs="Times New Roman"/>
          <w:sz w:val="18"/>
          <w:szCs w:val="18"/>
          <w:lang w:val="en-US"/>
        </w:rPr>
        <w:t>,</w:t>
      </w:r>
      <w:r w:rsidRPr="00C235BB">
        <w:rPr>
          <w:rFonts w:ascii="Times New Roman" w:hAnsi="Times New Roman" w:cs="Times New Roman"/>
          <w:sz w:val="18"/>
          <w:szCs w:val="18"/>
          <w:lang w:val="en-US"/>
        </w:rPr>
        <w:t xml:space="preserve"> it was demonstrated that the values of </w:t>
      </w:r>
      <w:r w:rsidR="00807CE6">
        <w:rPr>
          <w:rFonts w:ascii="Times New Roman" w:hAnsi="Times New Roman" w:cs="Times New Roman"/>
          <w:sz w:val="18"/>
          <w:szCs w:val="18"/>
          <w:lang w:val="en-US"/>
        </w:rPr>
        <w:t xml:space="preserve">the </w:t>
      </w:r>
      <w:r w:rsidRPr="00C235BB">
        <w:rPr>
          <w:rFonts w:ascii="Times New Roman" w:hAnsi="Times New Roman" w:cs="Times New Roman"/>
          <w:sz w:val="18"/>
          <w:szCs w:val="18"/>
          <w:lang w:val="en-US"/>
        </w:rPr>
        <w:t>compensation temperatures were t</w:t>
      </w:r>
      <w:r w:rsidR="00807CE6">
        <w:rPr>
          <w:rFonts w:ascii="Times New Roman" w:hAnsi="Times New Roman" w:cs="Times New Roman"/>
          <w:sz w:val="18"/>
          <w:szCs w:val="18"/>
          <w:lang w:val="en-US"/>
        </w:rPr>
        <w:t>he</w:t>
      </w:r>
      <w:r w:rsidRPr="00C235BB">
        <w:rPr>
          <w:rFonts w:ascii="Times New Roman" w:hAnsi="Times New Roman" w:cs="Times New Roman"/>
          <w:sz w:val="18"/>
          <w:szCs w:val="18"/>
          <w:lang w:val="en-US"/>
        </w:rPr>
        <w:t xml:space="preserve"> same for all the blends containing PDMS. This fact </w:t>
      </w:r>
      <w:r w:rsidR="00807CE6">
        <w:rPr>
          <w:rFonts w:ascii="Times New Roman" w:hAnsi="Times New Roman" w:cs="Times New Roman"/>
          <w:sz w:val="18"/>
          <w:szCs w:val="18"/>
          <w:lang w:val="en-US"/>
        </w:rPr>
        <w:t>indicated</w:t>
      </w:r>
      <w:r w:rsidRPr="00C235BB">
        <w:rPr>
          <w:rFonts w:ascii="Times New Roman" w:hAnsi="Times New Roman" w:cs="Times New Roman"/>
          <w:sz w:val="18"/>
          <w:szCs w:val="18"/>
          <w:lang w:val="en-US"/>
        </w:rPr>
        <w:t xml:space="preserve"> that PDMS determines the separation mechanism in the mixed stationary phases</w:t>
      </w:r>
      <w:r w:rsidR="00807CE6">
        <w:rPr>
          <w:rFonts w:ascii="Times New Roman" w:hAnsi="Times New Roman" w:cs="Times New Roman"/>
          <w:sz w:val="18"/>
          <w:szCs w:val="18"/>
          <w:lang w:val="en-US"/>
        </w:rPr>
        <w:t>,</w:t>
      </w:r>
      <w:r w:rsidRPr="00C235BB">
        <w:rPr>
          <w:rFonts w:ascii="Times New Roman" w:hAnsi="Times New Roman" w:cs="Times New Roman"/>
          <w:sz w:val="18"/>
          <w:szCs w:val="18"/>
          <w:lang w:val="en-US"/>
        </w:rPr>
        <w:t xml:space="preserve"> which is the non-polar interactions. Among </w:t>
      </w:r>
      <w:r w:rsidR="00807CE6">
        <w:rPr>
          <w:rFonts w:ascii="Times New Roman" w:hAnsi="Times New Roman" w:cs="Times New Roman"/>
          <w:sz w:val="18"/>
          <w:szCs w:val="18"/>
          <w:lang w:val="en-US"/>
        </w:rPr>
        <w:t xml:space="preserve">the </w:t>
      </w:r>
      <w:r w:rsidRPr="00C235BB">
        <w:rPr>
          <w:rFonts w:ascii="Times New Roman" w:hAnsi="Times New Roman" w:cs="Times New Roman"/>
          <w:sz w:val="18"/>
          <w:szCs w:val="18"/>
          <w:lang w:val="en-US"/>
        </w:rPr>
        <w:t xml:space="preserve">other interactions, the hydrogen bonding with the electron-donor groups of the polymer make the largest contribution. </w:t>
      </w:r>
      <w:r w:rsidR="00807CE6">
        <w:rPr>
          <w:rFonts w:ascii="Times New Roman" w:hAnsi="Times New Roman" w:cs="Times New Roman"/>
          <w:sz w:val="18"/>
          <w:szCs w:val="18"/>
          <w:lang w:val="en-US"/>
        </w:rPr>
        <w:t>Moreover,</w:t>
      </w:r>
      <w:r w:rsidRPr="00C235BB">
        <w:rPr>
          <w:rFonts w:ascii="Times New Roman" w:hAnsi="Times New Roman" w:cs="Times New Roman"/>
          <w:sz w:val="18"/>
          <w:szCs w:val="18"/>
          <w:lang w:val="en-US"/>
        </w:rPr>
        <w:t xml:space="preserve"> the efficient polarity of the </w:t>
      </w:r>
      <w:r w:rsidR="00CA2B55">
        <w:rPr>
          <w:rFonts w:ascii="Times New Roman" w:hAnsi="Times New Roman" w:cs="Times New Roman"/>
          <w:sz w:val="18"/>
          <w:szCs w:val="18"/>
          <w:lang w:val="en-US"/>
        </w:rPr>
        <w:t>resulting</w:t>
      </w:r>
      <w:r w:rsidRPr="00C235BB">
        <w:rPr>
          <w:rFonts w:ascii="Times New Roman" w:hAnsi="Times New Roman" w:cs="Times New Roman"/>
          <w:sz w:val="18"/>
          <w:szCs w:val="18"/>
          <w:lang w:val="en-US"/>
        </w:rPr>
        <w:t xml:space="preserve"> mixtures differed from the linear combinations of the individual values</w:t>
      </w:r>
      <w:r w:rsidR="00CA2B55">
        <w:rPr>
          <w:rFonts w:ascii="Times New Roman" w:hAnsi="Times New Roman" w:cs="Times New Roman"/>
          <w:sz w:val="18"/>
          <w:szCs w:val="18"/>
          <w:lang w:val="en-US"/>
        </w:rPr>
        <w:t xml:space="preserve">: </w:t>
      </w:r>
      <w:r w:rsidRPr="00C235BB">
        <w:rPr>
          <w:rFonts w:ascii="Times New Roman" w:hAnsi="Times New Roman" w:cs="Times New Roman"/>
          <w:sz w:val="18"/>
          <w:szCs w:val="18"/>
          <w:lang w:val="en-US"/>
        </w:rPr>
        <w:t>the properties of the mixed stationary phase go through the minimum</w:t>
      </w:r>
      <w:r w:rsidR="00CA2B55">
        <w:rPr>
          <w:rFonts w:ascii="Times New Roman" w:hAnsi="Times New Roman" w:cs="Times New Roman"/>
          <w:sz w:val="18"/>
          <w:szCs w:val="18"/>
          <w:lang w:val="en-US"/>
        </w:rPr>
        <w:t>,</w:t>
      </w:r>
      <w:r w:rsidRPr="00C235BB">
        <w:rPr>
          <w:rFonts w:ascii="Times New Roman" w:hAnsi="Times New Roman" w:cs="Times New Roman"/>
          <w:sz w:val="18"/>
          <w:szCs w:val="18"/>
          <w:lang w:val="en-US"/>
        </w:rPr>
        <w:t xml:space="preserve"> demonstrating the expected thermodynamic incompatibility of two polymers</w:t>
      </w:r>
      <w:r w:rsidR="00170221">
        <w:rPr>
          <w:rFonts w:ascii="Times New Roman" w:hAnsi="Times New Roman" w:cs="Times New Roman"/>
          <w:sz w:val="18"/>
          <w:szCs w:val="18"/>
          <w:lang w:val="en-US"/>
        </w:rPr>
        <w:t xml:space="preserve"> explored</w:t>
      </w:r>
      <w:r w:rsidRPr="00C235BB">
        <w:rPr>
          <w:rFonts w:ascii="Times New Roman" w:hAnsi="Times New Roman" w:cs="Times New Roman"/>
          <w:sz w:val="18"/>
          <w:szCs w:val="18"/>
          <w:lang w:val="en-US"/>
        </w:rPr>
        <w:t xml:space="preserve">. The </w:t>
      </w:r>
      <w:r w:rsidR="00170221">
        <w:rPr>
          <w:rFonts w:ascii="Times New Roman" w:hAnsi="Times New Roman" w:cs="Times New Roman"/>
          <w:sz w:val="18"/>
          <w:szCs w:val="18"/>
          <w:lang w:val="en-US"/>
        </w:rPr>
        <w:t>resulting</w:t>
      </w:r>
      <w:r w:rsidRPr="00C235BB">
        <w:rPr>
          <w:rFonts w:ascii="Times New Roman" w:hAnsi="Times New Roman" w:cs="Times New Roman"/>
          <w:sz w:val="18"/>
          <w:szCs w:val="18"/>
          <w:lang w:val="en-US"/>
        </w:rPr>
        <w:t xml:space="preserve"> columns were also tested for </w:t>
      </w:r>
      <w:r w:rsidR="00170221">
        <w:rPr>
          <w:rFonts w:ascii="Times New Roman" w:hAnsi="Times New Roman" w:cs="Times New Roman"/>
          <w:sz w:val="18"/>
          <w:szCs w:val="18"/>
          <w:lang w:val="en-US"/>
        </w:rPr>
        <w:t xml:space="preserve">the </w:t>
      </w:r>
      <w:r w:rsidRPr="00C235BB">
        <w:rPr>
          <w:rFonts w:ascii="Times New Roman" w:hAnsi="Times New Roman" w:cs="Times New Roman"/>
          <w:sz w:val="18"/>
          <w:szCs w:val="18"/>
          <w:lang w:val="en-US"/>
        </w:rPr>
        <w:t>separation of aromatic compounds and their sulfur-containing analogs</w:t>
      </w:r>
      <w:r w:rsidR="003A22AD">
        <w:rPr>
          <w:rFonts w:ascii="Times New Roman" w:hAnsi="Times New Roman" w:cs="Times New Roman"/>
          <w:sz w:val="18"/>
          <w:szCs w:val="18"/>
          <w:lang w:val="en-US"/>
        </w:rPr>
        <w:t xml:space="preserve"> and</w:t>
      </w:r>
      <w:r w:rsidRPr="00C235BB">
        <w:rPr>
          <w:rFonts w:ascii="Times New Roman" w:hAnsi="Times New Roman" w:cs="Times New Roman"/>
          <w:sz w:val="18"/>
          <w:szCs w:val="18"/>
          <w:lang w:val="en-US"/>
        </w:rPr>
        <w:t xml:space="preserve"> demonstrat</w:t>
      </w:r>
      <w:r w:rsidR="003A22AD">
        <w:rPr>
          <w:rFonts w:ascii="Times New Roman" w:hAnsi="Times New Roman" w:cs="Times New Roman"/>
          <w:sz w:val="18"/>
          <w:szCs w:val="18"/>
          <w:lang w:val="en-US"/>
        </w:rPr>
        <w:t>ed</w:t>
      </w:r>
      <w:r w:rsidRPr="00C235BB">
        <w:rPr>
          <w:rFonts w:ascii="Times New Roman" w:hAnsi="Times New Roman" w:cs="Times New Roman"/>
          <w:sz w:val="18"/>
          <w:szCs w:val="18"/>
          <w:lang w:val="en-US"/>
        </w:rPr>
        <w:t xml:space="preserve"> </w:t>
      </w:r>
      <w:r w:rsidR="00170221">
        <w:rPr>
          <w:rFonts w:ascii="Times New Roman" w:hAnsi="Times New Roman" w:cs="Times New Roman"/>
          <w:sz w:val="18"/>
          <w:szCs w:val="18"/>
          <w:lang w:val="en-US"/>
        </w:rPr>
        <w:t xml:space="preserve">the </w:t>
      </w:r>
      <w:r w:rsidRPr="00C235BB">
        <w:rPr>
          <w:rFonts w:ascii="Times New Roman" w:hAnsi="Times New Roman" w:cs="Times New Roman"/>
          <w:sz w:val="18"/>
          <w:szCs w:val="18"/>
          <w:lang w:val="en-US"/>
        </w:rPr>
        <w:t xml:space="preserve">selectivity sufficient for </w:t>
      </w:r>
      <w:r w:rsidR="003A22AD">
        <w:rPr>
          <w:rFonts w:ascii="Times New Roman" w:hAnsi="Times New Roman" w:cs="Times New Roman"/>
          <w:sz w:val="18"/>
          <w:szCs w:val="18"/>
          <w:lang w:val="en-US"/>
        </w:rPr>
        <w:t xml:space="preserve">the </w:t>
      </w:r>
      <w:r w:rsidRPr="00C235BB">
        <w:rPr>
          <w:rFonts w:ascii="Times New Roman" w:hAnsi="Times New Roman" w:cs="Times New Roman"/>
          <w:sz w:val="18"/>
          <w:szCs w:val="18"/>
          <w:lang w:val="en-US"/>
        </w:rPr>
        <w:t>bas</w:t>
      </w:r>
      <w:r w:rsidR="00170221">
        <w:rPr>
          <w:rFonts w:ascii="Times New Roman" w:hAnsi="Times New Roman" w:cs="Times New Roman"/>
          <w:sz w:val="18"/>
          <w:szCs w:val="18"/>
          <w:lang w:val="en-US"/>
        </w:rPr>
        <w:t>ic</w:t>
      </w:r>
      <w:r w:rsidRPr="00C235BB">
        <w:rPr>
          <w:rFonts w:ascii="Times New Roman" w:hAnsi="Times New Roman" w:cs="Times New Roman"/>
          <w:sz w:val="18"/>
          <w:szCs w:val="18"/>
          <w:lang w:val="en-US"/>
        </w:rPr>
        <w:t xml:space="preserve"> separation of benzene and thiophene</w:t>
      </w:r>
      <w:r>
        <w:rPr>
          <w:rFonts w:ascii="Times New Roman" w:hAnsi="Times New Roman" w:cs="Times New Roman"/>
          <w:sz w:val="18"/>
          <w:szCs w:val="18"/>
          <w:lang w:val="en-US"/>
        </w:rPr>
        <w:t>.</w:t>
      </w:r>
    </w:p>
    <w:p w14:paraId="42521764" w14:textId="2454EBAC" w:rsidR="00F94740" w:rsidRPr="00F94740" w:rsidRDefault="0074509F" w:rsidP="0074509F">
      <w:pPr>
        <w:pStyle w:val="Header1"/>
        <w:spacing w:before="0" w:after="240"/>
      </w:pPr>
      <w:r>
        <w:br w:type="column"/>
      </w:r>
      <w:r w:rsidR="00F94740" w:rsidRPr="00F94740">
        <w:t>Acknowledgements</w:t>
      </w:r>
    </w:p>
    <w:p w14:paraId="62583AAE" w14:textId="42C1C9B1" w:rsidR="00F94740" w:rsidRPr="006070A2" w:rsidRDefault="00EB4EDD" w:rsidP="00F94740">
      <w:pPr>
        <w:pStyle w:val="MainText"/>
        <w:ind w:firstLine="284"/>
      </w:pPr>
      <w:r w:rsidRPr="00C235BB">
        <w:t>Th</w:t>
      </w:r>
      <w:r w:rsidR="004218ED">
        <w:t xml:space="preserve">is work </w:t>
      </w:r>
      <w:r w:rsidRPr="00C235BB">
        <w:t xml:space="preserve">was supported by the Russian Science Foundation </w:t>
      </w:r>
      <w:r w:rsidR="004218ED">
        <w:t>(project no.</w:t>
      </w:r>
      <w:r w:rsidRPr="00C235BB">
        <w:t xml:space="preserve"> 21-73-20032</w:t>
      </w:r>
      <w:r w:rsidR="004218ED">
        <w:t>)</w:t>
      </w:r>
      <w:r>
        <w:t>.</w:t>
      </w:r>
    </w:p>
    <w:p w14:paraId="6DD01FDE" w14:textId="4745C0D7" w:rsidR="00F86864" w:rsidRPr="00F86864" w:rsidRDefault="00F86864" w:rsidP="00161894">
      <w:pPr>
        <w:pStyle w:val="Header1"/>
        <w:spacing w:before="240" w:after="240"/>
      </w:pPr>
      <w:r w:rsidRPr="00F86864">
        <w:t xml:space="preserve">Corresponding </w:t>
      </w:r>
      <w:r w:rsidR="005C7369">
        <w:t>a</w:t>
      </w:r>
      <w:r w:rsidRPr="00F86864">
        <w:t>uthor</w:t>
      </w:r>
    </w:p>
    <w:p w14:paraId="64636EBF" w14:textId="419979DB" w:rsidR="00F86864" w:rsidRPr="00EB4EDD" w:rsidRDefault="00F86864" w:rsidP="00071D12">
      <w:pPr>
        <w:pStyle w:val="MainText"/>
        <w:ind w:firstLine="284"/>
      </w:pPr>
      <w:r w:rsidRPr="00F86864">
        <w:rPr>
          <w:rFonts w:ascii="AdvOT8608a8d1" w:hAnsi="AdvOT8608a8d1" w:cs="AdvOT8608a8d1"/>
        </w:rPr>
        <w:t xml:space="preserve">* </w:t>
      </w:r>
      <w:r w:rsidRPr="00F86864">
        <w:t xml:space="preserve">E-mail: </w:t>
      </w:r>
      <w:r w:rsidR="00EB4EDD" w:rsidRPr="00C235BB">
        <w:t xml:space="preserve">kanatieva@ips.ac.ru. </w:t>
      </w:r>
      <w:r w:rsidR="00EB4EDD" w:rsidRPr="004218ED">
        <w:rPr>
          <w:highlight w:val="green"/>
        </w:rPr>
        <w:t>Tel: +7(916)858-5780</w:t>
      </w:r>
      <w:r w:rsidR="004218ED">
        <w:br/>
      </w:r>
      <w:r w:rsidR="00EB4EDD">
        <w:t>(A. Yu. Kanateva).</w:t>
      </w:r>
    </w:p>
    <w:p w14:paraId="559C9331" w14:textId="77777777" w:rsidR="00161894" w:rsidRPr="00161894" w:rsidRDefault="00161894" w:rsidP="00161894">
      <w:pPr>
        <w:pStyle w:val="Header1"/>
        <w:spacing w:before="240" w:after="240"/>
      </w:pPr>
      <w:r w:rsidRPr="00161894">
        <w:t>Electronic supplementary information</w:t>
      </w:r>
    </w:p>
    <w:p w14:paraId="72C797AA" w14:textId="4108DDA3" w:rsidR="00161894" w:rsidRPr="00A15F05" w:rsidRDefault="00E17353" w:rsidP="00161894">
      <w:pPr>
        <w:pStyle w:val="Header1"/>
        <w:spacing w:before="0" w:after="0"/>
        <w:ind w:firstLine="284"/>
        <w:jc w:val="both"/>
        <w:rPr>
          <w:rFonts w:ascii="Times New Roman" w:hAnsi="Times New Roman" w:cs="Times New Roman"/>
          <w:b w:val="0"/>
          <w:sz w:val="18"/>
          <w:szCs w:val="18"/>
        </w:rPr>
      </w:pPr>
      <w:r w:rsidRPr="00F44026">
        <w:rPr>
          <w:rFonts w:ascii="Times New Roman" w:hAnsi="Times New Roman" w:cs="Times New Roman"/>
          <w:b w:val="0"/>
          <w:sz w:val="18"/>
          <w:szCs w:val="18"/>
        </w:rPr>
        <w:t xml:space="preserve">Electronic supplementary information (ESI) available online: </w:t>
      </w:r>
      <w:r w:rsidR="003A493E" w:rsidRPr="003A493E">
        <w:rPr>
          <w:rFonts w:ascii="Times New Roman" w:hAnsi="Times New Roman"/>
          <w:b w:val="0"/>
          <w:bCs/>
          <w:sz w:val="18"/>
          <w:szCs w:val="18"/>
          <w:highlight w:val="green"/>
        </w:rPr>
        <w:t>the m</w:t>
      </w:r>
      <w:r w:rsidR="003A493E" w:rsidRPr="003A493E">
        <w:rPr>
          <w:rFonts w:ascii="Times New Roman" w:hAnsi="Times New Roman"/>
          <w:b w:val="0"/>
          <w:bCs/>
          <w:sz w:val="18"/>
          <w:szCs w:val="18"/>
          <w:highlight w:val="green"/>
        </w:rPr>
        <w:t xml:space="preserve">odel sorbates of </w:t>
      </w:r>
      <w:r w:rsidR="003A493E" w:rsidRPr="003A493E">
        <w:rPr>
          <w:rFonts w:ascii="Times New Roman" w:hAnsi="Times New Roman"/>
          <w:b w:val="0"/>
          <w:bCs/>
          <w:sz w:val="18"/>
          <w:szCs w:val="18"/>
          <w:highlight w:val="green"/>
        </w:rPr>
        <w:t xml:space="preserve">the </w:t>
      </w:r>
      <w:r w:rsidR="003A493E" w:rsidRPr="003A493E">
        <w:rPr>
          <w:rFonts w:ascii="Times New Roman" w:hAnsi="Times New Roman"/>
          <w:b w:val="0"/>
          <w:bCs/>
          <w:sz w:val="18"/>
          <w:szCs w:val="18"/>
          <w:highlight w:val="green"/>
        </w:rPr>
        <w:t>Rohrschneider mo</w:t>
      </w:r>
      <w:r w:rsidR="003A493E" w:rsidRPr="003A493E">
        <w:rPr>
          <w:rFonts w:ascii="Times New Roman" w:hAnsi="Times New Roman"/>
          <w:b w:val="0"/>
          <w:bCs/>
          <w:sz w:val="18"/>
          <w:szCs w:val="18"/>
          <w:highlight w:val="green"/>
        </w:rPr>
        <w:t>del</w:t>
      </w:r>
      <w:r w:rsidR="003A493E">
        <w:rPr>
          <w:rFonts w:ascii="Times New Roman" w:hAnsi="Times New Roman"/>
          <w:b w:val="0"/>
          <w:bCs/>
          <w:sz w:val="18"/>
          <w:szCs w:val="18"/>
        </w:rPr>
        <w:t>.</w:t>
      </w:r>
      <w:r w:rsidR="003A493E" w:rsidRPr="00F44026">
        <w:rPr>
          <w:rFonts w:ascii="Times New Roman" w:hAnsi="Times New Roman" w:cs="Times New Roman"/>
          <w:b w:val="0"/>
          <w:sz w:val="18"/>
          <w:szCs w:val="18"/>
        </w:rPr>
        <w:t xml:space="preserve"> </w:t>
      </w:r>
      <w:r w:rsidRPr="00F44026">
        <w:rPr>
          <w:rFonts w:ascii="Times New Roman" w:hAnsi="Times New Roman" w:cs="Times New Roman"/>
          <w:b w:val="0"/>
          <w:sz w:val="18"/>
          <w:szCs w:val="18"/>
        </w:rPr>
        <w:t>For ESI, see DOI: 10.32931/io</w:t>
      </w:r>
      <w:r>
        <w:rPr>
          <w:rFonts w:ascii="Times New Roman" w:hAnsi="Times New Roman" w:cs="Times New Roman"/>
          <w:b w:val="0"/>
          <w:sz w:val="18"/>
          <w:szCs w:val="18"/>
        </w:rPr>
        <w:t>XXXXx</w:t>
      </w:r>
      <w:r w:rsidRPr="00F44026">
        <w:rPr>
          <w:rFonts w:ascii="Times New Roman" w:hAnsi="Times New Roman" w:cs="Times New Roman"/>
          <w:b w:val="0"/>
          <w:sz w:val="18"/>
          <w:szCs w:val="18"/>
        </w:rPr>
        <w:t>.</w:t>
      </w:r>
    </w:p>
    <w:p w14:paraId="6E123EEE" w14:textId="4D2839DB" w:rsidR="00F94740" w:rsidRPr="00F94740" w:rsidRDefault="00F94740" w:rsidP="00161894">
      <w:pPr>
        <w:pStyle w:val="Header1"/>
        <w:spacing w:before="240" w:after="240"/>
      </w:pPr>
      <w:r w:rsidRPr="00F94740">
        <w:t>References</w:t>
      </w:r>
    </w:p>
    <w:p w14:paraId="50288E17" w14:textId="10295108" w:rsidR="000933B6" w:rsidRPr="000933B6" w:rsidRDefault="000933B6" w:rsidP="000933B6">
      <w:pPr>
        <w:pStyle w:val="References"/>
        <w:spacing w:line="264" w:lineRule="auto"/>
        <w:ind w:left="454" w:hanging="454"/>
        <w:rPr>
          <w:sz w:val="16"/>
          <w:szCs w:val="16"/>
        </w:rPr>
      </w:pPr>
      <w:r>
        <w:rPr>
          <w:sz w:val="16"/>
          <w:szCs w:val="16"/>
        </w:rPr>
        <w:t>1.</w:t>
      </w:r>
      <w:r>
        <w:rPr>
          <w:sz w:val="16"/>
          <w:szCs w:val="16"/>
        </w:rPr>
        <w:tab/>
      </w:r>
      <w:r w:rsidRPr="000933B6">
        <w:rPr>
          <w:sz w:val="16"/>
          <w:szCs w:val="16"/>
        </w:rPr>
        <w:t>A.</w:t>
      </w:r>
      <w:r>
        <w:rPr>
          <w:sz w:val="16"/>
          <w:szCs w:val="16"/>
        </w:rPr>
        <w:t xml:space="preserve"> </w:t>
      </w:r>
      <w:r w:rsidRPr="000933B6">
        <w:rPr>
          <w:sz w:val="16"/>
          <w:szCs w:val="16"/>
        </w:rPr>
        <w:t>Yu. Kanatieva, D.</w:t>
      </w:r>
      <w:r>
        <w:rPr>
          <w:sz w:val="16"/>
          <w:szCs w:val="16"/>
        </w:rPr>
        <w:t xml:space="preserve"> </w:t>
      </w:r>
      <w:r w:rsidRPr="000933B6">
        <w:rPr>
          <w:sz w:val="16"/>
          <w:szCs w:val="16"/>
        </w:rPr>
        <w:t>A. Alentiev, V.</w:t>
      </w:r>
      <w:r>
        <w:rPr>
          <w:sz w:val="16"/>
          <w:szCs w:val="16"/>
        </w:rPr>
        <w:t xml:space="preserve"> </w:t>
      </w:r>
      <w:r w:rsidRPr="000933B6">
        <w:rPr>
          <w:sz w:val="16"/>
          <w:szCs w:val="16"/>
        </w:rPr>
        <w:t>E. Shiryaeva, A.</w:t>
      </w:r>
      <w:r>
        <w:rPr>
          <w:sz w:val="16"/>
          <w:szCs w:val="16"/>
        </w:rPr>
        <w:t xml:space="preserve"> </w:t>
      </w:r>
      <w:r w:rsidRPr="000933B6">
        <w:rPr>
          <w:sz w:val="16"/>
          <w:szCs w:val="16"/>
        </w:rPr>
        <w:t>A. Korolev, A.</w:t>
      </w:r>
      <w:r>
        <w:rPr>
          <w:sz w:val="16"/>
          <w:szCs w:val="16"/>
        </w:rPr>
        <w:t xml:space="preserve"> </w:t>
      </w:r>
      <w:r w:rsidRPr="000933B6">
        <w:rPr>
          <w:sz w:val="16"/>
          <w:szCs w:val="16"/>
        </w:rPr>
        <w:t xml:space="preserve">A. Kurganov, </w:t>
      </w:r>
      <w:r w:rsidRPr="000933B6">
        <w:rPr>
          <w:i/>
          <w:iCs/>
          <w:sz w:val="16"/>
          <w:szCs w:val="16"/>
        </w:rPr>
        <w:t>Polymers</w:t>
      </w:r>
      <w:r w:rsidRPr="000933B6">
        <w:rPr>
          <w:sz w:val="16"/>
          <w:szCs w:val="16"/>
        </w:rPr>
        <w:t xml:space="preserve">, </w:t>
      </w:r>
      <w:r w:rsidRPr="000933B6">
        <w:rPr>
          <w:b/>
          <w:bCs/>
          <w:sz w:val="16"/>
          <w:szCs w:val="16"/>
        </w:rPr>
        <w:t>2022</w:t>
      </w:r>
      <w:r w:rsidRPr="000933B6">
        <w:rPr>
          <w:sz w:val="16"/>
          <w:szCs w:val="16"/>
        </w:rPr>
        <w:t xml:space="preserve">, </w:t>
      </w:r>
      <w:r w:rsidRPr="006C3FC9">
        <w:rPr>
          <w:i/>
          <w:iCs/>
          <w:sz w:val="16"/>
          <w:szCs w:val="16"/>
        </w:rPr>
        <w:t>14</w:t>
      </w:r>
      <w:r w:rsidRPr="000933B6">
        <w:rPr>
          <w:sz w:val="16"/>
          <w:szCs w:val="16"/>
        </w:rPr>
        <w:t xml:space="preserve">, 5120. </w:t>
      </w:r>
      <w:r>
        <w:rPr>
          <w:sz w:val="16"/>
          <w:szCs w:val="16"/>
        </w:rPr>
        <w:t xml:space="preserve">DOI: </w:t>
      </w:r>
      <w:r w:rsidRPr="000933B6">
        <w:rPr>
          <w:sz w:val="16"/>
          <w:szCs w:val="16"/>
        </w:rPr>
        <w:t>10.3390/polym14235120</w:t>
      </w:r>
    </w:p>
    <w:p w14:paraId="3EDFE963" w14:textId="77AC4DBE" w:rsidR="000933B6" w:rsidRPr="000933B6" w:rsidRDefault="000933B6" w:rsidP="000933B6">
      <w:pPr>
        <w:pStyle w:val="References"/>
        <w:spacing w:line="264" w:lineRule="auto"/>
        <w:ind w:left="454" w:hanging="454"/>
        <w:rPr>
          <w:sz w:val="16"/>
          <w:szCs w:val="16"/>
        </w:rPr>
      </w:pPr>
      <w:r>
        <w:rPr>
          <w:sz w:val="16"/>
          <w:szCs w:val="16"/>
        </w:rPr>
        <w:t>2.</w:t>
      </w:r>
      <w:r>
        <w:rPr>
          <w:sz w:val="16"/>
          <w:szCs w:val="16"/>
        </w:rPr>
        <w:tab/>
      </w:r>
      <w:r w:rsidRPr="000933B6">
        <w:rPr>
          <w:sz w:val="16"/>
          <w:szCs w:val="16"/>
        </w:rPr>
        <w:t>A.</w:t>
      </w:r>
      <w:r>
        <w:rPr>
          <w:sz w:val="16"/>
          <w:szCs w:val="16"/>
        </w:rPr>
        <w:t xml:space="preserve"> </w:t>
      </w:r>
      <w:r w:rsidRPr="000933B6">
        <w:rPr>
          <w:sz w:val="16"/>
          <w:szCs w:val="16"/>
        </w:rPr>
        <w:t>Yu. Kanat</w:t>
      </w:r>
      <w:r w:rsidR="006C3FC9">
        <w:rPr>
          <w:sz w:val="16"/>
          <w:szCs w:val="16"/>
        </w:rPr>
        <w:t>'</w:t>
      </w:r>
      <w:r w:rsidRPr="000933B6">
        <w:rPr>
          <w:sz w:val="16"/>
          <w:szCs w:val="16"/>
        </w:rPr>
        <w:t>eva, A.</w:t>
      </w:r>
      <w:r>
        <w:rPr>
          <w:sz w:val="16"/>
          <w:szCs w:val="16"/>
        </w:rPr>
        <w:t xml:space="preserve"> </w:t>
      </w:r>
      <w:r w:rsidRPr="000933B6">
        <w:rPr>
          <w:sz w:val="16"/>
          <w:szCs w:val="16"/>
        </w:rPr>
        <w:t>A. Korolev, A.</w:t>
      </w:r>
      <w:r>
        <w:rPr>
          <w:sz w:val="16"/>
          <w:szCs w:val="16"/>
        </w:rPr>
        <w:t xml:space="preserve"> </w:t>
      </w:r>
      <w:r w:rsidRPr="000933B6">
        <w:rPr>
          <w:sz w:val="16"/>
          <w:szCs w:val="16"/>
        </w:rPr>
        <w:t xml:space="preserve">A. Kurganov, </w:t>
      </w:r>
      <w:r w:rsidRPr="000933B6">
        <w:rPr>
          <w:i/>
          <w:iCs/>
          <w:sz w:val="16"/>
          <w:szCs w:val="16"/>
        </w:rPr>
        <w:t>J. Anal. Chem</w:t>
      </w:r>
      <w:r w:rsidRPr="000933B6">
        <w:rPr>
          <w:sz w:val="16"/>
          <w:szCs w:val="16"/>
        </w:rPr>
        <w:t xml:space="preserve">., </w:t>
      </w:r>
      <w:r w:rsidRPr="000933B6">
        <w:rPr>
          <w:b/>
          <w:bCs/>
          <w:sz w:val="16"/>
          <w:szCs w:val="16"/>
        </w:rPr>
        <w:t>2022</w:t>
      </w:r>
      <w:r w:rsidRPr="000933B6">
        <w:rPr>
          <w:sz w:val="16"/>
          <w:szCs w:val="16"/>
        </w:rPr>
        <w:t xml:space="preserve">, </w:t>
      </w:r>
      <w:r w:rsidRPr="000933B6">
        <w:rPr>
          <w:i/>
          <w:iCs/>
          <w:sz w:val="16"/>
          <w:szCs w:val="16"/>
        </w:rPr>
        <w:t>77</w:t>
      </w:r>
      <w:r w:rsidRPr="000933B6">
        <w:rPr>
          <w:sz w:val="16"/>
          <w:szCs w:val="16"/>
        </w:rPr>
        <w:t>, 126</w:t>
      </w:r>
      <w:r>
        <w:rPr>
          <w:sz w:val="16"/>
          <w:szCs w:val="16"/>
        </w:rPr>
        <w:t>–</w:t>
      </w:r>
      <w:r w:rsidRPr="000933B6">
        <w:rPr>
          <w:sz w:val="16"/>
          <w:szCs w:val="16"/>
        </w:rPr>
        <w:t xml:space="preserve">130. </w:t>
      </w:r>
      <w:r>
        <w:rPr>
          <w:sz w:val="16"/>
          <w:szCs w:val="16"/>
        </w:rPr>
        <w:t xml:space="preserve">DOI: </w:t>
      </w:r>
      <w:r w:rsidRPr="000933B6">
        <w:rPr>
          <w:sz w:val="16"/>
          <w:szCs w:val="16"/>
        </w:rPr>
        <w:t>10.1134/S1061934822010063</w:t>
      </w:r>
    </w:p>
    <w:p w14:paraId="2F095D6C" w14:textId="42F040D2" w:rsidR="000933B6" w:rsidRPr="000933B6" w:rsidRDefault="000933B6" w:rsidP="000933B6">
      <w:pPr>
        <w:pStyle w:val="References"/>
        <w:spacing w:line="264" w:lineRule="auto"/>
        <w:ind w:left="454" w:hanging="454"/>
        <w:rPr>
          <w:sz w:val="16"/>
          <w:szCs w:val="16"/>
        </w:rPr>
      </w:pPr>
      <w:r>
        <w:rPr>
          <w:sz w:val="16"/>
          <w:szCs w:val="16"/>
        </w:rPr>
        <w:t>3.</w:t>
      </w:r>
      <w:r>
        <w:rPr>
          <w:sz w:val="16"/>
          <w:szCs w:val="16"/>
        </w:rPr>
        <w:tab/>
      </w:r>
      <w:r w:rsidRPr="000933B6">
        <w:rPr>
          <w:sz w:val="16"/>
          <w:szCs w:val="16"/>
        </w:rPr>
        <w:t>A. Berthod, E.</w:t>
      </w:r>
      <w:r>
        <w:rPr>
          <w:sz w:val="16"/>
          <w:szCs w:val="16"/>
        </w:rPr>
        <w:t xml:space="preserve"> </w:t>
      </w:r>
      <w:r w:rsidRPr="000933B6">
        <w:rPr>
          <w:sz w:val="16"/>
          <w:szCs w:val="16"/>
        </w:rPr>
        <w:t>Y. Zhou, K. Le, D.</w:t>
      </w:r>
      <w:r>
        <w:rPr>
          <w:sz w:val="16"/>
          <w:szCs w:val="16"/>
        </w:rPr>
        <w:t xml:space="preserve"> </w:t>
      </w:r>
      <w:r w:rsidRPr="000933B6">
        <w:rPr>
          <w:sz w:val="16"/>
          <w:szCs w:val="16"/>
        </w:rPr>
        <w:t>W. Armstrong</w:t>
      </w:r>
      <w:r>
        <w:rPr>
          <w:sz w:val="16"/>
          <w:szCs w:val="16"/>
        </w:rPr>
        <w:t>,</w:t>
      </w:r>
      <w:r w:rsidRPr="000933B6">
        <w:rPr>
          <w:sz w:val="16"/>
          <w:szCs w:val="16"/>
        </w:rPr>
        <w:t xml:space="preserve"> </w:t>
      </w:r>
      <w:r w:rsidRPr="000933B6">
        <w:rPr>
          <w:i/>
          <w:iCs/>
          <w:sz w:val="16"/>
          <w:szCs w:val="16"/>
        </w:rPr>
        <w:t>Anal</w:t>
      </w:r>
      <w:r w:rsidR="00FF5A8B">
        <w:rPr>
          <w:i/>
          <w:iCs/>
          <w:sz w:val="16"/>
          <w:szCs w:val="16"/>
        </w:rPr>
        <w:t>.</w:t>
      </w:r>
      <w:r w:rsidRPr="000933B6">
        <w:rPr>
          <w:i/>
          <w:iCs/>
          <w:sz w:val="16"/>
          <w:szCs w:val="16"/>
        </w:rPr>
        <w:t xml:space="preserve"> Chem</w:t>
      </w:r>
      <w:r w:rsidRPr="000933B6">
        <w:rPr>
          <w:sz w:val="16"/>
          <w:szCs w:val="16"/>
        </w:rPr>
        <w:t xml:space="preserve">., </w:t>
      </w:r>
      <w:r w:rsidRPr="000933B6">
        <w:rPr>
          <w:b/>
          <w:bCs/>
          <w:sz w:val="16"/>
          <w:szCs w:val="16"/>
        </w:rPr>
        <w:t>1995</w:t>
      </w:r>
      <w:r w:rsidRPr="000933B6">
        <w:rPr>
          <w:sz w:val="16"/>
          <w:szCs w:val="16"/>
        </w:rPr>
        <w:t xml:space="preserve">, </w:t>
      </w:r>
      <w:r w:rsidRPr="000933B6">
        <w:rPr>
          <w:i/>
          <w:iCs/>
          <w:sz w:val="16"/>
          <w:szCs w:val="16"/>
        </w:rPr>
        <w:t>67</w:t>
      </w:r>
      <w:r w:rsidRPr="000933B6">
        <w:rPr>
          <w:sz w:val="16"/>
          <w:szCs w:val="16"/>
        </w:rPr>
        <w:t>, 849</w:t>
      </w:r>
      <w:r>
        <w:rPr>
          <w:sz w:val="16"/>
          <w:szCs w:val="16"/>
        </w:rPr>
        <w:t>–8</w:t>
      </w:r>
      <w:r w:rsidRPr="000933B6">
        <w:rPr>
          <w:sz w:val="16"/>
          <w:szCs w:val="16"/>
        </w:rPr>
        <w:t xml:space="preserve">57. </w:t>
      </w:r>
      <w:r>
        <w:rPr>
          <w:sz w:val="16"/>
          <w:szCs w:val="16"/>
        </w:rPr>
        <w:t xml:space="preserve">DOI: </w:t>
      </w:r>
      <w:r w:rsidRPr="000933B6">
        <w:rPr>
          <w:sz w:val="16"/>
          <w:szCs w:val="16"/>
        </w:rPr>
        <w:t>10.1021/ac00101a010</w:t>
      </w:r>
    </w:p>
    <w:p w14:paraId="1551C5A3" w14:textId="6303F6A7" w:rsidR="000933B6" w:rsidRPr="000933B6" w:rsidRDefault="000933B6" w:rsidP="000933B6">
      <w:pPr>
        <w:pStyle w:val="References"/>
        <w:spacing w:line="264" w:lineRule="auto"/>
        <w:ind w:left="454" w:hanging="454"/>
        <w:rPr>
          <w:sz w:val="16"/>
          <w:szCs w:val="16"/>
        </w:rPr>
      </w:pPr>
      <w:r>
        <w:rPr>
          <w:sz w:val="16"/>
          <w:szCs w:val="16"/>
        </w:rPr>
        <w:t>4.</w:t>
      </w:r>
      <w:r>
        <w:rPr>
          <w:sz w:val="16"/>
          <w:szCs w:val="16"/>
        </w:rPr>
        <w:tab/>
      </w:r>
      <w:r w:rsidRPr="000933B6">
        <w:rPr>
          <w:sz w:val="16"/>
          <w:szCs w:val="16"/>
        </w:rPr>
        <w:t xml:space="preserve">C. Dai, Y. Dong, J. Han, Z. Lei, </w:t>
      </w:r>
      <w:r w:rsidRPr="000933B6">
        <w:rPr>
          <w:i/>
          <w:iCs/>
          <w:sz w:val="16"/>
          <w:szCs w:val="16"/>
        </w:rPr>
        <w:t>Fluid Phase Equilib</w:t>
      </w:r>
      <w:r w:rsidR="00133214">
        <w:rPr>
          <w:i/>
          <w:iCs/>
          <w:sz w:val="16"/>
          <w:szCs w:val="16"/>
        </w:rPr>
        <w:t>.</w:t>
      </w:r>
      <w:r w:rsidRPr="000933B6">
        <w:rPr>
          <w:sz w:val="16"/>
          <w:szCs w:val="16"/>
        </w:rPr>
        <w:t xml:space="preserve">, </w:t>
      </w:r>
      <w:r w:rsidRPr="000933B6">
        <w:rPr>
          <w:b/>
          <w:bCs/>
          <w:sz w:val="16"/>
          <w:szCs w:val="16"/>
        </w:rPr>
        <w:t>2015</w:t>
      </w:r>
      <w:r w:rsidRPr="000933B6">
        <w:rPr>
          <w:sz w:val="16"/>
          <w:szCs w:val="16"/>
        </w:rPr>
        <w:t xml:space="preserve">, </w:t>
      </w:r>
      <w:r w:rsidRPr="000933B6">
        <w:rPr>
          <w:i/>
          <w:iCs/>
          <w:sz w:val="16"/>
          <w:szCs w:val="16"/>
        </w:rPr>
        <w:t>388</w:t>
      </w:r>
      <w:r w:rsidRPr="000933B6">
        <w:rPr>
          <w:sz w:val="16"/>
          <w:szCs w:val="16"/>
        </w:rPr>
        <w:t>, 142</w:t>
      </w:r>
      <w:r>
        <w:rPr>
          <w:sz w:val="16"/>
          <w:szCs w:val="16"/>
        </w:rPr>
        <w:t>–</w:t>
      </w:r>
      <w:r w:rsidRPr="000933B6">
        <w:rPr>
          <w:sz w:val="16"/>
          <w:szCs w:val="16"/>
        </w:rPr>
        <w:t xml:space="preserve">150. </w:t>
      </w:r>
      <w:r>
        <w:rPr>
          <w:sz w:val="16"/>
          <w:szCs w:val="16"/>
        </w:rPr>
        <w:t xml:space="preserve">DOI: </w:t>
      </w:r>
      <w:r w:rsidRPr="000933B6">
        <w:rPr>
          <w:sz w:val="16"/>
          <w:szCs w:val="16"/>
        </w:rPr>
        <w:t>10.1016/j.fluid.2015.01.005</w:t>
      </w:r>
    </w:p>
    <w:p w14:paraId="7D17CA0A" w14:textId="73E1368E" w:rsidR="000933B6" w:rsidRPr="000933B6" w:rsidRDefault="004C27B1" w:rsidP="000933B6">
      <w:pPr>
        <w:pStyle w:val="References"/>
        <w:spacing w:line="264" w:lineRule="auto"/>
        <w:ind w:left="454" w:hanging="454"/>
        <w:rPr>
          <w:sz w:val="16"/>
          <w:szCs w:val="16"/>
        </w:rPr>
      </w:pPr>
      <w:r>
        <w:rPr>
          <w:sz w:val="16"/>
          <w:szCs w:val="16"/>
        </w:rPr>
        <w:t>5.</w:t>
      </w:r>
      <w:r>
        <w:rPr>
          <w:sz w:val="16"/>
          <w:szCs w:val="16"/>
        </w:rPr>
        <w:tab/>
      </w:r>
      <w:r w:rsidR="000933B6" w:rsidRPr="000933B6">
        <w:rPr>
          <w:sz w:val="16"/>
          <w:szCs w:val="16"/>
        </w:rPr>
        <w:t xml:space="preserve">C. Yang, R. Faragher, Z. Yang, B. Hollebone, B. Fieldhouse, P. Lambert, V. Beaulac, </w:t>
      </w:r>
      <w:r w:rsidR="000933B6" w:rsidRPr="000933B6">
        <w:rPr>
          <w:i/>
          <w:iCs/>
          <w:sz w:val="16"/>
          <w:szCs w:val="16"/>
        </w:rPr>
        <w:t>Fuel</w:t>
      </w:r>
      <w:r w:rsidR="000933B6" w:rsidRPr="000933B6">
        <w:rPr>
          <w:sz w:val="16"/>
          <w:szCs w:val="16"/>
        </w:rPr>
        <w:t xml:space="preserve">, </w:t>
      </w:r>
      <w:r w:rsidR="000933B6" w:rsidRPr="000933B6">
        <w:rPr>
          <w:b/>
          <w:bCs/>
          <w:sz w:val="16"/>
          <w:szCs w:val="16"/>
        </w:rPr>
        <w:t>2023</w:t>
      </w:r>
      <w:r w:rsidR="000933B6" w:rsidRPr="000933B6">
        <w:rPr>
          <w:sz w:val="16"/>
          <w:szCs w:val="16"/>
        </w:rPr>
        <w:t xml:space="preserve">, </w:t>
      </w:r>
      <w:r w:rsidR="000933B6" w:rsidRPr="004C27B1">
        <w:rPr>
          <w:i/>
          <w:iCs/>
          <w:sz w:val="16"/>
          <w:szCs w:val="16"/>
        </w:rPr>
        <w:t>343</w:t>
      </w:r>
      <w:r w:rsidR="00C34CBD">
        <w:rPr>
          <w:sz w:val="16"/>
          <w:szCs w:val="16"/>
        </w:rPr>
        <w:t>, 127948.</w:t>
      </w:r>
      <w:r w:rsidR="000933B6" w:rsidRPr="000933B6">
        <w:rPr>
          <w:sz w:val="16"/>
          <w:szCs w:val="16"/>
        </w:rPr>
        <w:t xml:space="preserve"> </w:t>
      </w:r>
      <w:r>
        <w:rPr>
          <w:sz w:val="16"/>
          <w:szCs w:val="16"/>
        </w:rPr>
        <w:t xml:space="preserve">DOI: </w:t>
      </w:r>
      <w:r w:rsidR="000933B6" w:rsidRPr="000933B6">
        <w:rPr>
          <w:sz w:val="16"/>
          <w:szCs w:val="16"/>
        </w:rPr>
        <w:t>10.1016/j.fuel.2023.127948</w:t>
      </w:r>
    </w:p>
    <w:p w14:paraId="14AEDAF2" w14:textId="1B71981F" w:rsidR="000933B6" w:rsidRPr="000933B6" w:rsidRDefault="004C27B1" w:rsidP="000933B6">
      <w:pPr>
        <w:pStyle w:val="References"/>
        <w:spacing w:line="264" w:lineRule="auto"/>
        <w:ind w:left="454" w:hanging="454"/>
        <w:rPr>
          <w:sz w:val="16"/>
          <w:szCs w:val="16"/>
        </w:rPr>
      </w:pPr>
      <w:r>
        <w:rPr>
          <w:sz w:val="16"/>
          <w:szCs w:val="16"/>
        </w:rPr>
        <w:t>6.</w:t>
      </w:r>
      <w:r>
        <w:rPr>
          <w:sz w:val="16"/>
          <w:szCs w:val="16"/>
        </w:rPr>
        <w:tab/>
      </w:r>
      <w:r w:rsidR="000933B6" w:rsidRPr="000933B6">
        <w:rPr>
          <w:sz w:val="16"/>
          <w:szCs w:val="16"/>
        </w:rPr>
        <w:t xml:space="preserve">P. V. B. Bahia, M. M. Nascimento, V. Hatje, J. B. de Andrade, M. E. Machado, </w:t>
      </w:r>
      <w:r w:rsidR="000933B6" w:rsidRPr="000933B6">
        <w:rPr>
          <w:i/>
          <w:iCs/>
          <w:sz w:val="16"/>
          <w:szCs w:val="16"/>
        </w:rPr>
        <w:t>J. Chrom</w:t>
      </w:r>
      <w:r w:rsidR="001C4212">
        <w:rPr>
          <w:i/>
          <w:iCs/>
          <w:sz w:val="16"/>
          <w:szCs w:val="16"/>
        </w:rPr>
        <w:t>atogr</w:t>
      </w:r>
      <w:r w:rsidR="000933B6" w:rsidRPr="000933B6">
        <w:rPr>
          <w:i/>
          <w:iCs/>
          <w:sz w:val="16"/>
          <w:szCs w:val="16"/>
        </w:rPr>
        <w:t>. A</w:t>
      </w:r>
      <w:r w:rsidR="000933B6" w:rsidRPr="000933B6">
        <w:rPr>
          <w:sz w:val="16"/>
          <w:szCs w:val="16"/>
        </w:rPr>
        <w:t xml:space="preserve">, </w:t>
      </w:r>
      <w:r w:rsidR="000933B6" w:rsidRPr="000933B6">
        <w:rPr>
          <w:b/>
          <w:bCs/>
          <w:sz w:val="16"/>
          <w:szCs w:val="16"/>
        </w:rPr>
        <w:t>2021</w:t>
      </w:r>
      <w:r w:rsidR="000933B6" w:rsidRPr="000933B6">
        <w:rPr>
          <w:sz w:val="16"/>
          <w:szCs w:val="16"/>
        </w:rPr>
        <w:t xml:space="preserve">, </w:t>
      </w:r>
      <w:r w:rsidR="000933B6" w:rsidRPr="004C27B1">
        <w:rPr>
          <w:i/>
          <w:iCs/>
          <w:sz w:val="16"/>
          <w:szCs w:val="16"/>
        </w:rPr>
        <w:t>1653</w:t>
      </w:r>
      <w:r w:rsidR="000933B6" w:rsidRPr="000933B6">
        <w:rPr>
          <w:sz w:val="16"/>
          <w:szCs w:val="16"/>
        </w:rPr>
        <w:t>, 462414</w:t>
      </w:r>
      <w:r>
        <w:rPr>
          <w:sz w:val="16"/>
          <w:szCs w:val="16"/>
        </w:rPr>
        <w:t>.</w:t>
      </w:r>
      <w:r w:rsidR="000933B6" w:rsidRPr="000933B6">
        <w:rPr>
          <w:sz w:val="16"/>
          <w:szCs w:val="16"/>
        </w:rPr>
        <w:t xml:space="preserve"> </w:t>
      </w:r>
      <w:r>
        <w:rPr>
          <w:sz w:val="16"/>
          <w:szCs w:val="16"/>
        </w:rPr>
        <w:t xml:space="preserve">DOI: </w:t>
      </w:r>
      <w:r w:rsidR="000933B6" w:rsidRPr="000933B6">
        <w:rPr>
          <w:sz w:val="16"/>
          <w:szCs w:val="16"/>
        </w:rPr>
        <w:t>10.1016/j.chroma.2021.462414</w:t>
      </w:r>
    </w:p>
    <w:p w14:paraId="13122C64" w14:textId="3AF901A8" w:rsidR="000933B6" w:rsidRPr="000933B6" w:rsidRDefault="004C27B1" w:rsidP="000933B6">
      <w:pPr>
        <w:pStyle w:val="References"/>
        <w:spacing w:line="264" w:lineRule="auto"/>
        <w:ind w:left="454" w:hanging="454"/>
        <w:rPr>
          <w:sz w:val="16"/>
          <w:szCs w:val="16"/>
        </w:rPr>
      </w:pPr>
      <w:r>
        <w:rPr>
          <w:sz w:val="16"/>
          <w:szCs w:val="16"/>
        </w:rPr>
        <w:t>7.</w:t>
      </w:r>
      <w:r>
        <w:rPr>
          <w:sz w:val="16"/>
          <w:szCs w:val="16"/>
        </w:rPr>
        <w:tab/>
      </w:r>
      <w:r w:rsidR="000933B6" w:rsidRPr="000933B6">
        <w:rPr>
          <w:sz w:val="16"/>
          <w:szCs w:val="16"/>
        </w:rPr>
        <w:t xml:space="preserve">K. Ren, Y. Wei, J. Li, C. Han, Y. Deng, G. Su, </w:t>
      </w:r>
      <w:r w:rsidR="000933B6" w:rsidRPr="000933B6">
        <w:rPr>
          <w:i/>
          <w:iCs/>
          <w:sz w:val="16"/>
          <w:szCs w:val="16"/>
        </w:rPr>
        <w:t>Chemosphere</w:t>
      </w:r>
      <w:r w:rsidR="000933B6" w:rsidRPr="000933B6">
        <w:rPr>
          <w:sz w:val="16"/>
          <w:szCs w:val="16"/>
        </w:rPr>
        <w:t xml:space="preserve">, </w:t>
      </w:r>
      <w:r w:rsidR="000933B6" w:rsidRPr="000933B6">
        <w:rPr>
          <w:b/>
          <w:bCs/>
          <w:sz w:val="16"/>
          <w:szCs w:val="16"/>
        </w:rPr>
        <w:t>2021</w:t>
      </w:r>
      <w:r w:rsidR="000933B6" w:rsidRPr="000933B6">
        <w:rPr>
          <w:sz w:val="16"/>
          <w:szCs w:val="16"/>
        </w:rPr>
        <w:t xml:space="preserve">, </w:t>
      </w:r>
      <w:r w:rsidR="000933B6" w:rsidRPr="004C27B1">
        <w:rPr>
          <w:i/>
          <w:iCs/>
          <w:sz w:val="16"/>
          <w:szCs w:val="16"/>
        </w:rPr>
        <w:t>283</w:t>
      </w:r>
      <w:r w:rsidR="000933B6" w:rsidRPr="000933B6">
        <w:rPr>
          <w:sz w:val="16"/>
          <w:szCs w:val="16"/>
        </w:rPr>
        <w:t>, 131190</w:t>
      </w:r>
      <w:r>
        <w:rPr>
          <w:sz w:val="16"/>
          <w:szCs w:val="16"/>
        </w:rPr>
        <w:t>.</w:t>
      </w:r>
      <w:r w:rsidR="000933B6" w:rsidRPr="000933B6">
        <w:rPr>
          <w:sz w:val="16"/>
          <w:szCs w:val="16"/>
        </w:rPr>
        <w:t xml:space="preserve"> </w:t>
      </w:r>
      <w:r>
        <w:rPr>
          <w:sz w:val="16"/>
          <w:szCs w:val="16"/>
        </w:rPr>
        <w:t xml:space="preserve">DOI: </w:t>
      </w:r>
      <w:r w:rsidR="000933B6" w:rsidRPr="000933B6">
        <w:rPr>
          <w:sz w:val="16"/>
          <w:szCs w:val="16"/>
        </w:rPr>
        <w:t>10.1016/j.chemosphere.2021.131190</w:t>
      </w:r>
    </w:p>
    <w:p w14:paraId="3B3DADD4" w14:textId="3607C9EB" w:rsidR="000933B6" w:rsidRPr="000933B6" w:rsidRDefault="004C27B1" w:rsidP="000933B6">
      <w:pPr>
        <w:pStyle w:val="References"/>
        <w:spacing w:line="264" w:lineRule="auto"/>
        <w:ind w:left="454" w:hanging="454"/>
        <w:rPr>
          <w:sz w:val="16"/>
          <w:szCs w:val="16"/>
        </w:rPr>
      </w:pPr>
      <w:r>
        <w:rPr>
          <w:sz w:val="16"/>
          <w:szCs w:val="16"/>
        </w:rPr>
        <w:t>8.</w:t>
      </w:r>
      <w:r>
        <w:rPr>
          <w:sz w:val="16"/>
          <w:szCs w:val="16"/>
        </w:rPr>
        <w:tab/>
      </w:r>
      <w:r w:rsidR="000933B6" w:rsidRPr="006C3FC9">
        <w:rPr>
          <w:sz w:val="16"/>
          <w:szCs w:val="16"/>
        </w:rPr>
        <w:t xml:space="preserve">Z. Kang, H. Ma, B. Wang, </w:t>
      </w:r>
      <w:r w:rsidR="000933B6" w:rsidRPr="006C3FC9">
        <w:rPr>
          <w:i/>
          <w:iCs/>
          <w:sz w:val="16"/>
          <w:szCs w:val="16"/>
        </w:rPr>
        <w:t>Ind. Eng. Chem. Res</w:t>
      </w:r>
      <w:r w:rsidR="000933B6" w:rsidRPr="006C3FC9">
        <w:rPr>
          <w:sz w:val="16"/>
          <w:szCs w:val="16"/>
        </w:rPr>
        <w:t xml:space="preserve">., </w:t>
      </w:r>
      <w:r w:rsidR="000933B6" w:rsidRPr="006C3FC9">
        <w:rPr>
          <w:b/>
          <w:bCs/>
          <w:sz w:val="16"/>
          <w:szCs w:val="16"/>
        </w:rPr>
        <w:t>2009</w:t>
      </w:r>
      <w:r w:rsidR="000933B6" w:rsidRPr="006C3FC9">
        <w:rPr>
          <w:sz w:val="16"/>
          <w:szCs w:val="16"/>
        </w:rPr>
        <w:t xml:space="preserve">, </w:t>
      </w:r>
      <w:r w:rsidR="000933B6" w:rsidRPr="006C3FC9">
        <w:rPr>
          <w:i/>
          <w:iCs/>
          <w:sz w:val="16"/>
          <w:szCs w:val="16"/>
        </w:rPr>
        <w:t>48</w:t>
      </w:r>
      <w:r w:rsidR="000933B6" w:rsidRPr="006C3FC9">
        <w:rPr>
          <w:sz w:val="16"/>
          <w:szCs w:val="16"/>
        </w:rPr>
        <w:t>, 9346–9349</w:t>
      </w:r>
      <w:r w:rsidRPr="006C3FC9">
        <w:rPr>
          <w:sz w:val="16"/>
          <w:szCs w:val="16"/>
        </w:rPr>
        <w:t>.</w:t>
      </w:r>
      <w:r w:rsidR="006C3FC9" w:rsidRPr="006C3FC9">
        <w:rPr>
          <w:sz w:val="16"/>
          <w:szCs w:val="16"/>
        </w:rPr>
        <w:t xml:space="preserve"> DOI: </w:t>
      </w:r>
      <w:r w:rsidR="006C3FC9" w:rsidRPr="001C434A">
        <w:rPr>
          <w:sz w:val="16"/>
          <w:szCs w:val="16"/>
        </w:rPr>
        <w:t>10.1021/ie901075t</w:t>
      </w:r>
    </w:p>
    <w:p w14:paraId="48426C04" w14:textId="0BE26BFF" w:rsidR="000933B6" w:rsidRPr="000933B6" w:rsidRDefault="004C27B1" w:rsidP="000933B6">
      <w:pPr>
        <w:pStyle w:val="References"/>
        <w:spacing w:line="264" w:lineRule="auto"/>
        <w:ind w:left="454" w:hanging="454"/>
        <w:rPr>
          <w:sz w:val="16"/>
          <w:szCs w:val="16"/>
        </w:rPr>
      </w:pPr>
      <w:r>
        <w:rPr>
          <w:sz w:val="16"/>
          <w:szCs w:val="16"/>
        </w:rPr>
        <w:t>9.</w:t>
      </w:r>
      <w:r>
        <w:rPr>
          <w:sz w:val="16"/>
          <w:szCs w:val="16"/>
        </w:rPr>
        <w:tab/>
      </w:r>
      <w:r w:rsidR="000933B6" w:rsidRPr="000933B6">
        <w:rPr>
          <w:sz w:val="16"/>
          <w:szCs w:val="16"/>
        </w:rPr>
        <w:t xml:space="preserve">J. Liao, W. Wang, H. Wang, Q. Jin, L. Chang, </w:t>
      </w:r>
      <w:r w:rsidR="000933B6" w:rsidRPr="000933B6">
        <w:rPr>
          <w:i/>
          <w:iCs/>
          <w:sz w:val="16"/>
          <w:szCs w:val="16"/>
        </w:rPr>
        <w:t>Mod. Chem. Ind</w:t>
      </w:r>
      <w:r w:rsidR="000933B6" w:rsidRPr="000933B6">
        <w:rPr>
          <w:sz w:val="16"/>
          <w:szCs w:val="16"/>
        </w:rPr>
        <w:t>.</w:t>
      </w:r>
      <w:r w:rsidR="003B5025">
        <w:rPr>
          <w:sz w:val="16"/>
          <w:szCs w:val="16"/>
        </w:rPr>
        <w:t xml:space="preserve"> </w:t>
      </w:r>
      <w:r w:rsidR="003B5025" w:rsidRPr="003B5025">
        <w:rPr>
          <w:i/>
          <w:iCs/>
          <w:sz w:val="16"/>
          <w:szCs w:val="16"/>
        </w:rPr>
        <w:t>(</w:t>
      </w:r>
      <w:r w:rsidR="003B5025" w:rsidRPr="00AB114E">
        <w:rPr>
          <w:i/>
          <w:iCs/>
          <w:sz w:val="16"/>
          <w:szCs w:val="16"/>
        </w:rPr>
        <w:t>Xiandai Huagong</w:t>
      </w:r>
      <w:r w:rsidR="003B5025" w:rsidRPr="003B5025">
        <w:rPr>
          <w:i/>
          <w:iCs/>
          <w:sz w:val="16"/>
          <w:szCs w:val="16"/>
        </w:rPr>
        <w:t>)</w:t>
      </w:r>
      <w:r w:rsidR="000933B6" w:rsidRPr="000933B6">
        <w:rPr>
          <w:sz w:val="16"/>
          <w:szCs w:val="16"/>
        </w:rPr>
        <w:t xml:space="preserve">, </w:t>
      </w:r>
      <w:r w:rsidR="000933B6" w:rsidRPr="000933B6">
        <w:rPr>
          <w:b/>
          <w:bCs/>
          <w:sz w:val="16"/>
          <w:szCs w:val="16"/>
        </w:rPr>
        <w:t>2009</w:t>
      </w:r>
      <w:r w:rsidR="000933B6" w:rsidRPr="000933B6">
        <w:rPr>
          <w:sz w:val="16"/>
          <w:szCs w:val="16"/>
        </w:rPr>
        <w:t xml:space="preserve">, </w:t>
      </w:r>
      <w:r w:rsidR="000933B6" w:rsidRPr="004C27B1">
        <w:rPr>
          <w:i/>
          <w:iCs/>
          <w:sz w:val="16"/>
          <w:szCs w:val="16"/>
        </w:rPr>
        <w:t>29</w:t>
      </w:r>
      <w:r w:rsidR="000933B6" w:rsidRPr="000933B6">
        <w:rPr>
          <w:sz w:val="16"/>
          <w:szCs w:val="16"/>
        </w:rPr>
        <w:t>, 219</w:t>
      </w:r>
      <w:r>
        <w:rPr>
          <w:sz w:val="16"/>
          <w:szCs w:val="16"/>
        </w:rPr>
        <w:t>–</w:t>
      </w:r>
      <w:r w:rsidR="000933B6" w:rsidRPr="000933B6">
        <w:rPr>
          <w:sz w:val="16"/>
          <w:szCs w:val="16"/>
        </w:rPr>
        <w:t>221</w:t>
      </w:r>
      <w:r>
        <w:rPr>
          <w:sz w:val="16"/>
          <w:szCs w:val="16"/>
        </w:rPr>
        <w:t>.</w:t>
      </w:r>
    </w:p>
    <w:p w14:paraId="3736B2AA" w14:textId="29011BC0" w:rsidR="000933B6" w:rsidRPr="000933B6" w:rsidRDefault="00247D9E" w:rsidP="000933B6">
      <w:pPr>
        <w:pStyle w:val="References"/>
        <w:spacing w:line="264" w:lineRule="auto"/>
        <w:ind w:left="454" w:hanging="454"/>
        <w:rPr>
          <w:sz w:val="16"/>
          <w:szCs w:val="16"/>
        </w:rPr>
      </w:pPr>
      <w:r>
        <w:rPr>
          <w:sz w:val="16"/>
          <w:szCs w:val="16"/>
        </w:rPr>
        <w:t>10.</w:t>
      </w:r>
      <w:r>
        <w:rPr>
          <w:sz w:val="16"/>
          <w:szCs w:val="16"/>
        </w:rPr>
        <w:tab/>
      </w:r>
      <w:r w:rsidR="000933B6" w:rsidRPr="00B7771D">
        <w:rPr>
          <w:sz w:val="16"/>
          <w:szCs w:val="16"/>
        </w:rPr>
        <w:t xml:space="preserve">Y. Zeng, X. Zhu, Y. Yuan, X. Zhang, S. Ju, </w:t>
      </w:r>
      <w:r w:rsidR="000933B6" w:rsidRPr="00B7771D">
        <w:rPr>
          <w:i/>
          <w:iCs/>
          <w:sz w:val="16"/>
          <w:szCs w:val="16"/>
        </w:rPr>
        <w:t>Sep. Purif. Technol</w:t>
      </w:r>
      <w:r w:rsidR="000933B6" w:rsidRPr="00B7771D">
        <w:rPr>
          <w:sz w:val="16"/>
          <w:szCs w:val="16"/>
        </w:rPr>
        <w:t xml:space="preserve">., </w:t>
      </w:r>
      <w:r w:rsidR="000933B6" w:rsidRPr="00B7771D">
        <w:rPr>
          <w:b/>
          <w:bCs/>
          <w:sz w:val="16"/>
          <w:szCs w:val="16"/>
        </w:rPr>
        <w:t>201</w:t>
      </w:r>
      <w:r w:rsidR="00B7771D" w:rsidRPr="00B7771D">
        <w:rPr>
          <w:b/>
          <w:bCs/>
          <w:sz w:val="16"/>
          <w:szCs w:val="16"/>
        </w:rPr>
        <w:t>2</w:t>
      </w:r>
      <w:r w:rsidR="000933B6" w:rsidRPr="00B7771D">
        <w:rPr>
          <w:sz w:val="16"/>
          <w:szCs w:val="16"/>
        </w:rPr>
        <w:t xml:space="preserve">, </w:t>
      </w:r>
      <w:r w:rsidR="000933B6" w:rsidRPr="00B7771D">
        <w:rPr>
          <w:i/>
          <w:iCs/>
          <w:sz w:val="16"/>
          <w:szCs w:val="16"/>
        </w:rPr>
        <w:t>95</w:t>
      </w:r>
      <w:r w:rsidR="000933B6" w:rsidRPr="00B7771D">
        <w:rPr>
          <w:sz w:val="16"/>
          <w:szCs w:val="16"/>
        </w:rPr>
        <w:t>, 149</w:t>
      </w:r>
      <w:r w:rsidRPr="00B7771D">
        <w:rPr>
          <w:sz w:val="16"/>
          <w:szCs w:val="16"/>
        </w:rPr>
        <w:t>–</w:t>
      </w:r>
      <w:r w:rsidR="000933B6" w:rsidRPr="00B7771D">
        <w:rPr>
          <w:sz w:val="16"/>
          <w:szCs w:val="16"/>
        </w:rPr>
        <w:t>156</w:t>
      </w:r>
      <w:r w:rsidRPr="00B7771D">
        <w:rPr>
          <w:sz w:val="16"/>
          <w:szCs w:val="16"/>
        </w:rPr>
        <w:t>.</w:t>
      </w:r>
      <w:r w:rsidR="00B7771D" w:rsidRPr="00B7771D">
        <w:rPr>
          <w:sz w:val="16"/>
          <w:szCs w:val="16"/>
        </w:rPr>
        <w:t xml:space="preserve"> DOI: 10.1016/j.seppur.2012.04.032</w:t>
      </w:r>
    </w:p>
    <w:p w14:paraId="4870FC19" w14:textId="74052E04" w:rsidR="000933B6" w:rsidRPr="000933B6" w:rsidRDefault="00247D9E" w:rsidP="000933B6">
      <w:pPr>
        <w:pStyle w:val="References"/>
        <w:spacing w:line="264" w:lineRule="auto"/>
        <w:ind w:left="454" w:hanging="454"/>
        <w:rPr>
          <w:sz w:val="16"/>
          <w:szCs w:val="16"/>
        </w:rPr>
      </w:pPr>
      <w:r>
        <w:rPr>
          <w:sz w:val="16"/>
          <w:szCs w:val="16"/>
        </w:rPr>
        <w:t>11.</w:t>
      </w:r>
      <w:r>
        <w:rPr>
          <w:sz w:val="16"/>
          <w:szCs w:val="16"/>
        </w:rPr>
        <w:tab/>
      </w:r>
      <w:r w:rsidR="000933B6" w:rsidRPr="000933B6">
        <w:rPr>
          <w:sz w:val="16"/>
          <w:szCs w:val="16"/>
        </w:rPr>
        <w:t>L.</w:t>
      </w:r>
      <w:r>
        <w:rPr>
          <w:sz w:val="16"/>
          <w:szCs w:val="16"/>
        </w:rPr>
        <w:t xml:space="preserve"> </w:t>
      </w:r>
      <w:r w:rsidR="000933B6" w:rsidRPr="000933B6">
        <w:rPr>
          <w:sz w:val="16"/>
          <w:szCs w:val="16"/>
        </w:rPr>
        <w:t>S. Ettre, J.</w:t>
      </w:r>
      <w:r>
        <w:rPr>
          <w:sz w:val="16"/>
          <w:szCs w:val="16"/>
        </w:rPr>
        <w:t xml:space="preserve"> </w:t>
      </w:r>
      <w:r w:rsidR="000933B6" w:rsidRPr="000933B6">
        <w:rPr>
          <w:sz w:val="16"/>
          <w:szCs w:val="16"/>
        </w:rPr>
        <w:t>V.</w:t>
      </w:r>
      <w:r>
        <w:rPr>
          <w:sz w:val="16"/>
          <w:szCs w:val="16"/>
        </w:rPr>
        <w:t xml:space="preserve"> </w:t>
      </w:r>
      <w:r w:rsidR="000933B6" w:rsidRPr="000933B6">
        <w:rPr>
          <w:sz w:val="16"/>
          <w:szCs w:val="16"/>
        </w:rPr>
        <w:t xml:space="preserve">Hinshaw, </w:t>
      </w:r>
      <w:r w:rsidR="000933B6" w:rsidRPr="00247D9E">
        <w:rPr>
          <w:i/>
          <w:iCs/>
          <w:sz w:val="16"/>
          <w:szCs w:val="16"/>
        </w:rPr>
        <w:t>Basic Relationships of Gas Chromatography</w:t>
      </w:r>
      <w:r>
        <w:rPr>
          <w:sz w:val="16"/>
          <w:szCs w:val="16"/>
        </w:rPr>
        <w:t>,</w:t>
      </w:r>
      <w:r w:rsidR="000933B6" w:rsidRPr="000933B6">
        <w:rPr>
          <w:sz w:val="16"/>
          <w:szCs w:val="16"/>
        </w:rPr>
        <w:t xml:space="preserve"> Advanstar</w:t>
      </w:r>
      <w:r>
        <w:rPr>
          <w:sz w:val="16"/>
          <w:szCs w:val="16"/>
        </w:rPr>
        <w:t xml:space="preserve">, </w:t>
      </w:r>
      <w:r w:rsidR="000933B6" w:rsidRPr="000933B6">
        <w:rPr>
          <w:sz w:val="16"/>
          <w:szCs w:val="16"/>
        </w:rPr>
        <w:t xml:space="preserve">Cleveland, </w:t>
      </w:r>
      <w:r w:rsidRPr="00247D9E">
        <w:rPr>
          <w:b/>
          <w:bCs/>
          <w:sz w:val="16"/>
          <w:szCs w:val="16"/>
        </w:rPr>
        <w:t>1</w:t>
      </w:r>
      <w:r w:rsidR="000933B6" w:rsidRPr="000933B6">
        <w:rPr>
          <w:b/>
          <w:bCs/>
          <w:sz w:val="16"/>
          <w:szCs w:val="16"/>
        </w:rPr>
        <w:t>993</w:t>
      </w:r>
      <w:r w:rsidR="000933B6" w:rsidRPr="000933B6">
        <w:rPr>
          <w:sz w:val="16"/>
          <w:szCs w:val="16"/>
        </w:rPr>
        <w:t xml:space="preserve">, </w:t>
      </w:r>
      <w:r>
        <w:rPr>
          <w:sz w:val="16"/>
          <w:szCs w:val="16"/>
        </w:rPr>
        <w:t xml:space="preserve">pp. </w:t>
      </w:r>
      <w:r w:rsidR="000933B6" w:rsidRPr="000933B6">
        <w:rPr>
          <w:sz w:val="16"/>
          <w:szCs w:val="16"/>
        </w:rPr>
        <w:t>122–123</w:t>
      </w:r>
      <w:r>
        <w:rPr>
          <w:sz w:val="16"/>
          <w:szCs w:val="16"/>
        </w:rPr>
        <w:t>.</w:t>
      </w:r>
    </w:p>
    <w:p w14:paraId="31842AD7" w14:textId="74783582" w:rsidR="000933B6" w:rsidRPr="000933B6" w:rsidRDefault="00247D9E" w:rsidP="000933B6">
      <w:pPr>
        <w:pStyle w:val="References"/>
        <w:spacing w:line="264" w:lineRule="auto"/>
        <w:ind w:left="454" w:hanging="454"/>
        <w:rPr>
          <w:sz w:val="16"/>
          <w:szCs w:val="16"/>
        </w:rPr>
      </w:pPr>
      <w:r>
        <w:rPr>
          <w:sz w:val="16"/>
          <w:szCs w:val="16"/>
        </w:rPr>
        <w:t>12.</w:t>
      </w:r>
      <w:r>
        <w:rPr>
          <w:sz w:val="16"/>
          <w:szCs w:val="16"/>
        </w:rPr>
        <w:tab/>
      </w:r>
      <w:r w:rsidR="000933B6" w:rsidRPr="000933B6">
        <w:rPr>
          <w:sz w:val="16"/>
          <w:szCs w:val="16"/>
        </w:rPr>
        <w:t>S.</w:t>
      </w:r>
      <w:r>
        <w:rPr>
          <w:sz w:val="16"/>
          <w:szCs w:val="16"/>
        </w:rPr>
        <w:t xml:space="preserve"> </w:t>
      </w:r>
      <w:r w:rsidR="000933B6" w:rsidRPr="000933B6">
        <w:rPr>
          <w:sz w:val="16"/>
          <w:szCs w:val="16"/>
        </w:rPr>
        <w:t>Mohammadi-Jam, K.</w:t>
      </w:r>
      <w:r>
        <w:rPr>
          <w:sz w:val="16"/>
          <w:szCs w:val="16"/>
        </w:rPr>
        <w:t xml:space="preserve"> </w:t>
      </w:r>
      <w:r w:rsidR="000933B6" w:rsidRPr="000933B6">
        <w:rPr>
          <w:sz w:val="16"/>
          <w:szCs w:val="16"/>
        </w:rPr>
        <w:t xml:space="preserve">E. Waters, </w:t>
      </w:r>
      <w:r w:rsidR="000933B6" w:rsidRPr="000933B6">
        <w:rPr>
          <w:i/>
          <w:iCs/>
          <w:sz w:val="16"/>
          <w:szCs w:val="16"/>
        </w:rPr>
        <w:t>Adv. Colloid Interf</w:t>
      </w:r>
      <w:r w:rsidR="003B5025">
        <w:rPr>
          <w:i/>
          <w:iCs/>
          <w:sz w:val="16"/>
          <w:szCs w:val="16"/>
        </w:rPr>
        <w:t>ace</w:t>
      </w:r>
      <w:r w:rsidR="000933B6" w:rsidRPr="000933B6">
        <w:rPr>
          <w:i/>
          <w:iCs/>
          <w:sz w:val="16"/>
          <w:szCs w:val="16"/>
        </w:rPr>
        <w:t xml:space="preserve"> Sci.</w:t>
      </w:r>
      <w:r>
        <w:rPr>
          <w:sz w:val="16"/>
          <w:szCs w:val="16"/>
        </w:rPr>
        <w:t>,</w:t>
      </w:r>
      <w:r w:rsidR="000933B6" w:rsidRPr="000933B6">
        <w:rPr>
          <w:sz w:val="16"/>
          <w:szCs w:val="16"/>
        </w:rPr>
        <w:t xml:space="preserve"> </w:t>
      </w:r>
      <w:r w:rsidR="000933B6" w:rsidRPr="000933B6">
        <w:rPr>
          <w:b/>
          <w:bCs/>
          <w:sz w:val="16"/>
          <w:szCs w:val="16"/>
        </w:rPr>
        <w:t>2014</w:t>
      </w:r>
      <w:r w:rsidR="000933B6" w:rsidRPr="000933B6">
        <w:rPr>
          <w:sz w:val="16"/>
          <w:szCs w:val="16"/>
        </w:rPr>
        <w:t xml:space="preserve">, </w:t>
      </w:r>
      <w:r w:rsidR="000933B6" w:rsidRPr="00247D9E">
        <w:rPr>
          <w:i/>
          <w:iCs/>
          <w:sz w:val="16"/>
          <w:szCs w:val="16"/>
        </w:rPr>
        <w:t>212</w:t>
      </w:r>
      <w:r w:rsidR="000933B6" w:rsidRPr="000933B6">
        <w:rPr>
          <w:sz w:val="16"/>
          <w:szCs w:val="16"/>
        </w:rPr>
        <w:t>, 21</w:t>
      </w:r>
      <w:r>
        <w:rPr>
          <w:sz w:val="16"/>
          <w:szCs w:val="16"/>
        </w:rPr>
        <w:t>–</w:t>
      </w:r>
      <w:r w:rsidR="000933B6" w:rsidRPr="000933B6">
        <w:rPr>
          <w:sz w:val="16"/>
          <w:szCs w:val="16"/>
        </w:rPr>
        <w:t xml:space="preserve">44. </w:t>
      </w:r>
      <w:r>
        <w:rPr>
          <w:sz w:val="16"/>
          <w:szCs w:val="16"/>
        </w:rPr>
        <w:t xml:space="preserve">DOI: </w:t>
      </w:r>
      <w:r w:rsidR="000933B6" w:rsidRPr="000933B6">
        <w:rPr>
          <w:sz w:val="16"/>
          <w:szCs w:val="16"/>
        </w:rPr>
        <w:t>10.1016/j.cis.2014.07.002</w:t>
      </w:r>
    </w:p>
    <w:p w14:paraId="784DCAA9" w14:textId="77777777" w:rsidR="00BA6BD4" w:rsidRPr="00F44026" w:rsidRDefault="00BA6BD4" w:rsidP="00BA6BD4">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BA6BD4" w:rsidRPr="003A13B7" w14:paraId="0FD45D4F" w14:textId="77777777" w:rsidTr="00FF7402">
        <w:trPr>
          <w:jc w:val="right"/>
        </w:trPr>
        <w:tc>
          <w:tcPr>
            <w:tcW w:w="3255" w:type="dxa"/>
            <w:vAlign w:val="center"/>
          </w:tcPr>
          <w:p w14:paraId="5B64ABB4" w14:textId="77777777" w:rsidR="00BA6BD4" w:rsidRPr="00F44026" w:rsidRDefault="00BA6BD4" w:rsidP="00FF7402">
            <w:pPr>
              <w:jc w:val="center"/>
              <w:rPr>
                <w:rFonts w:ascii="Arial" w:hAnsi="Arial" w:cs="Arial"/>
                <w:color w:val="263238"/>
                <w:shd w:val="clear" w:color="auto" w:fill="FFFFFF"/>
                <w:lang w:val="en-US"/>
              </w:rPr>
            </w:pPr>
            <w:r w:rsidRPr="00F44026">
              <w:rPr>
                <w:rFonts w:ascii="Times New Roman" w:hAnsi="Times New Roman" w:cs="Times New Roman"/>
                <w:b/>
                <w:bCs/>
                <w:sz w:val="16"/>
                <w:szCs w:val="16"/>
                <w:lang w:val="it-IT"/>
              </w:rPr>
              <w:br w:type="column"/>
            </w:r>
            <w:r w:rsidRPr="00F44026">
              <w:rPr>
                <w:sz w:val="16"/>
                <w:szCs w:val="16"/>
                <w:lang w:val="en-US"/>
              </w:rPr>
              <w:t>This article is licensed under a Creative Commons Attribution-NonCommercial 4.0 International License.</w:t>
            </w:r>
          </w:p>
        </w:tc>
        <w:tc>
          <w:tcPr>
            <w:tcW w:w="1236" w:type="dxa"/>
            <w:vAlign w:val="center"/>
          </w:tcPr>
          <w:p w14:paraId="401C1166" w14:textId="77777777" w:rsidR="00BA6BD4" w:rsidRPr="003A13B7" w:rsidRDefault="00BA6BD4" w:rsidP="00FF7402">
            <w:pPr>
              <w:autoSpaceDE w:val="0"/>
              <w:autoSpaceDN w:val="0"/>
              <w:adjustRightInd w:val="0"/>
              <w:jc w:val="center"/>
              <w:rPr>
                <w:rFonts w:ascii="Arial" w:hAnsi="Arial" w:cs="Arial"/>
                <w:color w:val="263238"/>
                <w:sz w:val="18"/>
                <w:szCs w:val="18"/>
                <w:shd w:val="clear" w:color="auto" w:fill="FFFFFF"/>
                <w:lang w:val="en-US"/>
              </w:rPr>
            </w:pPr>
            <w:r w:rsidRPr="00F44026">
              <w:rPr>
                <w:rFonts w:ascii="Times New Roman" w:hAnsi="Times New Roman"/>
                <w:noProof/>
                <w:sz w:val="16"/>
                <w:szCs w:val="16"/>
              </w:rPr>
              <w:drawing>
                <wp:inline distT="0" distB="0" distL="0" distR="0" wp14:anchorId="329A631B" wp14:editId="67D8C75E">
                  <wp:extent cx="620466" cy="217152"/>
                  <wp:effectExtent l="19050" t="0" r="8184" b="0"/>
                  <wp:docPr id="4" name="Рисунок 125" descr="D:\Rinat\Rinat\доки\журнал\cc-by-nc.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6"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546995D4" w14:textId="268CA58B" w:rsidR="00166162" w:rsidRPr="000933B6" w:rsidRDefault="00166162" w:rsidP="00BA6BD4">
      <w:pPr>
        <w:pStyle w:val="Header1"/>
        <w:spacing w:before="0" w:after="0"/>
        <w:jc w:val="both"/>
        <w:rPr>
          <w:rFonts w:ascii="Times New Roman" w:hAnsi="Times New Roman" w:cs="Times New Roman"/>
          <w:b w:val="0"/>
          <w:bCs/>
          <w:sz w:val="16"/>
          <w:szCs w:val="16"/>
        </w:rPr>
      </w:pPr>
    </w:p>
    <w:sectPr w:rsidR="00166162" w:rsidRPr="000933B6"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0130D102" w:rsidR="007A3351" w:rsidRPr="00A6442F" w:rsidRDefault="007A3351" w:rsidP="007A3351">
    <w:pPr>
      <w:pStyle w:val="af"/>
      <w:jc w:val="center"/>
      <w:rPr>
        <w:rStyle w:val="MainText0"/>
        <w:i/>
      </w:rPr>
    </w:pPr>
    <w:r w:rsidRPr="00622DF1">
      <w:rPr>
        <w:rStyle w:val="MainText0"/>
      </w:rPr>
      <w:t>A.</w:t>
    </w:r>
    <w:r w:rsidR="00916E1F" w:rsidRPr="00622DF1">
      <w:rPr>
        <w:rStyle w:val="MainText0"/>
      </w:rPr>
      <w:t xml:space="preserve"> </w:t>
    </w:r>
    <w:r w:rsidR="00EB4EDD">
      <w:rPr>
        <w:rStyle w:val="MainText0"/>
      </w:rPr>
      <w:t xml:space="preserve">Yu. Kanateva </w:t>
    </w:r>
    <w:r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sidR="00EB4EDD">
      <w:rPr>
        <w:rStyle w:val="MainText0"/>
        <w:b/>
      </w:rPr>
      <w:t>25</w:t>
    </w:r>
    <w:r w:rsidR="00DF4999" w:rsidRPr="00110678">
      <w:rPr>
        <w:rStyle w:val="MainText0"/>
      </w:rPr>
      <w:t xml:space="preserve">, </w:t>
    </w:r>
    <w:r w:rsidR="00EB4EDD">
      <w:rPr>
        <w:rStyle w:val="MainText0"/>
        <w:i/>
        <w:iCs/>
      </w:rPr>
      <w:t>8</w:t>
    </w:r>
    <w:r w:rsidR="00DF4999" w:rsidRPr="005C7369">
      <w:rPr>
        <w:rStyle w:val="MainText0"/>
        <w:i/>
        <w:iCs/>
      </w:rPr>
      <w:t xml:space="preserve"> (</w:t>
    </w:r>
    <w:r w:rsidR="00EB4EDD">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5887858">
    <w:abstractNumId w:val="2"/>
  </w:num>
  <w:num w:numId="2" w16cid:durableId="1699624575">
    <w:abstractNumId w:val="4"/>
  </w:num>
  <w:num w:numId="3" w16cid:durableId="1707563409">
    <w:abstractNumId w:val="1"/>
  </w:num>
  <w:num w:numId="4" w16cid:durableId="1217469231">
    <w:abstractNumId w:val="6"/>
  </w:num>
  <w:num w:numId="5" w16cid:durableId="634218793">
    <w:abstractNumId w:val="7"/>
  </w:num>
  <w:num w:numId="6" w16cid:durableId="1144810548">
    <w:abstractNumId w:val="8"/>
  </w:num>
  <w:num w:numId="7" w16cid:durableId="680819276">
    <w:abstractNumId w:val="0"/>
  </w:num>
  <w:num w:numId="8" w16cid:durableId="20059413">
    <w:abstractNumId w:val="3"/>
  </w:num>
  <w:num w:numId="9" w16cid:durableId="1729188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2C07"/>
    <w:rsid w:val="00064622"/>
    <w:rsid w:val="00067EC7"/>
    <w:rsid w:val="00071D12"/>
    <w:rsid w:val="00080691"/>
    <w:rsid w:val="0008088D"/>
    <w:rsid w:val="000933B6"/>
    <w:rsid w:val="00094E0A"/>
    <w:rsid w:val="000B5E27"/>
    <w:rsid w:val="000E1B06"/>
    <w:rsid w:val="00133214"/>
    <w:rsid w:val="001447F7"/>
    <w:rsid w:val="00161894"/>
    <w:rsid w:val="00166162"/>
    <w:rsid w:val="00170221"/>
    <w:rsid w:val="00172ED8"/>
    <w:rsid w:val="00175788"/>
    <w:rsid w:val="001B0919"/>
    <w:rsid w:val="001B31A1"/>
    <w:rsid w:val="001B6750"/>
    <w:rsid w:val="001C4212"/>
    <w:rsid w:val="001C434A"/>
    <w:rsid w:val="001D31C4"/>
    <w:rsid w:val="001E2F94"/>
    <w:rsid w:val="001E7945"/>
    <w:rsid w:val="00232FBC"/>
    <w:rsid w:val="00247D9E"/>
    <w:rsid w:val="002500A5"/>
    <w:rsid w:val="00265871"/>
    <w:rsid w:val="002B4CF6"/>
    <w:rsid w:val="002D6411"/>
    <w:rsid w:val="002E1A35"/>
    <w:rsid w:val="0031578F"/>
    <w:rsid w:val="00321C31"/>
    <w:rsid w:val="00365893"/>
    <w:rsid w:val="003A22AD"/>
    <w:rsid w:val="003A493E"/>
    <w:rsid w:val="003B067D"/>
    <w:rsid w:val="003B5025"/>
    <w:rsid w:val="003E2893"/>
    <w:rsid w:val="004218ED"/>
    <w:rsid w:val="00427E5A"/>
    <w:rsid w:val="00436D4B"/>
    <w:rsid w:val="00440577"/>
    <w:rsid w:val="0044152E"/>
    <w:rsid w:val="00463737"/>
    <w:rsid w:val="004A44BC"/>
    <w:rsid w:val="004A5676"/>
    <w:rsid w:val="004B2604"/>
    <w:rsid w:val="004C0411"/>
    <w:rsid w:val="004C27B1"/>
    <w:rsid w:val="004F6702"/>
    <w:rsid w:val="00502985"/>
    <w:rsid w:val="0051734E"/>
    <w:rsid w:val="00524995"/>
    <w:rsid w:val="0052633D"/>
    <w:rsid w:val="00530F0A"/>
    <w:rsid w:val="00533D73"/>
    <w:rsid w:val="00534762"/>
    <w:rsid w:val="005707C6"/>
    <w:rsid w:val="0059405C"/>
    <w:rsid w:val="005C7369"/>
    <w:rsid w:val="005E76C3"/>
    <w:rsid w:val="00622DF1"/>
    <w:rsid w:val="0065245B"/>
    <w:rsid w:val="0067520C"/>
    <w:rsid w:val="00677DFF"/>
    <w:rsid w:val="00683408"/>
    <w:rsid w:val="006846FC"/>
    <w:rsid w:val="00690519"/>
    <w:rsid w:val="006C3FC9"/>
    <w:rsid w:val="006C7E05"/>
    <w:rsid w:val="006E0C73"/>
    <w:rsid w:val="006F3739"/>
    <w:rsid w:val="00706F05"/>
    <w:rsid w:val="007200C3"/>
    <w:rsid w:val="0072036A"/>
    <w:rsid w:val="0072037E"/>
    <w:rsid w:val="0074509F"/>
    <w:rsid w:val="007516EA"/>
    <w:rsid w:val="00757E72"/>
    <w:rsid w:val="0076576F"/>
    <w:rsid w:val="0078720C"/>
    <w:rsid w:val="007A3351"/>
    <w:rsid w:val="007D3F5F"/>
    <w:rsid w:val="00807CE6"/>
    <w:rsid w:val="008114FB"/>
    <w:rsid w:val="008202CB"/>
    <w:rsid w:val="00820A77"/>
    <w:rsid w:val="00842E5C"/>
    <w:rsid w:val="008622A1"/>
    <w:rsid w:val="00863A30"/>
    <w:rsid w:val="008744F8"/>
    <w:rsid w:val="00875175"/>
    <w:rsid w:val="0089304F"/>
    <w:rsid w:val="00894EE2"/>
    <w:rsid w:val="008A02BF"/>
    <w:rsid w:val="008A6A35"/>
    <w:rsid w:val="008C6630"/>
    <w:rsid w:val="008C68C0"/>
    <w:rsid w:val="008D2BCF"/>
    <w:rsid w:val="008E062B"/>
    <w:rsid w:val="008E5BD6"/>
    <w:rsid w:val="00904B7F"/>
    <w:rsid w:val="00904CDC"/>
    <w:rsid w:val="00913222"/>
    <w:rsid w:val="00916E1F"/>
    <w:rsid w:val="00917632"/>
    <w:rsid w:val="00930DA8"/>
    <w:rsid w:val="009331A2"/>
    <w:rsid w:val="00936CA2"/>
    <w:rsid w:val="009415DA"/>
    <w:rsid w:val="009667F3"/>
    <w:rsid w:val="00990B19"/>
    <w:rsid w:val="009A6DAE"/>
    <w:rsid w:val="009B1ECD"/>
    <w:rsid w:val="00A231BA"/>
    <w:rsid w:val="00A30052"/>
    <w:rsid w:val="00A6442F"/>
    <w:rsid w:val="00A65266"/>
    <w:rsid w:val="00A76F33"/>
    <w:rsid w:val="00AB114E"/>
    <w:rsid w:val="00AE5C92"/>
    <w:rsid w:val="00AE7B08"/>
    <w:rsid w:val="00AF7132"/>
    <w:rsid w:val="00B04EC9"/>
    <w:rsid w:val="00B0720A"/>
    <w:rsid w:val="00B23601"/>
    <w:rsid w:val="00B33208"/>
    <w:rsid w:val="00B41BD7"/>
    <w:rsid w:val="00B5202A"/>
    <w:rsid w:val="00B57A73"/>
    <w:rsid w:val="00B7771D"/>
    <w:rsid w:val="00B8395F"/>
    <w:rsid w:val="00B9130D"/>
    <w:rsid w:val="00BA6BD4"/>
    <w:rsid w:val="00BB1D07"/>
    <w:rsid w:val="00BB3302"/>
    <w:rsid w:val="00BE4FEF"/>
    <w:rsid w:val="00C04850"/>
    <w:rsid w:val="00C25E43"/>
    <w:rsid w:val="00C34CBD"/>
    <w:rsid w:val="00C5387C"/>
    <w:rsid w:val="00C94AD8"/>
    <w:rsid w:val="00CA2B55"/>
    <w:rsid w:val="00CA605E"/>
    <w:rsid w:val="00CB6B24"/>
    <w:rsid w:val="00CC294A"/>
    <w:rsid w:val="00CD0185"/>
    <w:rsid w:val="00CD128C"/>
    <w:rsid w:val="00CD6FAC"/>
    <w:rsid w:val="00D041D8"/>
    <w:rsid w:val="00D163D6"/>
    <w:rsid w:val="00D33D37"/>
    <w:rsid w:val="00D36C9F"/>
    <w:rsid w:val="00D446B0"/>
    <w:rsid w:val="00D6701F"/>
    <w:rsid w:val="00D71473"/>
    <w:rsid w:val="00D73F89"/>
    <w:rsid w:val="00D761F7"/>
    <w:rsid w:val="00D915A0"/>
    <w:rsid w:val="00DA0A72"/>
    <w:rsid w:val="00DA73DC"/>
    <w:rsid w:val="00DB7800"/>
    <w:rsid w:val="00DE13C9"/>
    <w:rsid w:val="00DE5A7B"/>
    <w:rsid w:val="00DF0105"/>
    <w:rsid w:val="00DF1FCB"/>
    <w:rsid w:val="00DF4999"/>
    <w:rsid w:val="00E02D6B"/>
    <w:rsid w:val="00E17353"/>
    <w:rsid w:val="00E416FF"/>
    <w:rsid w:val="00E53C51"/>
    <w:rsid w:val="00E60451"/>
    <w:rsid w:val="00E76E65"/>
    <w:rsid w:val="00E81EDE"/>
    <w:rsid w:val="00E95346"/>
    <w:rsid w:val="00E96CC8"/>
    <w:rsid w:val="00EA57CC"/>
    <w:rsid w:val="00EA6C3B"/>
    <w:rsid w:val="00EB2FCC"/>
    <w:rsid w:val="00EB42D6"/>
    <w:rsid w:val="00EB4EDD"/>
    <w:rsid w:val="00EB5B4B"/>
    <w:rsid w:val="00EB5D0C"/>
    <w:rsid w:val="00EE0429"/>
    <w:rsid w:val="00EE4066"/>
    <w:rsid w:val="00EF625A"/>
    <w:rsid w:val="00F270F5"/>
    <w:rsid w:val="00F32DF4"/>
    <w:rsid w:val="00F376FB"/>
    <w:rsid w:val="00F44BBC"/>
    <w:rsid w:val="00F528D1"/>
    <w:rsid w:val="00F6796A"/>
    <w:rsid w:val="00F7403C"/>
    <w:rsid w:val="00F86864"/>
    <w:rsid w:val="00F94740"/>
    <w:rsid w:val="00F95280"/>
    <w:rsid w:val="00FA0CD1"/>
    <w:rsid w:val="00FB4DBE"/>
    <w:rsid w:val="00FD2F8B"/>
    <w:rsid w:val="00FE45D6"/>
    <w:rsid w:val="00FE7650"/>
    <w:rsid w:val="00FF5A8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D31C4"/>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styleId="af4">
    <w:name w:val="Unresolved Mention"/>
    <w:basedOn w:val="a0"/>
    <w:uiPriority w:val="99"/>
    <w:semiHidden/>
    <w:unhideWhenUsed/>
    <w:rsid w:val="006C3FC9"/>
    <w:rPr>
      <w:color w:val="605E5C"/>
      <w:shd w:val="clear" w:color="auto" w:fill="E1DFDD"/>
    </w:rPr>
  </w:style>
  <w:style w:type="table" w:customStyle="1" w:styleId="13">
    <w:name w:val="Сетка таблицы1"/>
    <w:basedOn w:val="a1"/>
    <w:next w:val="a1"/>
    <w:uiPriority w:val="59"/>
    <w:rsid w:val="00BA6BD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2035</Words>
  <Characters>11606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112</cp:revision>
  <dcterms:created xsi:type="dcterms:W3CDTF">2018-09-10T13:23:00Z</dcterms:created>
  <dcterms:modified xsi:type="dcterms:W3CDTF">2025-07-26T19:52:00Z</dcterms:modified>
</cp:coreProperties>
</file>