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7"/>
        <w:gridCol w:w="2518"/>
        <w:gridCol w:w="4668"/>
      </w:tblGrid>
      <w:tr w:rsidR="008622A1" w:rsidRPr="00113FAC" w:rsidTr="00330FE0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330FE0">
            <w:pPr>
              <w:pStyle w:val="MainText"/>
              <w:ind w:firstLine="4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330FE0" w:rsidP="00330FE0">
            <w:pPr>
              <w:pStyle w:val="11"/>
            </w:pPr>
            <w:r>
              <w:t>RING-OPENING METATHESIS POLYMERIZATION OF</w:t>
            </w:r>
            <w:r>
              <w:br/>
              <w:t>5-ETHYL-2-NORBORNENE IN THE PRESENCE</w:t>
            </w:r>
            <w:r w:rsidR="00113FAC">
              <w:t xml:space="preserve"> OF DIMETHYL MALEATE AS A CHAIN</w:t>
            </w:r>
            <w:r w:rsidR="00113FAC" w:rsidRPr="00113FAC">
              <w:t>-</w:t>
            </w:r>
            <w:r>
              <w:t>TRANSFER AGENT</w:t>
            </w:r>
          </w:p>
        </w:tc>
      </w:tr>
      <w:tr w:rsidR="00D71473" w:rsidRPr="00113FAC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330FE0">
              <w:rPr>
                <w:b/>
              </w:rPr>
              <w:t>25</w:t>
            </w:r>
            <w:r w:rsidRPr="00941F8C">
              <w:t xml:space="preserve">, </w:t>
            </w:r>
            <w:r w:rsidR="00330FE0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330FE0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330FE0">
              <w:rPr>
                <w:i/>
                <w:szCs w:val="14"/>
                <w:highlight w:val="green"/>
              </w:rPr>
              <w:t xml:space="preserve">Received </w:t>
            </w:r>
            <w:r w:rsidR="008E062B" w:rsidRPr="00330FE0">
              <w:rPr>
                <w:i/>
                <w:szCs w:val="14"/>
                <w:highlight w:val="green"/>
              </w:rPr>
              <w:t>XX</w:t>
            </w:r>
            <w:r w:rsidRPr="00330FE0">
              <w:rPr>
                <w:i/>
                <w:szCs w:val="14"/>
                <w:highlight w:val="green"/>
              </w:rPr>
              <w:t xml:space="preserve"> </w:t>
            </w:r>
            <w:r w:rsidR="008E062B" w:rsidRPr="00330FE0">
              <w:rPr>
                <w:i/>
                <w:szCs w:val="14"/>
                <w:highlight w:val="green"/>
              </w:rPr>
              <w:t>Month</w:t>
            </w:r>
            <w:r w:rsidRPr="00330FE0">
              <w:rPr>
                <w:i/>
                <w:szCs w:val="14"/>
                <w:highlight w:val="green"/>
              </w:rPr>
              <w:t xml:space="preserve"> 2</w:t>
            </w:r>
            <w:r w:rsidR="008E062B" w:rsidRPr="00330FE0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330FE0">
              <w:rPr>
                <w:i/>
                <w:szCs w:val="14"/>
              </w:rPr>
              <w:t xml:space="preserve">8 February </w:t>
            </w:r>
            <w:r w:rsidR="008E062B">
              <w:rPr>
                <w:i/>
                <w:szCs w:val="14"/>
              </w:rPr>
              <w:t>20</w:t>
            </w:r>
            <w:r w:rsidR="00330FE0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330FE0" w:rsidP="00330FE0">
            <w:pPr>
              <w:pStyle w:val="AuthorNames"/>
              <w:ind w:left="0"/>
              <w:contextualSpacing w:val="0"/>
            </w:pPr>
            <w:r w:rsidRPr="00C87275">
              <w:t xml:space="preserve">V. </w:t>
            </w:r>
            <w:r>
              <w:t>R.</w:t>
            </w:r>
            <w:r w:rsidRPr="00C87275">
              <w:t xml:space="preserve"> Nazemutdinova</w:t>
            </w:r>
            <w:r w:rsidRPr="00D71473">
              <w:t xml:space="preserve">, </w:t>
            </w:r>
            <w:r w:rsidRPr="00C87275">
              <w:t>K</w:t>
            </w:r>
            <w:r>
              <w:t>. S.</w:t>
            </w:r>
            <w:r w:rsidRPr="00C87275">
              <w:t xml:space="preserve"> Sadovnikov, A</w:t>
            </w:r>
            <w:r>
              <w:t>. I.</w:t>
            </w:r>
            <w:r w:rsidRPr="00C87275">
              <w:t xml:space="preserve"> Wozniak</w:t>
            </w:r>
            <w:r>
              <w:t>,*</w:t>
            </w:r>
            <w:r>
              <w:br/>
            </w:r>
            <w:r w:rsidRPr="00C87275">
              <w:t>A</w:t>
            </w:r>
            <w:r>
              <w:t>. A.</w:t>
            </w:r>
            <w:r w:rsidRPr="00C87275">
              <w:t xml:space="preserve"> Morontsev</w:t>
            </w:r>
            <w:r>
              <w:t>,*</w:t>
            </w:r>
            <w:r w:rsidRPr="00C87275">
              <w:t xml:space="preserve"> </w:t>
            </w:r>
            <w:r>
              <w:t xml:space="preserve">and </w:t>
            </w:r>
            <w:r w:rsidRPr="00C87275">
              <w:t>M</w:t>
            </w:r>
            <w:r>
              <w:t xml:space="preserve">. </w:t>
            </w:r>
            <w:r w:rsidRPr="00C87275">
              <w:t>V. Bermeshev</w:t>
            </w:r>
          </w:p>
        </w:tc>
      </w:tr>
      <w:tr w:rsidR="00D71473" w:rsidRPr="00113FAC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Default="00330FE0" w:rsidP="00330FE0">
            <w:pPr>
              <w:pStyle w:val="Affiliations"/>
              <w:spacing w:before="120"/>
              <w:ind w:left="0"/>
            </w:pPr>
            <w:r w:rsidRPr="006170FC">
              <w:t>Topchiev Institute of Petrochemical Synthesis</w:t>
            </w:r>
            <w:r>
              <w:t>, Russian Academy of Sciences,</w:t>
            </w:r>
            <w:r>
              <w:br/>
            </w:r>
            <w:r>
              <w:rPr>
                <w:rStyle w:val="rynqvb"/>
              </w:rPr>
              <w:t xml:space="preserve">Leninskii pr. 29, </w:t>
            </w:r>
            <w:r w:rsidRPr="006170FC">
              <w:t xml:space="preserve">Moscow, </w:t>
            </w:r>
            <w:r>
              <w:t xml:space="preserve">119991 </w:t>
            </w:r>
            <w:r w:rsidRPr="006170FC">
              <w:t>Russia</w:t>
            </w:r>
          </w:p>
        </w:tc>
      </w:tr>
      <w:tr w:rsidR="00CD6FAC" w:rsidRPr="00330FE0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330FE0" w:rsidP="00113FAC">
            <w:pPr>
              <w:pStyle w:val="MainText"/>
              <w:ind w:firstLine="284"/>
            </w:pPr>
            <w:r w:rsidRPr="008E3F30">
              <w:t>Th</w:t>
            </w:r>
            <w:r w:rsidR="006620F2">
              <w:t xml:space="preserve">is work deals with </w:t>
            </w:r>
            <w:r w:rsidRPr="008E3F30">
              <w:t xml:space="preserve">the synthesis of a </w:t>
            </w:r>
            <w:proofErr w:type="spellStart"/>
            <w:r w:rsidRPr="008E3F30">
              <w:t>telehelic</w:t>
            </w:r>
            <w:proofErr w:type="spellEnd"/>
            <w:r w:rsidRPr="008E3F30">
              <w:t xml:space="preserve"> metathesis </w:t>
            </w:r>
            <w:proofErr w:type="gramStart"/>
            <w:r w:rsidRPr="008E3F30">
              <w:t>poly(</w:t>
            </w:r>
            <w:proofErr w:type="gramEnd"/>
            <w:r w:rsidRPr="008E3F30">
              <w:t>5-ethyl-2-norbornene) (poly(</w:t>
            </w:r>
            <w:proofErr w:type="spellStart"/>
            <w:r w:rsidRPr="008E3F30">
              <w:t>EtNB</w:t>
            </w:r>
            <w:proofErr w:type="spellEnd"/>
            <w:r w:rsidRPr="008E3F30">
              <w:t>)) ob</w:t>
            </w:r>
            <w:r w:rsidR="006620F2">
              <w:t>tained under the action of the second-</w:t>
            </w:r>
            <w:r w:rsidRPr="008E3F30">
              <w:t xml:space="preserve">generation Grubbs catalyst in the presence of </w:t>
            </w:r>
            <w:proofErr w:type="spellStart"/>
            <w:r w:rsidRPr="008E3F30">
              <w:t>dimethyl</w:t>
            </w:r>
            <w:proofErr w:type="spellEnd"/>
            <w:r w:rsidRPr="008E3F30">
              <w:t xml:space="preserve"> </w:t>
            </w:r>
            <w:proofErr w:type="spellStart"/>
            <w:r w:rsidRPr="008E3F30">
              <w:t>maleate</w:t>
            </w:r>
            <w:proofErr w:type="spellEnd"/>
            <w:r w:rsidRPr="008E3F30">
              <w:t xml:space="preserve"> acting as a chain</w:t>
            </w:r>
            <w:r w:rsidR="006620F2">
              <w:t>-</w:t>
            </w:r>
            <w:r w:rsidRPr="008E3F30">
              <w:t>transfer agent.</w:t>
            </w:r>
            <w:r w:rsidR="006620F2">
              <w:t xml:space="preserve"> The structure</w:t>
            </w:r>
            <w:r w:rsidR="00113FAC">
              <w:t>s</w:t>
            </w:r>
            <w:r w:rsidR="006620F2">
              <w:t xml:space="preserve"> of the products w</w:t>
            </w:r>
            <w:r w:rsidR="00113FAC">
              <w:t>ere</w:t>
            </w:r>
            <w:r w:rsidRPr="008E3F30">
              <w:t xml:space="preserve"> confirmed by NMR and IR spectroscopy. The effect of the conditions </w:t>
            </w:r>
            <w:r w:rsidR="006620F2">
              <w:t xml:space="preserve">for </w:t>
            </w:r>
            <w:r w:rsidR="006620F2" w:rsidRPr="008E3F30">
              <w:t xml:space="preserve">synthesis </w:t>
            </w:r>
            <w:r w:rsidRPr="008E3F30">
              <w:t xml:space="preserve">of </w:t>
            </w:r>
            <w:proofErr w:type="gramStart"/>
            <w:r w:rsidRPr="008E3F30">
              <w:t>poly(</w:t>
            </w:r>
            <w:proofErr w:type="spellStart"/>
            <w:proofErr w:type="gramEnd"/>
            <w:r w:rsidRPr="008E3F30">
              <w:t>EtNB</w:t>
            </w:r>
            <w:proofErr w:type="spellEnd"/>
            <w:r w:rsidRPr="008E3F30">
              <w:t xml:space="preserve">) on </w:t>
            </w:r>
            <w:r w:rsidR="00113FAC">
              <w:t>the</w:t>
            </w:r>
            <w:r w:rsidRPr="008E3F30">
              <w:t xml:space="preserve"> molecular weight (</w:t>
            </w:r>
            <w:proofErr w:type="spellStart"/>
            <w:r w:rsidRPr="008E3F30">
              <w:rPr>
                <w:i/>
              </w:rPr>
              <w:t>M</w:t>
            </w:r>
            <w:r w:rsidRPr="006620F2">
              <w:rPr>
                <w:vertAlign w:val="subscript"/>
              </w:rPr>
              <w:t>n</w:t>
            </w:r>
            <w:proofErr w:type="spellEnd"/>
            <w:r w:rsidRPr="008E3F30">
              <w:t>) and the</w:t>
            </w:r>
            <w:bookmarkStart w:id="0" w:name="_GoBack"/>
            <w:bookmarkEnd w:id="0"/>
            <w:r w:rsidR="006620F2">
              <w:t>rmal properties wa</w:t>
            </w:r>
            <w:r w:rsidRPr="008E3F30">
              <w:t>s shown.</w:t>
            </w:r>
          </w:p>
        </w:tc>
        <w:tc>
          <w:tcPr>
            <w:tcW w:w="4677" w:type="dxa"/>
            <w:vAlign w:val="center"/>
          </w:tcPr>
          <w:p w:rsidR="00CD6FAC" w:rsidRDefault="00330FE0" w:rsidP="005C7369">
            <w:pPr>
              <w:pStyle w:val="MainText"/>
              <w:ind w:firstLine="0"/>
              <w:jc w:val="center"/>
            </w:pPr>
            <w:r w:rsidRPr="00330FE0">
              <w:rPr>
                <w:noProof/>
                <w:lang w:val="ru-RU" w:eastAsia="ru-RU"/>
              </w:rPr>
              <w:drawing>
                <wp:inline distT="0" distB="0" distL="0" distR="0">
                  <wp:extent cx="2377679" cy="884717"/>
                  <wp:effectExtent l="19050" t="0" r="3571" b="0"/>
                  <wp:docPr id="4" name="Рисунок 4" descr="D:\TIPS\YandexDisk\НИР\Documents\Articles\22 PolyEtNB with DMM for INEOS Open\Безымянный5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TIPS\YandexDisk\НИР\Documents\Articles\22 PolyEtNB with DMM for INEOS Open\Безымянный5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761" cy="88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113FAC" w:rsidTr="00DF4999">
        <w:tc>
          <w:tcPr>
            <w:tcW w:w="9639" w:type="dxa"/>
            <w:gridSpan w:val="4"/>
          </w:tcPr>
          <w:p w:rsidR="0065245B" w:rsidRDefault="0065245B" w:rsidP="00330FE0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330FE0" w:rsidRPr="008E3F30">
              <w:t xml:space="preserve">ring-opening metathesis polymerization, </w:t>
            </w:r>
            <w:proofErr w:type="spellStart"/>
            <w:r w:rsidR="00330FE0" w:rsidRPr="008E3F30">
              <w:t>telechelic</w:t>
            </w:r>
            <w:proofErr w:type="spellEnd"/>
            <w:r w:rsidR="00330FE0" w:rsidRPr="008E3F30">
              <w:t xml:space="preserve"> </w:t>
            </w:r>
            <w:proofErr w:type="gramStart"/>
            <w:r w:rsidR="00330FE0" w:rsidRPr="008E3F30">
              <w:t>poly(</w:t>
            </w:r>
            <w:proofErr w:type="gramEnd"/>
            <w:r w:rsidR="00330FE0" w:rsidRPr="008E3F30">
              <w:t xml:space="preserve">5-ethyl-2-norbornene), </w:t>
            </w:r>
            <w:r w:rsidR="00330FE0">
              <w:t>second-generation</w:t>
            </w:r>
            <w:r w:rsidR="00330FE0" w:rsidRPr="008E3F30">
              <w:t xml:space="preserve"> Grubbs catalyst, </w:t>
            </w:r>
            <w:proofErr w:type="spellStart"/>
            <w:r w:rsidR="00330FE0" w:rsidRPr="008E3F30">
              <w:t>dimethyl</w:t>
            </w:r>
            <w:proofErr w:type="spellEnd"/>
            <w:r w:rsidR="00330FE0" w:rsidRPr="008E3F30">
              <w:t xml:space="preserve"> </w:t>
            </w:r>
            <w:proofErr w:type="spellStart"/>
            <w:r w:rsidR="00330FE0" w:rsidRPr="008E3F30">
              <w:t>maleate</w:t>
            </w:r>
            <w:proofErr w:type="spellEnd"/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6620F2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F376FB" w:rsidRDefault="006620F2" w:rsidP="00071D12">
      <w:pPr>
        <w:pStyle w:val="MainText"/>
        <w:ind w:firstLine="284"/>
      </w:pPr>
      <w:r>
        <w:rPr>
          <w:rStyle w:val="rynqvb"/>
        </w:rPr>
        <w:t>The s</w:t>
      </w:r>
      <w:r w:rsidR="00330FE0" w:rsidRPr="008E3F30">
        <w:rPr>
          <w:rStyle w:val="rynqvb"/>
        </w:rPr>
        <w:t xml:space="preserve">ynthesis of polymers by </w:t>
      </w:r>
      <w:r>
        <w:rPr>
          <w:rStyle w:val="rynqvb"/>
        </w:rPr>
        <w:t xml:space="preserve">the </w:t>
      </w:r>
      <w:r w:rsidR="00330FE0" w:rsidRPr="008E3F30">
        <w:rPr>
          <w:rStyle w:val="rynqvb"/>
        </w:rPr>
        <w:t xml:space="preserve">ring-opening metathesis polymerization (ROMP) of </w:t>
      </w:r>
      <w:proofErr w:type="spellStart"/>
      <w:r w:rsidR="00330FE0" w:rsidRPr="008E3F30">
        <w:rPr>
          <w:rStyle w:val="rynqvb"/>
        </w:rPr>
        <w:t>cycloolefins</w:t>
      </w:r>
      <w:proofErr w:type="spellEnd"/>
      <w:r w:rsidR="00330FE0" w:rsidRPr="008E3F30">
        <w:rPr>
          <w:rStyle w:val="rynqvb"/>
        </w:rPr>
        <w:t xml:space="preserve"> is a powerful tool of polymer science, allowing </w:t>
      </w:r>
      <w:r>
        <w:rPr>
          <w:rStyle w:val="rynqvb"/>
        </w:rPr>
        <w:t>for</w:t>
      </w:r>
      <w:r w:rsidR="00330FE0" w:rsidRPr="008E3F30">
        <w:rPr>
          <w:rStyle w:val="rynqvb"/>
        </w:rPr>
        <w:t xml:space="preserve"> obtain</w:t>
      </w:r>
      <w:r>
        <w:rPr>
          <w:rStyle w:val="rynqvb"/>
        </w:rPr>
        <w:t>ing the</w:t>
      </w:r>
      <w:r w:rsidR="00330FE0" w:rsidRPr="008E3F30">
        <w:rPr>
          <w:rStyle w:val="rynqvb"/>
        </w:rPr>
        <w:t xml:space="preserve"> products of various architectures. </w:t>
      </w:r>
      <w:r>
        <w:rPr>
          <w:rStyle w:val="rynqvb"/>
        </w:rPr>
        <w:t xml:space="preserve">Different </w:t>
      </w:r>
      <w:r w:rsidR="00330FE0" w:rsidRPr="008E3F30">
        <w:rPr>
          <w:rStyle w:val="rynqvb"/>
        </w:rPr>
        <w:t>ruthenium</w:t>
      </w:r>
      <w:r>
        <w:rPr>
          <w:rStyle w:val="rynqvb"/>
        </w:rPr>
        <w:t xml:space="preserve"> </w:t>
      </w:r>
      <w:proofErr w:type="spellStart"/>
      <w:r>
        <w:rPr>
          <w:rStyle w:val="rynqvb"/>
        </w:rPr>
        <w:t>carbene</w:t>
      </w:r>
      <w:proofErr w:type="spellEnd"/>
      <w:r>
        <w:rPr>
          <w:rStyle w:val="rynqvb"/>
        </w:rPr>
        <w:t xml:space="preserve"> complexes [1], cap</w:t>
      </w:r>
      <w:r w:rsidR="00330FE0" w:rsidRPr="008E3F30">
        <w:rPr>
          <w:rStyle w:val="rynqvb"/>
        </w:rPr>
        <w:t>abl</w:t>
      </w:r>
      <w:r>
        <w:rPr>
          <w:rStyle w:val="rynqvb"/>
        </w:rPr>
        <w:t xml:space="preserve">e of promoting </w:t>
      </w:r>
      <w:r w:rsidR="00330FE0" w:rsidRPr="008E3F30">
        <w:rPr>
          <w:rStyle w:val="rynqvb"/>
        </w:rPr>
        <w:t>living or pseu</w:t>
      </w:r>
      <w:r>
        <w:rPr>
          <w:rStyle w:val="rynqvb"/>
        </w:rPr>
        <w:t xml:space="preserve">do-living polymerization [2, 3], </w:t>
      </w:r>
      <w:r w:rsidR="00330FE0" w:rsidRPr="008E3F30">
        <w:rPr>
          <w:rStyle w:val="rynqvb"/>
        </w:rPr>
        <w:t>are widely used as initiators for this polymerization. The</w:t>
      </w:r>
      <w:r>
        <w:rPr>
          <w:rStyle w:val="rynqvb"/>
        </w:rPr>
        <w:t xml:space="preserve"> control of</w:t>
      </w:r>
      <w:r w:rsidR="00330FE0" w:rsidRPr="008E3F30">
        <w:rPr>
          <w:rStyle w:val="rynqvb"/>
        </w:rPr>
        <w:t xml:space="preserve"> </w:t>
      </w:r>
      <w:proofErr w:type="spellStart"/>
      <w:r w:rsidR="00330FE0" w:rsidRPr="008E3F30">
        <w:rPr>
          <w:rStyle w:val="rynqvb"/>
          <w:i/>
        </w:rPr>
        <w:t>M</w:t>
      </w:r>
      <w:r w:rsidR="00330FE0" w:rsidRPr="006620F2">
        <w:rPr>
          <w:rStyle w:val="rynqvb"/>
          <w:vertAlign w:val="subscript"/>
        </w:rPr>
        <w:t>n</w:t>
      </w:r>
      <w:proofErr w:type="spellEnd"/>
      <w:r>
        <w:rPr>
          <w:rStyle w:val="rynqvb"/>
        </w:rPr>
        <w:t xml:space="preserve"> values of </w:t>
      </w:r>
      <w:r w:rsidR="00330FE0" w:rsidRPr="008E3F30">
        <w:rPr>
          <w:rStyle w:val="rynqvb"/>
        </w:rPr>
        <w:t xml:space="preserve">polymers obtained by ROMP </w:t>
      </w:r>
      <w:r>
        <w:rPr>
          <w:rStyle w:val="rynqvb"/>
        </w:rPr>
        <w:t xml:space="preserve">can easily be accomplished </w:t>
      </w:r>
      <w:r w:rsidR="00330FE0" w:rsidRPr="008E3F30">
        <w:rPr>
          <w:rStyle w:val="rynqvb"/>
        </w:rPr>
        <w:t>by adding acyclic alkenes acting as chain</w:t>
      </w:r>
      <w:r>
        <w:rPr>
          <w:rStyle w:val="rynqvb"/>
        </w:rPr>
        <w:t>-</w:t>
      </w:r>
      <w:r w:rsidR="00330FE0" w:rsidRPr="008E3F30">
        <w:rPr>
          <w:rStyle w:val="rynqvb"/>
        </w:rPr>
        <w:t>transfer agent</w:t>
      </w:r>
      <w:r>
        <w:rPr>
          <w:rStyle w:val="rynqvb"/>
        </w:rPr>
        <w:t>s</w:t>
      </w:r>
      <w:r w:rsidR="00330FE0" w:rsidRPr="008E3F30">
        <w:rPr>
          <w:rStyle w:val="rynqvb"/>
        </w:rPr>
        <w:t xml:space="preserve">. The </w:t>
      </w:r>
      <w:r w:rsidRPr="008E3F30">
        <w:rPr>
          <w:rStyle w:val="rynqvb"/>
        </w:rPr>
        <w:t>prediction</w:t>
      </w:r>
      <w:r>
        <w:rPr>
          <w:rStyle w:val="rynqvb"/>
        </w:rPr>
        <w:t xml:space="preserve"> of</w:t>
      </w:r>
      <w:r w:rsidRPr="008E3F30">
        <w:rPr>
          <w:rStyle w:val="rynqvb"/>
          <w:i/>
        </w:rPr>
        <w:t xml:space="preserve"> </w:t>
      </w:r>
      <w:proofErr w:type="spellStart"/>
      <w:r w:rsidR="00330FE0" w:rsidRPr="008E3F30">
        <w:rPr>
          <w:rStyle w:val="rynqvb"/>
          <w:i/>
        </w:rPr>
        <w:t>M</w:t>
      </w:r>
      <w:r w:rsidR="00330FE0" w:rsidRPr="006620F2">
        <w:rPr>
          <w:rStyle w:val="rynqvb"/>
          <w:vertAlign w:val="subscript"/>
        </w:rPr>
        <w:t>n</w:t>
      </w:r>
      <w:proofErr w:type="spellEnd"/>
      <w:r w:rsidR="00330FE0" w:rsidRPr="006620F2">
        <w:rPr>
          <w:rStyle w:val="rynqvb"/>
        </w:rPr>
        <w:t xml:space="preserve"> </w:t>
      </w:r>
      <w:r w:rsidR="00330FE0" w:rsidRPr="008E3F30">
        <w:rPr>
          <w:rStyle w:val="rynqvb"/>
        </w:rPr>
        <w:t xml:space="preserve">can be carried out utilizing the Mayo equation </w:t>
      </w:r>
      <w:r>
        <w:rPr>
          <w:rStyle w:val="rynqvb"/>
        </w:rPr>
        <w:t>[4]</w:t>
      </w:r>
      <w:r w:rsidR="00330FE0" w:rsidRPr="008E3F30">
        <w:rPr>
          <w:rStyle w:val="rynqvb"/>
        </w:rPr>
        <w:t xml:space="preserve">. The use of functionalized alkenes </w:t>
      </w:r>
      <w:r>
        <w:rPr>
          <w:rStyle w:val="rynqvb"/>
        </w:rPr>
        <w:t>enables</w:t>
      </w:r>
      <w:r w:rsidR="00330FE0" w:rsidRPr="008E3F30">
        <w:rPr>
          <w:rStyle w:val="rynqvb"/>
        </w:rPr>
        <w:t xml:space="preserve"> the preparation of </w:t>
      </w:r>
      <w:proofErr w:type="spellStart"/>
      <w:r w:rsidR="00330FE0" w:rsidRPr="008E3F30">
        <w:rPr>
          <w:rStyle w:val="rynqvb"/>
        </w:rPr>
        <w:t>telechelics</w:t>
      </w:r>
      <w:proofErr w:type="spellEnd"/>
      <w:r w:rsidR="00330FE0" w:rsidRPr="008E3F30">
        <w:rPr>
          <w:rStyle w:val="rynqvb"/>
        </w:rPr>
        <w:t xml:space="preserve">, which was demonstrated by the polymerization of </w:t>
      </w:r>
      <w:proofErr w:type="spellStart"/>
      <w:r w:rsidR="00330FE0" w:rsidRPr="008E3F30">
        <w:rPr>
          <w:rStyle w:val="rynqvb"/>
        </w:rPr>
        <w:t>cyclooctene</w:t>
      </w:r>
      <w:proofErr w:type="spellEnd"/>
      <w:r w:rsidR="00330FE0" w:rsidRPr="008E3F30">
        <w:rPr>
          <w:rStyle w:val="rynqvb"/>
        </w:rPr>
        <w:t xml:space="preserve"> [5</w:t>
      </w:r>
      <w:r>
        <w:rPr>
          <w:rStyle w:val="rynqvb"/>
        </w:rPr>
        <w:t>–</w:t>
      </w:r>
      <w:r w:rsidR="00330FE0" w:rsidRPr="008E3F30">
        <w:rPr>
          <w:rStyle w:val="rynqvb"/>
        </w:rPr>
        <w:t xml:space="preserve">10], </w:t>
      </w:r>
      <w:proofErr w:type="spellStart"/>
      <w:r w:rsidR="00330FE0" w:rsidRPr="008E3F30">
        <w:rPr>
          <w:rStyle w:val="rynqvb"/>
        </w:rPr>
        <w:t>unsubstituted</w:t>
      </w:r>
      <w:proofErr w:type="spellEnd"/>
      <w:r w:rsidR="00330FE0" w:rsidRPr="008E3F30">
        <w:rPr>
          <w:rStyle w:val="rynqvb"/>
        </w:rPr>
        <w:t xml:space="preserve"> </w:t>
      </w:r>
      <w:proofErr w:type="spellStart"/>
      <w:r w:rsidR="00330FE0" w:rsidRPr="008E3F30">
        <w:rPr>
          <w:rStyle w:val="rynqvb"/>
        </w:rPr>
        <w:t>norbornene</w:t>
      </w:r>
      <w:proofErr w:type="spellEnd"/>
      <w:r w:rsidR="00330FE0" w:rsidRPr="008E3F30">
        <w:rPr>
          <w:rStyle w:val="rynqvb"/>
        </w:rPr>
        <w:t xml:space="preserve"> [8], 5-</w:t>
      </w:r>
      <w:r w:rsidR="00330FE0" w:rsidRPr="008E3F30">
        <w:rPr>
          <w:rStyle w:val="rynqvb"/>
          <w:i/>
        </w:rPr>
        <w:t>n</w:t>
      </w:r>
      <w:r w:rsidR="00330FE0" w:rsidRPr="008E3F30">
        <w:rPr>
          <w:rStyle w:val="rynqvb"/>
        </w:rPr>
        <w:t xml:space="preserve">-butyl-2-norbornene [10], a copolymerization of </w:t>
      </w:r>
      <w:proofErr w:type="spellStart"/>
      <w:r w:rsidR="00330FE0" w:rsidRPr="008E3F30">
        <w:rPr>
          <w:rStyle w:val="rynqvb"/>
        </w:rPr>
        <w:t>cyclooctene</w:t>
      </w:r>
      <w:proofErr w:type="spellEnd"/>
      <w:r w:rsidR="00330FE0" w:rsidRPr="008E3F30">
        <w:rPr>
          <w:rStyle w:val="rynqvb"/>
        </w:rPr>
        <w:t xml:space="preserve"> and </w:t>
      </w:r>
      <w:proofErr w:type="spellStart"/>
      <w:r w:rsidR="00330FE0" w:rsidRPr="008E3F30">
        <w:rPr>
          <w:rStyle w:val="rynqvb"/>
        </w:rPr>
        <w:t>unsubstituted</w:t>
      </w:r>
      <w:proofErr w:type="spellEnd"/>
      <w:r w:rsidR="00330FE0" w:rsidRPr="008E3F30">
        <w:rPr>
          <w:rStyle w:val="rynqvb"/>
        </w:rPr>
        <w:t xml:space="preserve"> </w:t>
      </w:r>
      <w:proofErr w:type="spellStart"/>
      <w:r w:rsidR="00330FE0" w:rsidRPr="008E3F30">
        <w:rPr>
          <w:rStyle w:val="rynqvb"/>
        </w:rPr>
        <w:t>norbornene</w:t>
      </w:r>
      <w:proofErr w:type="spellEnd"/>
      <w:r w:rsidR="00330FE0" w:rsidRPr="008E3F30">
        <w:rPr>
          <w:rStyle w:val="rynqvb"/>
        </w:rPr>
        <w:t xml:space="preserve"> [8, 9], and </w:t>
      </w:r>
      <w:proofErr w:type="spellStart"/>
      <w:r w:rsidR="00330FE0" w:rsidRPr="008E3F30">
        <w:rPr>
          <w:rStyle w:val="rynqvb"/>
        </w:rPr>
        <w:t>cyclooctene</w:t>
      </w:r>
      <w:proofErr w:type="spellEnd"/>
      <w:r w:rsidR="00330FE0" w:rsidRPr="008E3F30">
        <w:rPr>
          <w:rStyle w:val="rynqvb"/>
        </w:rPr>
        <w:t xml:space="preserve"> and methyl ester of 5-norbornene-2-carboxylic acid [9]. </w:t>
      </w:r>
      <w:proofErr w:type="spellStart"/>
      <w:r w:rsidR="00330FE0" w:rsidRPr="008E3F30">
        <w:rPr>
          <w:rStyle w:val="rynqvb"/>
        </w:rPr>
        <w:t>Telechelics</w:t>
      </w:r>
      <w:proofErr w:type="spellEnd"/>
      <w:r w:rsidR="00330FE0" w:rsidRPr="008E3F30">
        <w:rPr>
          <w:rStyle w:val="rynqvb"/>
        </w:rPr>
        <w:t xml:space="preserve"> can be used as adhesives, cross-linking agents, coatings, </w:t>
      </w:r>
      <w:r w:rsidR="00330FE0" w:rsidRPr="006620F2">
        <w:rPr>
          <w:rStyle w:val="rynqvb"/>
          <w:i/>
        </w:rPr>
        <w:t>etc.</w:t>
      </w:r>
      <w:r w:rsidR="00330FE0" w:rsidRPr="008E3F30">
        <w:rPr>
          <w:rStyle w:val="rynqvb"/>
        </w:rPr>
        <w:t xml:space="preserve"> [9, 11]. Despite the fact that this method for the preparation of </w:t>
      </w:r>
      <w:proofErr w:type="spellStart"/>
      <w:r w:rsidR="00330FE0" w:rsidRPr="008E3F30">
        <w:rPr>
          <w:rStyle w:val="rynqvb"/>
        </w:rPr>
        <w:t>telechelics</w:t>
      </w:r>
      <w:proofErr w:type="spellEnd"/>
      <w:r w:rsidR="00330FE0" w:rsidRPr="008E3F30">
        <w:rPr>
          <w:rStyle w:val="rynqvb"/>
        </w:rPr>
        <w:t xml:space="preserve"> is simple in experimental terms, it remains poorly studied. In particular, there are no data on the effect of the length of the alkyl substituent of </w:t>
      </w:r>
      <w:r>
        <w:rPr>
          <w:rStyle w:val="rynqvb"/>
        </w:rPr>
        <w:t xml:space="preserve">a </w:t>
      </w:r>
      <w:proofErr w:type="spellStart"/>
      <w:r w:rsidR="00330FE0" w:rsidRPr="008E3F30">
        <w:rPr>
          <w:rStyle w:val="rynqvb"/>
        </w:rPr>
        <w:t>norbornene</w:t>
      </w:r>
      <w:proofErr w:type="spellEnd"/>
      <w:r w:rsidR="00330FE0" w:rsidRPr="008E3F30">
        <w:rPr>
          <w:rStyle w:val="rynqvb"/>
        </w:rPr>
        <w:t xml:space="preserve"> on its ROMP in the presence of </w:t>
      </w:r>
      <w:proofErr w:type="spellStart"/>
      <w:r w:rsidR="00330FE0" w:rsidRPr="008E3F30">
        <w:rPr>
          <w:rStyle w:val="rynqvb"/>
        </w:rPr>
        <w:t>dimethyl</w:t>
      </w:r>
      <w:proofErr w:type="spellEnd"/>
      <w:r w:rsidR="00330FE0" w:rsidRPr="008E3F30">
        <w:rPr>
          <w:rStyle w:val="rynqvb"/>
        </w:rPr>
        <w:t xml:space="preserve"> </w:t>
      </w:r>
      <w:proofErr w:type="spellStart"/>
      <w:r w:rsidR="00330FE0" w:rsidRPr="008E3F30">
        <w:rPr>
          <w:rStyle w:val="rynqvb"/>
        </w:rPr>
        <w:t>maleate</w:t>
      </w:r>
      <w:proofErr w:type="spellEnd"/>
      <w:r w:rsidR="00330FE0" w:rsidRPr="008E3F30">
        <w:rPr>
          <w:rStyle w:val="rynqvb"/>
        </w:rPr>
        <w:t xml:space="preserve"> (DMM). Since the first studies in this area devoted to the polymerization of 5-</w:t>
      </w:r>
      <w:r w:rsidR="00330FE0" w:rsidRPr="008E3F30">
        <w:rPr>
          <w:rStyle w:val="rynqvb"/>
          <w:i/>
        </w:rPr>
        <w:t>n</w:t>
      </w:r>
      <w:r w:rsidR="00330FE0" w:rsidRPr="008E3F30">
        <w:rPr>
          <w:rStyle w:val="rynqvb"/>
        </w:rPr>
        <w:t xml:space="preserve">-butyl-2-norbornene have already been </w:t>
      </w:r>
      <w:r w:rsidR="00113FAC">
        <w:rPr>
          <w:rStyle w:val="rynqvb"/>
        </w:rPr>
        <w:t>reported</w:t>
      </w:r>
      <w:r w:rsidR="00330FE0" w:rsidRPr="008E3F30">
        <w:rPr>
          <w:rStyle w:val="rynqvb"/>
        </w:rPr>
        <w:t xml:space="preserve"> [10], at the next stage it was decided to reduce the length of the alkyl substituent and evaluate the effect of this reduction on the ability of the substituted </w:t>
      </w:r>
      <w:proofErr w:type="spellStart"/>
      <w:r w:rsidR="00330FE0" w:rsidRPr="008E3F30">
        <w:rPr>
          <w:rStyle w:val="rynqvb"/>
        </w:rPr>
        <w:t>norbornene</w:t>
      </w:r>
      <w:proofErr w:type="spellEnd"/>
      <w:r w:rsidR="00330FE0" w:rsidRPr="008E3F30">
        <w:rPr>
          <w:rStyle w:val="rynqvb"/>
        </w:rPr>
        <w:t xml:space="preserve"> to form a </w:t>
      </w:r>
      <w:proofErr w:type="spellStart"/>
      <w:r w:rsidR="00330FE0" w:rsidRPr="008E3F30">
        <w:rPr>
          <w:rStyle w:val="rynqvb"/>
        </w:rPr>
        <w:t>telechelic</w:t>
      </w:r>
      <w:proofErr w:type="spellEnd"/>
      <w:r w:rsidR="00330FE0" w:rsidRPr="008E3F30">
        <w:rPr>
          <w:rStyle w:val="rynqvb"/>
        </w:rPr>
        <w:t xml:space="preserve">. Therefore, the </w:t>
      </w:r>
      <w:r>
        <w:rPr>
          <w:rStyle w:val="rynqvb"/>
        </w:rPr>
        <w:t>goals of this work were</w:t>
      </w:r>
      <w:r w:rsidR="00330FE0" w:rsidRPr="008E3F30">
        <w:rPr>
          <w:rStyle w:val="rynqvb"/>
        </w:rPr>
        <w:t xml:space="preserve"> to study the possibility of synthesizing a </w:t>
      </w:r>
      <w:proofErr w:type="spellStart"/>
      <w:r w:rsidR="00330FE0" w:rsidRPr="008E3F30">
        <w:rPr>
          <w:rStyle w:val="rynqvb"/>
        </w:rPr>
        <w:t>telechelic</w:t>
      </w:r>
      <w:proofErr w:type="spellEnd"/>
      <w:r w:rsidR="00330FE0" w:rsidRPr="008E3F30">
        <w:rPr>
          <w:rStyle w:val="rynqvb"/>
        </w:rPr>
        <w:t xml:space="preserve"> as a result of the </w:t>
      </w:r>
      <w:r w:rsidRPr="008E3F30">
        <w:rPr>
          <w:rStyle w:val="rynqvb"/>
        </w:rPr>
        <w:t xml:space="preserve">polymerization </w:t>
      </w:r>
      <w:r>
        <w:rPr>
          <w:rStyle w:val="rynqvb"/>
        </w:rPr>
        <w:t xml:space="preserve">of </w:t>
      </w:r>
      <w:r w:rsidR="00330FE0" w:rsidRPr="008E3F30">
        <w:rPr>
          <w:rStyle w:val="rynqvb"/>
        </w:rPr>
        <w:t>5-ethyl-2-norbornene (</w:t>
      </w:r>
      <w:proofErr w:type="spellStart"/>
      <w:r w:rsidR="00330FE0" w:rsidRPr="008E3F30">
        <w:rPr>
          <w:rStyle w:val="rynqvb"/>
        </w:rPr>
        <w:t>EtNB</w:t>
      </w:r>
      <w:proofErr w:type="spellEnd"/>
      <w:r w:rsidR="00330FE0" w:rsidRPr="008E3F30">
        <w:rPr>
          <w:rStyle w:val="rynqvb"/>
        </w:rPr>
        <w:t xml:space="preserve">) under the action of the </w:t>
      </w:r>
      <w:r>
        <w:rPr>
          <w:rStyle w:val="rynqvb"/>
        </w:rPr>
        <w:t>second-</w:t>
      </w:r>
      <w:r w:rsidR="00330FE0" w:rsidRPr="008E3F30">
        <w:rPr>
          <w:rStyle w:val="rynqvb"/>
        </w:rPr>
        <w:t xml:space="preserve">generation Grubbs </w:t>
      </w:r>
      <w:r w:rsidR="00113FAC">
        <w:rPr>
          <w:rStyle w:val="rynqvb"/>
        </w:rPr>
        <w:t>catalyst in the presence of DMM</w:t>
      </w:r>
      <w:r w:rsidR="00330FE0" w:rsidRPr="008E3F30">
        <w:rPr>
          <w:rStyle w:val="rynqvb"/>
        </w:rPr>
        <w:t xml:space="preserve"> as well as to establish the effect of </w:t>
      </w:r>
      <w:r>
        <w:rPr>
          <w:rStyle w:val="rynqvb"/>
        </w:rPr>
        <w:t xml:space="preserve">the </w:t>
      </w:r>
      <w:r w:rsidR="00330FE0" w:rsidRPr="008E3F30">
        <w:rPr>
          <w:rStyle w:val="rynqvb"/>
        </w:rPr>
        <w:t>polymerization conditions on the</w:t>
      </w:r>
      <w:r>
        <w:rPr>
          <w:rStyle w:val="rynqvb"/>
        </w:rPr>
        <w:t xml:space="preserve"> value of </w:t>
      </w:r>
      <w:proofErr w:type="spellStart"/>
      <w:r w:rsidR="00330FE0" w:rsidRPr="008E3F30">
        <w:rPr>
          <w:rStyle w:val="rynqvb"/>
          <w:i/>
        </w:rPr>
        <w:t>M</w:t>
      </w:r>
      <w:r w:rsidR="00330FE0" w:rsidRPr="006620F2">
        <w:rPr>
          <w:rStyle w:val="rynqvb"/>
          <w:vertAlign w:val="subscript"/>
        </w:rPr>
        <w:t>n</w:t>
      </w:r>
      <w:proofErr w:type="spellEnd"/>
      <w:r w:rsidR="00330FE0" w:rsidRPr="008E3F30">
        <w:rPr>
          <w:rStyle w:val="rynqvb"/>
        </w:rPr>
        <w:t xml:space="preserve"> and thermal properties of the resulting product.</w:t>
      </w:r>
    </w:p>
    <w:p w:rsidR="00875175" w:rsidRDefault="00875175" w:rsidP="00330FE0">
      <w:pPr>
        <w:pStyle w:val="Header1"/>
        <w:spacing w:before="0" w:after="240"/>
      </w:pPr>
      <w:r w:rsidRPr="00875175">
        <w:lastRenderedPageBreak/>
        <w:t>Results and discussion</w:t>
      </w:r>
    </w:p>
    <w:p w:rsidR="00330FE0" w:rsidRPr="008E3F30" w:rsidRDefault="00330FE0" w:rsidP="00330FE0">
      <w:pPr>
        <w:pStyle w:val="MainText"/>
        <w:ind w:firstLine="284"/>
        <w:rPr>
          <w:rStyle w:val="rynqvb"/>
        </w:rPr>
      </w:pPr>
      <w:r w:rsidRPr="008E3F30">
        <w:rPr>
          <w:rStyle w:val="rynqvb"/>
        </w:rPr>
        <w:t xml:space="preserve">The synthesis of </w:t>
      </w:r>
      <w:proofErr w:type="gramStart"/>
      <w:r w:rsidRPr="008E3F30">
        <w:rPr>
          <w:rStyle w:val="rynqvb"/>
        </w:rPr>
        <w:t>poly(</w:t>
      </w:r>
      <w:proofErr w:type="gramEnd"/>
      <w:r w:rsidRPr="008E3F30">
        <w:rPr>
          <w:rStyle w:val="rynqvb"/>
        </w:rPr>
        <w:t xml:space="preserve">5-ethyl-2-norbornene) was carried out by the ROMP of the initial </w:t>
      </w:r>
      <w:proofErr w:type="spellStart"/>
      <w:r w:rsidRPr="008E3F30">
        <w:rPr>
          <w:rStyle w:val="rynqvb"/>
        </w:rPr>
        <w:t>cycloolefin</w:t>
      </w:r>
      <w:proofErr w:type="spellEnd"/>
      <w:r w:rsidRPr="008E3F30">
        <w:rPr>
          <w:rStyle w:val="rynqvb"/>
        </w:rPr>
        <w:t xml:space="preserve"> under the action of the </w:t>
      </w:r>
      <w:r w:rsidR="008D662B">
        <w:rPr>
          <w:rStyle w:val="rynqvb"/>
        </w:rPr>
        <w:t>second-</w:t>
      </w:r>
      <w:r w:rsidRPr="008E3F30">
        <w:rPr>
          <w:rStyle w:val="rynqvb"/>
        </w:rPr>
        <w:t xml:space="preserve">generation Grubbs catalyst in the presence of </w:t>
      </w:r>
      <w:proofErr w:type="spellStart"/>
      <w:r w:rsidRPr="008E3F30">
        <w:rPr>
          <w:rStyle w:val="rynqvb"/>
        </w:rPr>
        <w:t>dimethyl</w:t>
      </w:r>
      <w:proofErr w:type="spellEnd"/>
      <w:r w:rsidRPr="008E3F30">
        <w:rPr>
          <w:rStyle w:val="rynqvb"/>
        </w:rPr>
        <w:t xml:space="preserve"> </w:t>
      </w:r>
      <w:proofErr w:type="spellStart"/>
      <w:r w:rsidRPr="008E3F30">
        <w:rPr>
          <w:rStyle w:val="rynqvb"/>
        </w:rPr>
        <w:t>maleate</w:t>
      </w:r>
      <w:proofErr w:type="spellEnd"/>
      <w:r w:rsidRPr="008E3F30">
        <w:rPr>
          <w:rStyle w:val="rynqvb"/>
        </w:rPr>
        <w:t xml:space="preserve"> (DMM) at different ratios of the raw reagents in </w:t>
      </w:r>
      <w:r w:rsidR="008D662B">
        <w:rPr>
          <w:rStyle w:val="rynqvb"/>
        </w:rPr>
        <w:t xml:space="preserve">THF </w:t>
      </w:r>
      <w:r w:rsidRPr="008E3F30">
        <w:rPr>
          <w:rStyle w:val="rynqvb"/>
        </w:rPr>
        <w:t>(Scheme 1).</w:t>
      </w:r>
    </w:p>
    <w:p w:rsidR="00330FE0" w:rsidRPr="008E3F30" w:rsidRDefault="00330FE0" w:rsidP="008D662B">
      <w:pPr>
        <w:pStyle w:val="MainText"/>
        <w:spacing w:before="200" w:after="120"/>
        <w:ind w:firstLine="0"/>
        <w:rPr>
          <w:lang w:val="ru-RU"/>
        </w:rPr>
      </w:pPr>
      <w:r w:rsidRPr="008E3F30">
        <w:rPr>
          <w:noProof/>
          <w:lang w:val="ru-RU" w:eastAsia="ru-RU"/>
        </w:rPr>
        <w:drawing>
          <wp:inline distT="0" distB="0" distL="0" distR="0">
            <wp:extent cx="2970530" cy="887505"/>
            <wp:effectExtent l="0" t="0" r="0" b="0"/>
            <wp:docPr id="1" name="Рисунок 1" descr="D:\TIPS\YandexDisk\НИР\Documents\Articles\22 PolyEtNB with DMM for INEOS Open\ысруь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IPS\YandexDisk\НИР\Documents\Articles\22 PolyEtNB with DMM for INEOS Open\ысруь1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8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0" w:rsidRPr="008E3F30" w:rsidRDefault="00330FE0" w:rsidP="008D662B">
      <w:pPr>
        <w:pStyle w:val="MainText"/>
        <w:spacing w:before="120" w:after="200"/>
        <w:ind w:firstLine="0"/>
      </w:pPr>
      <w:proofErr w:type="gramStart"/>
      <w:r w:rsidRPr="008E3F30">
        <w:rPr>
          <w:rStyle w:val="Captions0"/>
          <w:sz w:val="16"/>
          <w:szCs w:val="16"/>
        </w:rPr>
        <w:t>Scheme 1.</w:t>
      </w:r>
      <w:proofErr w:type="gramEnd"/>
      <w:r w:rsidRPr="008E3F30">
        <w:rPr>
          <w:rStyle w:val="Captions0"/>
          <w:b w:val="0"/>
          <w:bCs/>
          <w:sz w:val="16"/>
          <w:szCs w:val="16"/>
        </w:rPr>
        <w:t xml:space="preserve"> Syn</w:t>
      </w:r>
      <w:r w:rsidRPr="008E3F30">
        <w:rPr>
          <w:rStyle w:val="Captions0"/>
          <w:b w:val="0"/>
          <w:sz w:val="16"/>
          <w:szCs w:val="16"/>
        </w:rPr>
        <w:t xml:space="preserve">thesis of </w:t>
      </w:r>
      <w:proofErr w:type="gramStart"/>
      <w:r w:rsidRPr="008E3F30">
        <w:rPr>
          <w:rStyle w:val="Captions0"/>
          <w:b w:val="0"/>
          <w:sz w:val="16"/>
          <w:szCs w:val="16"/>
        </w:rPr>
        <w:t>poly(</w:t>
      </w:r>
      <w:proofErr w:type="spellStart"/>
      <w:proofErr w:type="gramEnd"/>
      <w:r w:rsidRPr="008E3F30">
        <w:rPr>
          <w:rStyle w:val="Captions0"/>
          <w:b w:val="0"/>
          <w:sz w:val="16"/>
          <w:szCs w:val="16"/>
        </w:rPr>
        <w:t>EtNB</w:t>
      </w:r>
      <w:proofErr w:type="spellEnd"/>
      <w:r w:rsidRPr="008E3F30">
        <w:rPr>
          <w:rStyle w:val="Captions0"/>
          <w:b w:val="0"/>
          <w:sz w:val="16"/>
          <w:szCs w:val="16"/>
        </w:rPr>
        <w:t>) by ROMP in the presence of DMM.</w:t>
      </w:r>
    </w:p>
    <w:p w:rsidR="00330FE0" w:rsidRPr="008E3F30" w:rsidRDefault="00330FE0" w:rsidP="00330FE0">
      <w:pPr>
        <w:pStyle w:val="MainText"/>
        <w:spacing w:after="120"/>
        <w:ind w:firstLine="284"/>
      </w:pPr>
      <w:r w:rsidRPr="008E3F30">
        <w:t xml:space="preserve">The ratio of the initial reagents was selected based on the solution of the Mayo equation [4]. The reaction was stopped by adding ethyl vinyl ether. The product was precipitated in </w:t>
      </w:r>
      <w:r w:rsidR="00113FAC">
        <w:t xml:space="preserve">an </w:t>
      </w:r>
      <w:proofErr w:type="gramStart"/>
      <w:r w:rsidRPr="008E3F30">
        <w:t>alcohol,</w:t>
      </w:r>
      <w:proofErr w:type="gramEnd"/>
      <w:r w:rsidRPr="008E3F30">
        <w:t xml:space="preserve"> </w:t>
      </w:r>
      <w:r w:rsidR="008D662B">
        <w:t xml:space="preserve">the </w:t>
      </w:r>
      <w:proofErr w:type="spellStart"/>
      <w:r w:rsidRPr="008E3F30">
        <w:t>unreacted</w:t>
      </w:r>
      <w:proofErr w:type="spellEnd"/>
      <w:r w:rsidRPr="008E3F30">
        <w:t xml:space="preserve"> components were removed by </w:t>
      </w:r>
      <w:r w:rsidR="008D662B">
        <w:t xml:space="preserve">the </w:t>
      </w:r>
      <w:r w:rsidRPr="008E3F30">
        <w:t xml:space="preserve">repeated precipitation in </w:t>
      </w:r>
      <w:r w:rsidR="008D662B">
        <w:t xml:space="preserve">an </w:t>
      </w:r>
      <w:r w:rsidRPr="008E3F30">
        <w:t>alcohol. The structure</w:t>
      </w:r>
      <w:r w:rsidR="00113FAC">
        <w:t>s</w:t>
      </w:r>
      <w:r w:rsidRPr="008E3F30">
        <w:t xml:space="preserve"> of the products w</w:t>
      </w:r>
      <w:r w:rsidR="00113FAC">
        <w:t>ere</w:t>
      </w:r>
      <w:r w:rsidRPr="008E3F30">
        <w:t xml:space="preserve"> confirmed </w:t>
      </w:r>
      <w:r w:rsidR="00113FAC">
        <w:t xml:space="preserve">by </w:t>
      </w:r>
      <w:r w:rsidRPr="008E3F30">
        <w:rPr>
          <w:vertAlign w:val="superscript"/>
        </w:rPr>
        <w:t>1</w:t>
      </w:r>
      <w:r w:rsidRPr="008E3F30">
        <w:t xml:space="preserve">H, </w:t>
      </w:r>
      <w:r w:rsidRPr="008E3F30">
        <w:rPr>
          <w:vertAlign w:val="superscript"/>
        </w:rPr>
        <w:t>13</w:t>
      </w:r>
      <w:r w:rsidR="008D662B">
        <w:t>C NMR and IR spectroscopy</w:t>
      </w:r>
      <w:r w:rsidRPr="008E3F30">
        <w:t xml:space="preserve">, </w:t>
      </w:r>
      <w:r w:rsidR="008D662B" w:rsidRPr="008E3F30">
        <w:rPr>
          <w:vertAlign w:val="superscript"/>
        </w:rPr>
        <w:t>1</w:t>
      </w:r>
      <w:r w:rsidR="008D662B" w:rsidRPr="008E3F30">
        <w:t>H</w:t>
      </w:r>
      <w:r w:rsidR="008D662B">
        <w:t>–</w:t>
      </w:r>
      <w:r w:rsidR="008D662B" w:rsidRPr="008E3F30">
        <w:rPr>
          <w:vertAlign w:val="superscript"/>
        </w:rPr>
        <w:t>13</w:t>
      </w:r>
      <w:r w:rsidR="008D662B" w:rsidRPr="008E3F30">
        <w:t xml:space="preserve">C HSQC, </w:t>
      </w:r>
      <w:r w:rsidR="008D662B" w:rsidRPr="008E3F30">
        <w:rPr>
          <w:vertAlign w:val="superscript"/>
        </w:rPr>
        <w:t>1</w:t>
      </w:r>
      <w:r w:rsidR="008D662B" w:rsidRPr="008E3F30">
        <w:t>H</w:t>
      </w:r>
      <w:r w:rsidR="008D662B">
        <w:t>–</w:t>
      </w:r>
      <w:r w:rsidR="008D662B" w:rsidRPr="008E3F30">
        <w:rPr>
          <w:vertAlign w:val="superscript"/>
        </w:rPr>
        <w:t>13</w:t>
      </w:r>
      <w:r w:rsidR="008D662B" w:rsidRPr="008E3F30">
        <w:t xml:space="preserve">C HMBC, </w:t>
      </w:r>
      <w:r w:rsidR="008D662B" w:rsidRPr="008E3F30">
        <w:rPr>
          <w:vertAlign w:val="superscript"/>
        </w:rPr>
        <w:t>1</w:t>
      </w:r>
      <w:r w:rsidR="008D662B" w:rsidRPr="008E3F30">
        <w:t>H</w:t>
      </w:r>
      <w:r w:rsidR="008D662B">
        <w:t>–</w:t>
      </w:r>
      <w:r w:rsidR="008D662B" w:rsidRPr="008E3F30">
        <w:rPr>
          <w:vertAlign w:val="superscript"/>
        </w:rPr>
        <w:t>13</w:t>
      </w:r>
      <w:r w:rsidR="008D662B" w:rsidRPr="008E3F30">
        <w:t>C H2BC,</w:t>
      </w:r>
      <w:r w:rsidR="008D662B">
        <w:t xml:space="preserve"> and</w:t>
      </w:r>
      <w:r w:rsidR="008D662B" w:rsidRPr="008E3F30">
        <w:t xml:space="preserve"> </w:t>
      </w:r>
      <w:r w:rsidR="008D662B" w:rsidRPr="008E3F30">
        <w:rPr>
          <w:vertAlign w:val="superscript"/>
        </w:rPr>
        <w:t>1</w:t>
      </w:r>
      <w:r w:rsidR="008D662B" w:rsidRPr="008E3F30">
        <w:t>H</w:t>
      </w:r>
      <w:r w:rsidR="008D662B">
        <w:t>–</w:t>
      </w:r>
      <w:r w:rsidR="008D662B" w:rsidRPr="008E3F30">
        <w:rPr>
          <w:vertAlign w:val="superscript"/>
        </w:rPr>
        <w:t>1</w:t>
      </w:r>
      <w:r w:rsidR="008D662B" w:rsidRPr="008E3F30">
        <w:t xml:space="preserve">H COSY </w:t>
      </w:r>
      <w:r w:rsidRPr="008E3F30">
        <w:t>two-dimen</w:t>
      </w:r>
      <w:r w:rsidR="008D662B">
        <w:t>sional correlation spectroscopy</w:t>
      </w:r>
      <w:r w:rsidRPr="008E3F30">
        <w:t xml:space="preserve"> </w:t>
      </w:r>
      <w:r w:rsidR="008D662B">
        <w:t>(Fig. 1 and Figs.</w:t>
      </w:r>
      <w:r w:rsidRPr="008E3F30">
        <w:t xml:space="preserve"> </w:t>
      </w:r>
      <w:proofErr w:type="gramStart"/>
      <w:r w:rsidRPr="008E3F30">
        <w:t>S1</w:t>
      </w:r>
      <w:r w:rsidR="008D662B">
        <w:t>–S6 in the Electronic supplementary information (ESI),</w:t>
      </w:r>
      <w:r w:rsidRPr="008E3F30">
        <w:t xml:space="preserve"> respectively), as well as </w:t>
      </w:r>
      <w:r w:rsidRPr="008E3F30">
        <w:rPr>
          <w:vertAlign w:val="superscript"/>
        </w:rPr>
        <w:t>1</w:t>
      </w:r>
      <w:r w:rsidRPr="008E3F30">
        <w:t>H NMR spectr</w:t>
      </w:r>
      <w:r w:rsidR="00EA6247">
        <w:t xml:space="preserve">oscopy </w:t>
      </w:r>
      <w:r w:rsidRPr="003B6821">
        <w:t xml:space="preserve">of </w:t>
      </w:r>
      <w:r w:rsidR="003B6821" w:rsidRPr="003B6821">
        <w:t xml:space="preserve">the </w:t>
      </w:r>
      <w:r w:rsidRPr="003B6821">
        <w:t>metathesis polymers obtained in the presence of DMM</w:t>
      </w:r>
      <w:r w:rsidRPr="008E3F30">
        <w:t xml:space="preserve"> [5].</w:t>
      </w:r>
      <w:proofErr w:type="gramEnd"/>
      <w:r w:rsidRPr="008E3F30">
        <w:t xml:space="preserve"> The presence of </w:t>
      </w:r>
      <w:r w:rsidR="00EA6247">
        <w:t xml:space="preserve">the </w:t>
      </w:r>
      <w:r w:rsidRPr="008E3F30">
        <w:t>signals from protons of double bonds connected with ester group indicate</w:t>
      </w:r>
      <w:r w:rsidR="00EA6247">
        <w:t>d</w:t>
      </w:r>
      <w:r w:rsidRPr="008E3F30">
        <w:t xml:space="preserve"> </w:t>
      </w:r>
      <w:r w:rsidR="00EA6247">
        <w:t xml:space="preserve">the formation of </w:t>
      </w:r>
      <w:r w:rsidRPr="008E3F30">
        <w:t xml:space="preserve">a </w:t>
      </w:r>
      <w:proofErr w:type="spellStart"/>
      <w:r w:rsidRPr="008E3F30">
        <w:t>telechelic</w:t>
      </w:r>
      <w:proofErr w:type="spellEnd"/>
      <w:r w:rsidRPr="008E3F30">
        <w:t>. Based on the integral intensity of protons of the double bond connected with</w:t>
      </w:r>
      <w:r w:rsidR="00EA6247">
        <w:t xml:space="preserve"> the</w:t>
      </w:r>
      <w:r w:rsidRPr="008E3F30">
        <w:t xml:space="preserve"> ester group (</w:t>
      </w:r>
      <w:r w:rsidRPr="008E3F30">
        <w:rPr>
          <w:i/>
          <w:iCs/>
        </w:rPr>
        <w:t>I</w:t>
      </w:r>
      <w:r w:rsidRPr="008E3F30">
        <w:rPr>
          <w:vertAlign w:val="subscript"/>
        </w:rPr>
        <w:t>7.01</w:t>
      </w:r>
      <w:r w:rsidR="00EA6247">
        <w:rPr>
          <w:vertAlign w:val="subscript"/>
        </w:rPr>
        <w:t>–</w:t>
      </w:r>
      <w:r w:rsidRPr="008E3F30">
        <w:rPr>
          <w:vertAlign w:val="subscript"/>
        </w:rPr>
        <w:t>6.89</w:t>
      </w:r>
      <w:r w:rsidRPr="008E3F30">
        <w:t xml:space="preserve"> and </w:t>
      </w:r>
      <w:r w:rsidRPr="008E3F30">
        <w:rPr>
          <w:i/>
          <w:iCs/>
        </w:rPr>
        <w:t>I</w:t>
      </w:r>
      <w:r w:rsidRPr="008E3F30">
        <w:rPr>
          <w:vertAlign w:val="subscript"/>
        </w:rPr>
        <w:t>5.83</w:t>
      </w:r>
      <w:r w:rsidR="00EA6247">
        <w:rPr>
          <w:vertAlign w:val="subscript"/>
        </w:rPr>
        <w:t>–</w:t>
      </w:r>
      <w:r w:rsidRPr="008E3F30">
        <w:rPr>
          <w:vertAlign w:val="subscript"/>
        </w:rPr>
        <w:t>5.75</w:t>
      </w:r>
      <w:r w:rsidRPr="008E3F30">
        <w:t>) and the double bond of the main chain (</w:t>
      </w:r>
      <w:r w:rsidRPr="008E3F30">
        <w:rPr>
          <w:i/>
          <w:iCs/>
        </w:rPr>
        <w:t>I</w:t>
      </w:r>
      <w:r w:rsidRPr="008E3F30">
        <w:rPr>
          <w:vertAlign w:val="subscript"/>
        </w:rPr>
        <w:t>5.43</w:t>
      </w:r>
      <w:r w:rsidR="00EA6247">
        <w:rPr>
          <w:vertAlign w:val="subscript"/>
        </w:rPr>
        <w:t>–</w:t>
      </w:r>
      <w:r w:rsidRPr="008E3F30">
        <w:rPr>
          <w:vertAlign w:val="subscript"/>
        </w:rPr>
        <w:t>5.04</w:t>
      </w:r>
      <w:r w:rsidRPr="008E3F30">
        <w:t xml:space="preserve">), the </w:t>
      </w:r>
      <w:r w:rsidR="00EA6247">
        <w:t xml:space="preserve">values of </w:t>
      </w:r>
      <w:proofErr w:type="spellStart"/>
      <w:r w:rsidRPr="003B6821">
        <w:rPr>
          <w:rStyle w:val="rynqvb"/>
          <w:i/>
        </w:rPr>
        <w:t>M</w:t>
      </w:r>
      <w:r w:rsidRPr="003B6821">
        <w:rPr>
          <w:rStyle w:val="rynqvb"/>
          <w:vertAlign w:val="subscript"/>
        </w:rPr>
        <w:t>n</w:t>
      </w:r>
      <w:r w:rsidRPr="003B6821">
        <w:rPr>
          <w:rStyle w:val="rynqvb"/>
          <w:vertAlign w:val="superscript"/>
        </w:rPr>
        <w:t>NMR</w:t>
      </w:r>
      <w:proofErr w:type="spellEnd"/>
      <w:r w:rsidRPr="008E3F30">
        <w:t xml:space="preserve"> w</w:t>
      </w:r>
      <w:r w:rsidR="00EA6247">
        <w:t>ere</w:t>
      </w:r>
      <w:r w:rsidRPr="008E3F30">
        <w:t xml:space="preserve"> calculated for all </w:t>
      </w:r>
      <w:r w:rsidR="003B6821">
        <w:t xml:space="preserve">the </w:t>
      </w:r>
      <w:proofErr w:type="gramStart"/>
      <w:r w:rsidR="003B6821">
        <w:t>poly(</w:t>
      </w:r>
      <w:proofErr w:type="spellStart"/>
      <w:proofErr w:type="gramEnd"/>
      <w:r w:rsidR="003B6821">
        <w:t>EtNB</w:t>
      </w:r>
      <w:proofErr w:type="spellEnd"/>
      <w:r w:rsidR="003B6821">
        <w:t xml:space="preserve">) </w:t>
      </w:r>
      <w:proofErr w:type="spellStart"/>
      <w:r w:rsidR="003B6821">
        <w:t>telechelics</w:t>
      </w:r>
      <w:proofErr w:type="spellEnd"/>
      <w:r w:rsidR="003B6821">
        <w:t>:</w:t>
      </w:r>
    </w:p>
    <w:p w:rsidR="00330FE0" w:rsidRPr="008E3F30" w:rsidRDefault="004E2216" w:rsidP="00330FE0">
      <w:pPr>
        <w:pStyle w:val="MainText"/>
        <w:ind w:firstLine="0"/>
        <w:jc w:val="center"/>
        <w:rPr>
          <w:sz w:val="20"/>
        </w:rPr>
      </w:pPr>
      <m:oMath>
        <m:sSubSup>
          <m:sSubSupPr>
            <m:ctrlPr>
              <w:rPr>
                <w:rFonts w:ascii="Cambria Math" w:hAnsi="Cambria Math"/>
                <w:i/>
                <w:szCs w:val="16"/>
              </w:rPr>
            </m:ctrlPr>
          </m:sSubSupPr>
          <m:e>
            <m:r>
              <w:rPr>
                <w:rFonts w:ascii="Cambria Math" w:hAnsi="Cambria Math"/>
                <w:szCs w:val="16"/>
              </w:rPr>
              <m:t>M</m:t>
            </m:r>
            <m:ctrlPr>
              <w:rPr>
                <w:rFonts w:ascii="Cambria Math" w:hAnsi="Cambria Math"/>
                <w:szCs w:val="16"/>
              </w:rPr>
            </m:ctrlPr>
          </m:e>
          <m:sub>
            <m:r>
              <w:rPr>
                <w:rFonts w:ascii="Cambria Math" w:hAnsi="Cambria Math"/>
                <w:szCs w:val="16"/>
              </w:rPr>
              <m:t>n</m:t>
            </m:r>
          </m:sub>
          <m:sup>
            <m:r>
              <w:rPr>
                <w:rFonts w:ascii="Cambria Math" w:hAnsi="Cambria Math"/>
                <w:szCs w:val="16"/>
              </w:rPr>
              <m:t>NMR</m:t>
            </m:r>
          </m:sup>
        </m:sSubSup>
        <m:r>
          <w:rPr>
            <w:rFonts w:ascii="Cambria Math" w:hAnsi="Cambria Math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Cs w:val="16"/>
              </w:rPr>
            </m:ctrlPr>
          </m:fPr>
          <m:num>
            <m:r>
              <w:rPr>
                <w:rFonts w:ascii="Cambria Math" w:hAnsi="Cambria Math"/>
                <w:szCs w:val="16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16"/>
                  </w:rPr>
                  <m:t>EtNB</m:t>
                </m:r>
              </m:e>
            </m:d>
            <m:r>
              <w:rPr>
                <w:rFonts w:ascii="Cambria Math" w:hAnsi="Cambria Math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Cs w:val="16"/>
                  </w:rPr>
                  <m:t>2×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5.43-5.04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+I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7.01-6.89</m:t>
                    </m:r>
                  </m:sub>
                </m:sSub>
                <m:r>
                  <w:rPr>
                    <w:rFonts w:ascii="Cambria Math" w:hAnsi="Cambria Math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5.83-5.75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7.01-6.89</m:t>
                    </m:r>
                  </m:sub>
                </m:sSub>
                <m:r>
                  <w:rPr>
                    <w:rFonts w:ascii="Cambria Math" w:hAnsi="Cambria Math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16"/>
                      </w:rPr>
                      <m:t>5.83-5.75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Cs w:val="16"/>
          </w:rPr>
          <m:t>+M</m:t>
        </m:r>
        <m:d>
          <m:dPr>
            <m:ctrlPr>
              <w:rPr>
                <w:rFonts w:ascii="Cambria Math" w:hAnsi="Cambria Math"/>
                <w:i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16"/>
              </w:rPr>
              <m:t>DMM</m:t>
            </m:r>
          </m:e>
        </m:d>
      </m:oMath>
      <w:r w:rsidR="00330FE0" w:rsidRPr="008E3F30">
        <w:rPr>
          <w:rFonts w:eastAsiaTheme="minorEastAsia"/>
          <w:szCs w:val="16"/>
        </w:rPr>
        <w:t>,</w:t>
      </w:r>
    </w:p>
    <w:p w:rsidR="00330FE0" w:rsidRPr="008E3F30" w:rsidRDefault="00330FE0" w:rsidP="003B6821">
      <w:pPr>
        <w:pStyle w:val="MainText"/>
        <w:spacing w:before="120"/>
        <w:ind w:firstLine="0"/>
      </w:pPr>
      <w:proofErr w:type="gramStart"/>
      <w:r w:rsidRPr="008E3F30">
        <w:lastRenderedPageBreak/>
        <w:t>where</w:t>
      </w:r>
      <w:proofErr w:type="gramEnd"/>
      <w:r w:rsidRPr="008E3F30">
        <w:t xml:space="preserve"> </w:t>
      </w:r>
      <w:r w:rsidRPr="008E3F30">
        <w:rPr>
          <w:i/>
        </w:rPr>
        <w:t>M</w:t>
      </w:r>
      <w:r w:rsidRPr="008E3F30">
        <w:t>(</w:t>
      </w:r>
      <w:proofErr w:type="spellStart"/>
      <w:r w:rsidRPr="008E3F30">
        <w:t>EtNB</w:t>
      </w:r>
      <w:proofErr w:type="spellEnd"/>
      <w:r w:rsidRPr="008E3F30">
        <w:t xml:space="preserve">) is the molar mass of 5-ethyl-2-norbornene, equal to 122.2 g/mol, </w:t>
      </w:r>
      <w:r w:rsidRPr="008E3F30">
        <w:rPr>
          <w:i/>
        </w:rPr>
        <w:t>M</w:t>
      </w:r>
      <w:r w:rsidRPr="008E3F30">
        <w:t xml:space="preserve">(DMM) is the molar mass of </w:t>
      </w:r>
      <w:proofErr w:type="spellStart"/>
      <w:r w:rsidRPr="008E3F30">
        <w:t>dimethyl</w:t>
      </w:r>
      <w:proofErr w:type="spellEnd"/>
      <w:r w:rsidRPr="008E3F30">
        <w:t xml:space="preserve"> </w:t>
      </w:r>
      <w:proofErr w:type="spellStart"/>
      <w:r w:rsidRPr="008E3F30">
        <w:t>maleate</w:t>
      </w:r>
      <w:proofErr w:type="spellEnd"/>
      <w:r w:rsidRPr="008E3F30">
        <w:t>, equal to 144.1 g/mol.</w:t>
      </w:r>
    </w:p>
    <w:p w:rsidR="00330FE0" w:rsidRPr="008E3F30" w:rsidRDefault="00330FE0" w:rsidP="00330FE0">
      <w:pPr>
        <w:pStyle w:val="MainText"/>
        <w:spacing w:before="200" w:after="120"/>
        <w:ind w:firstLine="0"/>
        <w:rPr>
          <w:lang w:val="ru-RU"/>
        </w:rPr>
      </w:pPr>
      <w:r w:rsidRPr="008E3F30">
        <w:rPr>
          <w:noProof/>
          <w:lang w:val="ru-RU" w:eastAsia="ru-RU"/>
        </w:rPr>
        <w:drawing>
          <wp:inline distT="0" distB="0" distL="0" distR="0">
            <wp:extent cx="2887923" cy="1391333"/>
            <wp:effectExtent l="19050" t="0" r="7677" b="0"/>
            <wp:docPr id="5" name="Рисунок 5" descr="D:\TIPS\YandexDisk\НИР\Documents\Articles\22 PolyEtNB with DMM for INEOS Open\HSQC-DEPT13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IPS\YandexDisk\НИР\Documents\Articles\22 PolyEtNB with DMM for INEOS Open\HSQC-DEPT135.tif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12" cy="13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0" w:rsidRPr="008E3F30" w:rsidRDefault="00330FE0" w:rsidP="00330FE0">
      <w:pPr>
        <w:pStyle w:val="Captions"/>
        <w:spacing w:before="120" w:after="200" w:line="276" w:lineRule="auto"/>
        <w:ind w:firstLine="0"/>
        <w:rPr>
          <w:sz w:val="16"/>
          <w:szCs w:val="16"/>
        </w:rPr>
      </w:pPr>
      <w:proofErr w:type="gramStart"/>
      <w:r w:rsidRPr="00352D32">
        <w:rPr>
          <w:sz w:val="16"/>
          <w:szCs w:val="16"/>
        </w:rPr>
        <w:t>Figure 1.</w:t>
      </w:r>
      <w:proofErr w:type="gramEnd"/>
      <w:r w:rsidRPr="00352D32">
        <w:rPr>
          <w:b w:val="0"/>
          <w:sz w:val="16"/>
          <w:szCs w:val="16"/>
        </w:rPr>
        <w:t xml:space="preserve"> </w:t>
      </w:r>
      <w:r w:rsidRPr="00352D32">
        <w:rPr>
          <w:b w:val="0"/>
          <w:sz w:val="16"/>
          <w:szCs w:val="16"/>
          <w:vertAlign w:val="superscript"/>
        </w:rPr>
        <w:t>1</w:t>
      </w:r>
      <w:r w:rsidRPr="00352D32">
        <w:rPr>
          <w:b w:val="0"/>
          <w:sz w:val="16"/>
          <w:szCs w:val="16"/>
        </w:rPr>
        <w:t>H</w:t>
      </w:r>
      <w:r w:rsidR="003B6821">
        <w:rPr>
          <w:b w:val="0"/>
          <w:sz w:val="16"/>
          <w:szCs w:val="16"/>
        </w:rPr>
        <w:t>–</w:t>
      </w:r>
      <w:r w:rsidRPr="00352D32">
        <w:rPr>
          <w:b w:val="0"/>
          <w:sz w:val="16"/>
          <w:szCs w:val="16"/>
          <w:vertAlign w:val="superscript"/>
        </w:rPr>
        <w:t>13</w:t>
      </w:r>
      <w:r w:rsidRPr="00352D32">
        <w:rPr>
          <w:b w:val="0"/>
          <w:sz w:val="16"/>
          <w:szCs w:val="16"/>
        </w:rPr>
        <w:t xml:space="preserve">C HSQC spectrum of </w:t>
      </w:r>
      <w:proofErr w:type="gramStart"/>
      <w:r w:rsidRPr="00352D32">
        <w:rPr>
          <w:b w:val="0"/>
          <w:sz w:val="16"/>
          <w:szCs w:val="16"/>
        </w:rPr>
        <w:t>poly(</w:t>
      </w:r>
      <w:proofErr w:type="spellStart"/>
      <w:proofErr w:type="gramEnd"/>
      <w:r w:rsidRPr="00352D32">
        <w:rPr>
          <w:b w:val="0"/>
          <w:sz w:val="16"/>
          <w:szCs w:val="16"/>
        </w:rPr>
        <w:t>EtNB</w:t>
      </w:r>
      <w:proofErr w:type="spellEnd"/>
      <w:r w:rsidRPr="00352D32">
        <w:rPr>
          <w:b w:val="0"/>
          <w:sz w:val="16"/>
          <w:szCs w:val="16"/>
        </w:rPr>
        <w:t>) characterized</w:t>
      </w:r>
      <w:r w:rsidR="003B6821">
        <w:rPr>
          <w:b w:val="0"/>
          <w:sz w:val="16"/>
          <w:szCs w:val="16"/>
        </w:rPr>
        <w:t xml:space="preserve"> by</w:t>
      </w:r>
      <w:r w:rsidRPr="00352D32">
        <w:rPr>
          <w:b w:val="0"/>
          <w:sz w:val="16"/>
          <w:szCs w:val="16"/>
        </w:rPr>
        <w:t xml:space="preserve"> </w:t>
      </w:r>
      <w:proofErr w:type="spellStart"/>
      <w:r w:rsidRPr="00352D32">
        <w:rPr>
          <w:b w:val="0"/>
          <w:i/>
          <w:sz w:val="16"/>
          <w:szCs w:val="16"/>
        </w:rPr>
        <w:t>M</w:t>
      </w:r>
      <w:r w:rsidRPr="003B6821">
        <w:rPr>
          <w:b w:val="0"/>
          <w:sz w:val="16"/>
          <w:szCs w:val="16"/>
          <w:vertAlign w:val="subscript"/>
        </w:rPr>
        <w:t>n</w:t>
      </w:r>
      <w:r w:rsidRPr="003B6821">
        <w:rPr>
          <w:b w:val="0"/>
          <w:sz w:val="16"/>
          <w:szCs w:val="16"/>
          <w:vertAlign w:val="superscript"/>
        </w:rPr>
        <w:t>GPC</w:t>
      </w:r>
      <w:proofErr w:type="spellEnd"/>
      <w:r w:rsidRPr="00352D32">
        <w:rPr>
          <w:b w:val="0"/>
          <w:sz w:val="16"/>
          <w:szCs w:val="16"/>
        </w:rPr>
        <w:t xml:space="preserve"> = 6.6 </w:t>
      </w:r>
      <w:proofErr w:type="spellStart"/>
      <w:r w:rsidRPr="00352D32">
        <w:rPr>
          <w:b w:val="0"/>
          <w:sz w:val="16"/>
          <w:szCs w:val="16"/>
        </w:rPr>
        <w:t>kDa</w:t>
      </w:r>
      <w:proofErr w:type="spellEnd"/>
      <w:r w:rsidRPr="00352D32">
        <w:rPr>
          <w:b w:val="0"/>
          <w:sz w:val="16"/>
          <w:szCs w:val="16"/>
        </w:rPr>
        <w:t xml:space="preserve">, </w:t>
      </w:r>
      <w:r w:rsidRPr="003B6821">
        <w:rPr>
          <w:b w:val="0"/>
          <w:i/>
          <w:sz w:val="16"/>
          <w:szCs w:val="16"/>
        </w:rPr>
        <w:t>Ɖ</w:t>
      </w:r>
      <w:r w:rsidRPr="00352D32">
        <w:rPr>
          <w:b w:val="0"/>
          <w:sz w:val="16"/>
          <w:szCs w:val="16"/>
        </w:rPr>
        <w:t xml:space="preserve"> = 2.7.</w:t>
      </w:r>
    </w:p>
    <w:p w:rsidR="00330FE0" w:rsidRPr="008E3F30" w:rsidRDefault="00330FE0" w:rsidP="00330FE0">
      <w:pPr>
        <w:pStyle w:val="MainText"/>
        <w:ind w:firstLine="284"/>
      </w:pPr>
      <w:r w:rsidRPr="008E3F30">
        <w:t>A decrease in the</w:t>
      </w:r>
      <w:r w:rsidR="00113FAC">
        <w:t xml:space="preserve"> </w:t>
      </w:r>
      <w:r w:rsidR="00113FAC" w:rsidRPr="008E3F30">
        <w:t>([</w:t>
      </w:r>
      <w:proofErr w:type="spellStart"/>
      <w:r w:rsidR="00113FAC" w:rsidRPr="008E3F30">
        <w:t>EtNB</w:t>
      </w:r>
      <w:proofErr w:type="spellEnd"/>
      <w:proofErr w:type="gramStart"/>
      <w:r w:rsidR="00113FAC" w:rsidRPr="008E3F30">
        <w:t>]+</w:t>
      </w:r>
      <w:proofErr w:type="gramEnd"/>
      <w:r w:rsidR="00113FAC" w:rsidRPr="008E3F30">
        <w:t>[DMM])/([Gr2])</w:t>
      </w:r>
      <w:r w:rsidRPr="008E3F30">
        <w:t xml:space="preserve"> </w:t>
      </w:r>
      <w:r w:rsidR="00E6767D" w:rsidRPr="008E3F30">
        <w:t xml:space="preserve">ratio </w:t>
      </w:r>
      <w:r w:rsidRPr="008E3F30">
        <w:t xml:space="preserve">at </w:t>
      </w:r>
      <w:proofErr w:type="spellStart"/>
      <w:r w:rsidRPr="008E3F30">
        <w:t>equimolar</w:t>
      </w:r>
      <w:proofErr w:type="spellEnd"/>
      <w:r w:rsidRPr="008E3F30">
        <w:t xml:space="preserve"> amounts of </w:t>
      </w:r>
      <w:proofErr w:type="spellStart"/>
      <w:r w:rsidRPr="008E3F30">
        <w:t>EtNB</w:t>
      </w:r>
      <w:proofErr w:type="spellEnd"/>
      <w:r w:rsidRPr="008E3F30">
        <w:t xml:space="preserve"> and DMM in the reaction mixture led to a decrease in </w:t>
      </w:r>
      <w:proofErr w:type="spellStart"/>
      <w:r w:rsidRPr="00E6767D">
        <w:rPr>
          <w:rStyle w:val="rynqvb"/>
          <w:i/>
        </w:rPr>
        <w:t>M</w:t>
      </w:r>
      <w:r w:rsidRPr="00E6767D">
        <w:rPr>
          <w:rStyle w:val="rynqvb"/>
          <w:vertAlign w:val="subscript"/>
        </w:rPr>
        <w:t>n</w:t>
      </w:r>
      <w:r w:rsidRPr="00E6767D">
        <w:rPr>
          <w:rStyle w:val="rynqvb"/>
          <w:vertAlign w:val="superscript"/>
        </w:rPr>
        <w:t>GPC</w:t>
      </w:r>
      <w:proofErr w:type="spellEnd"/>
      <w:r w:rsidRPr="00E6767D">
        <w:t xml:space="preserve"> </w:t>
      </w:r>
      <w:r w:rsidRPr="008E3F30">
        <w:t xml:space="preserve">of the product (Table 1, </w:t>
      </w:r>
      <w:r w:rsidR="00E6767D">
        <w:t>entries</w:t>
      </w:r>
      <w:r w:rsidRPr="008E3F30">
        <w:t xml:space="preserve"> 1</w:t>
      </w:r>
      <w:r w:rsidR="00E6767D">
        <w:t>–</w:t>
      </w:r>
      <w:r w:rsidRPr="008E3F30">
        <w:t xml:space="preserve">4). It should be noted that low concentrations of Gr2 are sufficient for intense polymerization of the </w:t>
      </w:r>
      <w:proofErr w:type="spellStart"/>
      <w:r w:rsidRPr="008E3F30">
        <w:t>cycloolefin</w:t>
      </w:r>
      <w:proofErr w:type="spellEnd"/>
      <w:r w:rsidRPr="008E3F30">
        <w:t xml:space="preserve"> and insufficient for cross-metathesis between </w:t>
      </w:r>
      <w:proofErr w:type="gramStart"/>
      <w:r w:rsidRPr="008E3F30">
        <w:t>poly(</w:t>
      </w:r>
      <w:proofErr w:type="spellStart"/>
      <w:proofErr w:type="gramEnd"/>
      <w:r w:rsidRPr="008E3F30">
        <w:t>EtNB</w:t>
      </w:r>
      <w:proofErr w:type="spellEnd"/>
      <w:r w:rsidRPr="008E3F30">
        <w:t xml:space="preserve">) and DMM. A decrease in </w:t>
      </w:r>
      <w:r w:rsidR="00E6767D">
        <w:t xml:space="preserve">the </w:t>
      </w:r>
      <w:r w:rsidRPr="008E3F30">
        <w:t>concentration</w:t>
      </w:r>
      <w:r w:rsidR="00E6767D">
        <w:t xml:space="preserve"> of</w:t>
      </w:r>
      <w:r w:rsidRPr="008E3F30">
        <w:t xml:space="preserve"> </w:t>
      </w:r>
      <w:proofErr w:type="spellStart"/>
      <w:r w:rsidRPr="008E3F30">
        <w:t>EtNB</w:t>
      </w:r>
      <w:proofErr w:type="spellEnd"/>
      <w:r w:rsidRPr="008E3F30">
        <w:t xml:space="preserve"> also contributed to the intensification of the cross-metathesis reaction between </w:t>
      </w:r>
      <w:r w:rsidR="00E6767D">
        <w:t>resulting</w:t>
      </w:r>
      <w:r w:rsidRPr="008E3F30">
        <w:t xml:space="preserve"> poly(</w:t>
      </w:r>
      <w:proofErr w:type="spellStart"/>
      <w:r w:rsidRPr="008E3F30">
        <w:t>EtNB</w:t>
      </w:r>
      <w:proofErr w:type="spellEnd"/>
      <w:r w:rsidRPr="008E3F30">
        <w:t>) and DMM (</w:t>
      </w:r>
      <w:r w:rsidR="00E6767D">
        <w:t>entries</w:t>
      </w:r>
      <w:r w:rsidRPr="008E3F30">
        <w:t xml:space="preserve"> 5, 6, 2, 7), which is probably due to an increase in t</w:t>
      </w:r>
      <w:r w:rsidR="00E6767D">
        <w:t>he solubility of poly(</w:t>
      </w:r>
      <w:proofErr w:type="spellStart"/>
      <w:r w:rsidR="00E6767D">
        <w:t>EtNB</w:t>
      </w:r>
      <w:proofErr w:type="spellEnd"/>
      <w:r w:rsidR="00E6767D">
        <w:t xml:space="preserve">), </w:t>
      </w:r>
      <w:r w:rsidRPr="008E3F30">
        <w:t xml:space="preserve">facilitating accessibility of the double bonds of the polymer backbone. Increasing the amount of DMM (Table 1, </w:t>
      </w:r>
      <w:r w:rsidR="00E6767D">
        <w:t>entries</w:t>
      </w:r>
      <w:r w:rsidRPr="008E3F30">
        <w:t xml:space="preserve"> 8</w:t>
      </w:r>
      <w:r w:rsidR="00E6767D">
        <w:t>–</w:t>
      </w:r>
      <w:r w:rsidRPr="008E3F30">
        <w:t xml:space="preserve">10, 3) appeared to contribute to a slight decrease in </w:t>
      </w:r>
      <w:proofErr w:type="spellStart"/>
      <w:r w:rsidRPr="008E3F30">
        <w:rPr>
          <w:rStyle w:val="rynqvb"/>
          <w:i/>
        </w:rPr>
        <w:t>M</w:t>
      </w:r>
      <w:r w:rsidRPr="00E6767D">
        <w:rPr>
          <w:rStyle w:val="rynqvb"/>
          <w:vertAlign w:val="subscript"/>
        </w:rPr>
        <w:t>n</w:t>
      </w:r>
      <w:r w:rsidRPr="00E6767D">
        <w:rPr>
          <w:rStyle w:val="rynqvb"/>
          <w:vertAlign w:val="superscript"/>
        </w:rPr>
        <w:t>GPC</w:t>
      </w:r>
      <w:proofErr w:type="spellEnd"/>
      <w:r w:rsidRPr="008E3F30">
        <w:t>. However, excess DMM promotes the precipitation of</w:t>
      </w:r>
      <w:r w:rsidR="00E6767D">
        <w:t xml:space="preserve"> </w:t>
      </w:r>
      <w:proofErr w:type="gramStart"/>
      <w:r w:rsidR="00E6767D">
        <w:t>poly(</w:t>
      </w:r>
      <w:proofErr w:type="spellStart"/>
      <w:proofErr w:type="gramEnd"/>
      <w:r w:rsidR="00E6767D">
        <w:t>EtNB</w:t>
      </w:r>
      <w:proofErr w:type="spellEnd"/>
      <w:r w:rsidR="00E6767D">
        <w:t xml:space="preserve">), which may lead to </w:t>
      </w:r>
      <w:r w:rsidRPr="008E3F30">
        <w:t xml:space="preserve">broadening of </w:t>
      </w:r>
      <w:r w:rsidRPr="00E6767D">
        <w:rPr>
          <w:i/>
        </w:rPr>
        <w:t>Ð</w:t>
      </w:r>
      <w:r w:rsidRPr="008E3F30">
        <w:t xml:space="preserve">. For example, </w:t>
      </w:r>
      <w:r w:rsidR="00E6767D">
        <w:t xml:space="preserve">the </w:t>
      </w:r>
      <w:r w:rsidRPr="008E3F30">
        <w:t xml:space="preserve">products with high </w:t>
      </w:r>
      <w:proofErr w:type="spellStart"/>
      <w:r w:rsidRPr="008E3F30">
        <w:rPr>
          <w:rStyle w:val="rynqvb"/>
          <w:i/>
        </w:rPr>
        <w:t>M</w:t>
      </w:r>
      <w:r w:rsidRPr="00E6767D">
        <w:rPr>
          <w:rStyle w:val="rynqvb"/>
          <w:vertAlign w:val="subscript"/>
        </w:rPr>
        <w:t>n</w:t>
      </w:r>
      <w:r w:rsidRPr="00E6767D">
        <w:rPr>
          <w:rStyle w:val="rynqvb"/>
          <w:vertAlign w:val="superscript"/>
        </w:rPr>
        <w:t>GPC</w:t>
      </w:r>
      <w:proofErr w:type="spellEnd"/>
      <w:r w:rsidRPr="00E6767D">
        <w:t xml:space="preserve"> </w:t>
      </w:r>
      <w:r w:rsidR="00E6767D">
        <w:t xml:space="preserve">were characterized by a broad dispersion </w:t>
      </w:r>
      <w:r w:rsidRPr="008E3F30">
        <w:t>(</w:t>
      </w:r>
      <w:r w:rsidR="00E6767D">
        <w:t>entries</w:t>
      </w:r>
      <w:r w:rsidRPr="008E3F30">
        <w:t xml:space="preserve"> 1 and 5).</w:t>
      </w:r>
    </w:p>
    <w:p w:rsidR="00330FE0" w:rsidRPr="008E3F30" w:rsidRDefault="00330FE0" w:rsidP="00330FE0">
      <w:pPr>
        <w:pStyle w:val="Captions"/>
        <w:spacing w:after="120" w:line="276" w:lineRule="auto"/>
        <w:ind w:firstLine="0"/>
        <w:rPr>
          <w:b w:val="0"/>
          <w:sz w:val="16"/>
          <w:szCs w:val="16"/>
        </w:rPr>
      </w:pPr>
      <w:proofErr w:type="gramStart"/>
      <w:r w:rsidRPr="008E3F30">
        <w:rPr>
          <w:sz w:val="16"/>
          <w:szCs w:val="16"/>
        </w:rPr>
        <w:t>Table 1.</w:t>
      </w:r>
      <w:proofErr w:type="gramEnd"/>
      <w:r w:rsidRPr="008E3F30">
        <w:rPr>
          <w:b w:val="0"/>
          <w:sz w:val="16"/>
          <w:szCs w:val="16"/>
        </w:rPr>
        <w:t xml:space="preserve"> Polymerization conditions and characteristics of </w:t>
      </w:r>
      <w:r w:rsidR="003E6B4F">
        <w:rPr>
          <w:b w:val="0"/>
          <w:sz w:val="16"/>
          <w:szCs w:val="16"/>
        </w:rPr>
        <w:t xml:space="preserve">the resulting </w:t>
      </w:r>
      <w:proofErr w:type="gramStart"/>
      <w:r w:rsidRPr="008E3F30">
        <w:rPr>
          <w:b w:val="0"/>
          <w:sz w:val="16"/>
          <w:szCs w:val="16"/>
        </w:rPr>
        <w:t>poly(</w:t>
      </w:r>
      <w:proofErr w:type="spellStart"/>
      <w:proofErr w:type="gramEnd"/>
      <w:r w:rsidRPr="008E3F30">
        <w:rPr>
          <w:b w:val="0"/>
          <w:sz w:val="16"/>
          <w:szCs w:val="16"/>
        </w:rPr>
        <w:t>EtNB</w:t>
      </w:r>
      <w:proofErr w:type="spellEnd"/>
      <w:r w:rsidRPr="008E3F30">
        <w:rPr>
          <w:b w:val="0"/>
          <w:sz w:val="16"/>
          <w:szCs w:val="16"/>
        </w:rPr>
        <w:t xml:space="preserve">) </w:t>
      </w:r>
      <w:proofErr w:type="spellStart"/>
      <w:r w:rsidRPr="008E3F30">
        <w:rPr>
          <w:b w:val="0"/>
          <w:sz w:val="16"/>
          <w:szCs w:val="16"/>
        </w:rPr>
        <w:t>telechelics</w:t>
      </w:r>
      <w:proofErr w:type="spellEnd"/>
    </w:p>
    <w:tbl>
      <w:tblPr>
        <w:tblStyle w:val="af2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7"/>
        <w:gridCol w:w="780"/>
        <w:gridCol w:w="576"/>
        <w:gridCol w:w="1346"/>
        <w:gridCol w:w="620"/>
        <w:gridCol w:w="559"/>
        <w:gridCol w:w="278"/>
      </w:tblGrid>
      <w:tr w:rsidR="00330FE0" w:rsidRPr="008E3F30" w:rsidTr="003E6B4F">
        <w:trPr>
          <w:trHeight w:val="467"/>
          <w:tblHeader/>
          <w:jc w:val="center"/>
        </w:trPr>
        <w:tc>
          <w:tcPr>
            <w:tcW w:w="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E6767D" w:rsidRDefault="00E6767D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Entry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C</w:t>
            </w:r>
            <w:r w:rsidRPr="00E6767D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M</w:t>
            </w: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EtNB</w:t>
            </w:r>
            <w:proofErr w:type="spellEnd"/>
            <w:r w:rsidRPr="008E3F30">
              <w:rPr>
                <w:rFonts w:ascii="Times New Roman" w:hAnsi="Times New Roman" w:cs="Times New Roman"/>
                <w:sz w:val="16"/>
                <w:szCs w:val="16"/>
              </w:rPr>
              <w:t xml:space="preserve">), 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</w:t>
            </w: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gramStart"/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proofErr w:type="spellStart"/>
            <w:proofErr w:type="gramEnd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tNB</w:t>
            </w:r>
            <w:proofErr w:type="spellEnd"/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]/</w:t>
            </w:r>
          </w:p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DMM</w:t>
            </w: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([</w:t>
            </w:r>
            <w:proofErr w:type="gramStart"/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proofErr w:type="spellStart"/>
            <w:proofErr w:type="gramEnd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tNB</w:t>
            </w:r>
            <w:proofErr w:type="spellEnd"/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]+[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DMM</w:t>
            </w: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])/</w:t>
            </w:r>
          </w:p>
          <w:p w:rsidR="00330FE0" w:rsidRPr="008E3F30" w:rsidRDefault="00330FE0" w:rsidP="00E6767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Gr2], ×10</w:t>
            </w:r>
            <w:r w:rsidR="00E6767D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3F30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M</w:t>
            </w:r>
            <w:r w:rsidRPr="00E6767D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n</w:t>
            </w:r>
            <w:r w:rsidRPr="00E6767D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NMR</w:t>
            </w:r>
            <w:proofErr w:type="spellEnd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kDa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ko-KR"/>
              </w:rPr>
            </w:pPr>
            <w:proofErr w:type="spellStart"/>
            <w:r w:rsidRPr="008E3F30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M</w:t>
            </w:r>
            <w:r w:rsidRPr="00E6767D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n</w:t>
            </w:r>
            <w:r w:rsidRPr="00E6767D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GPC</w:t>
            </w:r>
            <w:proofErr w:type="spellEnd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kDa</w:t>
            </w:r>
            <w:proofErr w:type="spellEnd"/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Ð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542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584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12.3</w:t>
            </w:r>
          </w:p>
        </w:tc>
        <w:tc>
          <w:tcPr>
            <w:tcW w:w="262" w:type="dxa"/>
            <w:tcBorders>
              <w:top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5.6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58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5.8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584" w:type="dxa"/>
            <w:vAlign w:val="center"/>
          </w:tcPr>
          <w:p w:rsidR="00330FE0" w:rsidRPr="00E03A13" w:rsidRDefault="00330FE0" w:rsidP="00E03A1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4.6</w:t>
            </w:r>
            <w:r w:rsidR="00E03A13" w:rsidRPr="00E03A13">
              <w:rPr>
                <w:rFonts w:ascii="Times New Roman" w:hAnsi="Times New Roman" w:cs="Times New Roman"/>
                <w:b/>
                <w:i/>
                <w:sz w:val="16"/>
                <w:szCs w:val="16"/>
                <w:vertAlign w:val="superscript"/>
                <w:lang w:val="en-US"/>
              </w:rPr>
              <w:t>a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6.6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2.7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584" w:type="dxa"/>
            <w:vAlign w:val="center"/>
          </w:tcPr>
          <w:p w:rsidR="00330FE0" w:rsidRPr="00E03A13" w:rsidRDefault="00330FE0" w:rsidP="00E03A1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3.9</w:t>
            </w:r>
            <w:r w:rsidR="00E03A13" w:rsidRPr="00E03A13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val="en-US"/>
              </w:rPr>
              <w:t>b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6.2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2.7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58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13.6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5.2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2.9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58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7.7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8.4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58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6.0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8.1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58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7.3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9.0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73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54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267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584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6.2</w:t>
            </w:r>
          </w:p>
        </w:tc>
        <w:tc>
          <w:tcPr>
            <w:tcW w:w="526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7.9</w:t>
            </w:r>
          </w:p>
        </w:tc>
        <w:tc>
          <w:tcPr>
            <w:tcW w:w="262" w:type="dxa"/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2.7</w:t>
            </w:r>
          </w:p>
        </w:tc>
      </w:tr>
      <w:tr w:rsidR="00330FE0" w:rsidRPr="008E3F30" w:rsidTr="00E6767D">
        <w:trPr>
          <w:trHeight w:val="227"/>
          <w:jc w:val="center"/>
        </w:trPr>
        <w:tc>
          <w:tcPr>
            <w:tcW w:w="176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7.1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262" w:type="dxa"/>
            <w:tcBorders>
              <w:bottom w:val="single" w:sz="4" w:space="0" w:color="auto"/>
            </w:tcBorders>
            <w:vAlign w:val="center"/>
          </w:tcPr>
          <w:p w:rsidR="00330FE0" w:rsidRPr="008E3F30" w:rsidRDefault="00330FE0" w:rsidP="008D66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3F30">
              <w:rPr>
                <w:rFonts w:ascii="Times New Roman" w:hAnsi="Times New Roman" w:cs="Times New Roman"/>
                <w:sz w:val="16"/>
                <w:szCs w:val="16"/>
              </w:rPr>
              <w:t>3.1</w:t>
            </w:r>
          </w:p>
        </w:tc>
      </w:tr>
    </w:tbl>
    <w:p w:rsidR="00330FE0" w:rsidRPr="008E3F30" w:rsidRDefault="00E6767D" w:rsidP="00E6767D">
      <w:pPr>
        <w:pStyle w:val="MainText"/>
        <w:spacing w:before="60"/>
        <w:ind w:firstLine="0"/>
      </w:pPr>
      <w:r>
        <w:rPr>
          <w:sz w:val="16"/>
        </w:rPr>
        <w:t xml:space="preserve">reaction conditions: the second-generation </w:t>
      </w:r>
      <w:r w:rsidR="00330FE0" w:rsidRPr="008E3F30">
        <w:rPr>
          <w:sz w:val="16"/>
        </w:rPr>
        <w:t>Grubbs catalyst, CHCl</w:t>
      </w:r>
      <w:r w:rsidR="00330FE0" w:rsidRPr="008E3F30">
        <w:rPr>
          <w:sz w:val="16"/>
          <w:vertAlign w:val="subscript"/>
        </w:rPr>
        <w:t>3</w:t>
      </w:r>
      <w:r w:rsidRPr="00E6767D">
        <w:rPr>
          <w:sz w:val="16"/>
        </w:rPr>
        <w:t xml:space="preserve">, </w:t>
      </w:r>
      <w:r w:rsidR="00330FE0" w:rsidRPr="008E3F30">
        <w:rPr>
          <w:sz w:val="16"/>
        </w:rPr>
        <w:t>6 h, 60</w:t>
      </w:r>
      <w:r>
        <w:rPr>
          <w:sz w:val="16"/>
        </w:rPr>
        <w:t xml:space="preserve"> </w:t>
      </w:r>
      <w:r w:rsidR="00330FE0" w:rsidRPr="008E3F30">
        <w:rPr>
          <w:sz w:val="16"/>
        </w:rPr>
        <w:t>°C</w:t>
      </w:r>
      <w:r>
        <w:rPr>
          <w:sz w:val="16"/>
        </w:rPr>
        <w:t>, s</w:t>
      </w:r>
      <w:r w:rsidR="00330FE0" w:rsidRPr="008E3F30">
        <w:rPr>
          <w:sz w:val="16"/>
        </w:rPr>
        <w:t>tir</w:t>
      </w:r>
      <w:r>
        <w:rPr>
          <w:sz w:val="16"/>
        </w:rPr>
        <w:t>ring</w:t>
      </w:r>
      <w:r w:rsidR="00330FE0" w:rsidRPr="008E3F30">
        <w:rPr>
          <w:sz w:val="16"/>
        </w:rPr>
        <w:t xml:space="preserve"> in a shaker</w:t>
      </w:r>
      <w:r>
        <w:rPr>
          <w:sz w:val="16"/>
        </w:rPr>
        <w:t>; y</w:t>
      </w:r>
      <w:r w:rsidR="00330FE0" w:rsidRPr="008E3F30">
        <w:rPr>
          <w:sz w:val="16"/>
        </w:rPr>
        <w:t>ield</w:t>
      </w:r>
      <w:r>
        <w:rPr>
          <w:sz w:val="16"/>
        </w:rPr>
        <w:t xml:space="preserve">s: </w:t>
      </w:r>
      <w:r w:rsidR="00330FE0" w:rsidRPr="008E3F30">
        <w:rPr>
          <w:sz w:val="16"/>
        </w:rPr>
        <w:t>79</w:t>
      </w:r>
      <w:r>
        <w:rPr>
          <w:sz w:val="16"/>
        </w:rPr>
        <w:t>–</w:t>
      </w:r>
      <w:r w:rsidR="00330FE0" w:rsidRPr="008E3F30">
        <w:rPr>
          <w:sz w:val="16"/>
        </w:rPr>
        <w:t>97</w:t>
      </w:r>
      <w:r>
        <w:rPr>
          <w:sz w:val="16"/>
        </w:rPr>
        <w:t>%;</w:t>
      </w:r>
      <w:r w:rsidR="00330FE0" w:rsidRPr="008E3F30">
        <w:rPr>
          <w:sz w:val="16"/>
        </w:rPr>
        <w:t xml:space="preserve"> </w:t>
      </w:r>
      <w:r w:rsidRPr="00E6767D">
        <w:rPr>
          <w:b/>
          <w:i/>
          <w:sz w:val="16"/>
          <w:szCs w:val="16"/>
          <w:vertAlign w:val="superscript"/>
        </w:rPr>
        <w:t>a</w:t>
      </w:r>
      <w:r>
        <w:rPr>
          <w:sz w:val="16"/>
        </w:rPr>
        <w:t xml:space="preserve"> yield</w:t>
      </w:r>
      <w:r w:rsidR="00E03A13">
        <w:rPr>
          <w:sz w:val="16"/>
        </w:rPr>
        <w:t>:</w:t>
      </w:r>
      <w:r w:rsidR="00330FE0" w:rsidRPr="008E3F30">
        <w:rPr>
          <w:sz w:val="16"/>
        </w:rPr>
        <w:t xml:space="preserve"> 24</w:t>
      </w:r>
      <w:r>
        <w:rPr>
          <w:sz w:val="16"/>
        </w:rPr>
        <w:t xml:space="preserve">%; </w:t>
      </w:r>
      <w:proofErr w:type="spellStart"/>
      <w:r w:rsidRPr="00E6767D">
        <w:rPr>
          <w:b/>
          <w:i/>
          <w:sz w:val="16"/>
          <w:vertAlign w:val="superscript"/>
        </w:rPr>
        <w:t>b</w:t>
      </w:r>
      <w:r>
        <w:rPr>
          <w:sz w:val="16"/>
        </w:rPr>
        <w:t>y</w:t>
      </w:r>
      <w:r w:rsidR="00330FE0" w:rsidRPr="008E3F30">
        <w:rPr>
          <w:sz w:val="16"/>
        </w:rPr>
        <w:t>ield</w:t>
      </w:r>
      <w:proofErr w:type="spellEnd"/>
      <w:r>
        <w:rPr>
          <w:sz w:val="16"/>
        </w:rPr>
        <w:t xml:space="preserve">: </w:t>
      </w:r>
      <w:r w:rsidR="00330FE0" w:rsidRPr="008E3F30">
        <w:rPr>
          <w:sz w:val="16"/>
        </w:rPr>
        <w:t>40</w:t>
      </w:r>
      <w:r>
        <w:rPr>
          <w:sz w:val="16"/>
        </w:rPr>
        <w:t>%;</w:t>
      </w:r>
      <w:r w:rsidR="00330FE0" w:rsidRPr="008E3F30">
        <w:rPr>
          <w:sz w:val="16"/>
        </w:rPr>
        <w:t xml:space="preserve"> </w:t>
      </w:r>
      <w:r w:rsidR="00330FE0" w:rsidRPr="008E3F30">
        <w:rPr>
          <w:i/>
          <w:iCs/>
          <w:sz w:val="16"/>
        </w:rPr>
        <w:t>T</w:t>
      </w:r>
      <w:r w:rsidR="00330FE0" w:rsidRPr="008E3F30">
        <w:rPr>
          <w:i/>
          <w:iCs/>
          <w:sz w:val="16"/>
          <w:vertAlign w:val="subscript"/>
        </w:rPr>
        <w:t>d</w:t>
      </w:r>
      <w:r w:rsidR="00330FE0" w:rsidRPr="008E3F30">
        <w:rPr>
          <w:sz w:val="16"/>
        </w:rPr>
        <w:t xml:space="preserve"> =</w:t>
      </w:r>
      <w:r>
        <w:rPr>
          <w:sz w:val="16"/>
        </w:rPr>
        <w:t xml:space="preserve"> </w:t>
      </w:r>
      <w:r w:rsidR="00330FE0" w:rsidRPr="008E3F30">
        <w:rPr>
          <w:sz w:val="16"/>
        </w:rPr>
        <w:t>237 °C.</w:t>
      </w:r>
    </w:p>
    <w:p w:rsidR="003E6B4F" w:rsidRDefault="00330FE0" w:rsidP="006620F2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30FE0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 xml:space="preserve"> values of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30FE0">
        <w:rPr>
          <w:rFonts w:ascii="Times New Roman" w:hAnsi="Times New Roman" w:cs="Times New Roman"/>
          <w:i/>
          <w:sz w:val="18"/>
          <w:szCs w:val="18"/>
          <w:lang w:val="en-US"/>
        </w:rPr>
        <w:t>M</w:t>
      </w:r>
      <w:r w:rsidRPr="00E6767D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r w:rsidRPr="00E6767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NMR</w:t>
      </w:r>
      <w:proofErr w:type="spellEnd"/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w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ere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usually lower than th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ose o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f </w:t>
      </w:r>
      <w:proofErr w:type="spellStart"/>
      <w:r w:rsidRPr="00330FE0">
        <w:rPr>
          <w:rFonts w:ascii="Times New Roman" w:hAnsi="Times New Roman" w:cs="Times New Roman"/>
          <w:i/>
          <w:sz w:val="18"/>
          <w:szCs w:val="18"/>
          <w:lang w:val="en-US"/>
        </w:rPr>
        <w:t>M</w:t>
      </w:r>
      <w:r w:rsidRPr="00E6767D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r w:rsidRPr="00E6767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GPC</w:t>
      </w:r>
      <w:proofErr w:type="spellEnd"/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, which may be due to the resolution of the GPC device, which does not take into account the molecular fraction below 1 </w:t>
      </w:r>
      <w:proofErr w:type="spellStart"/>
      <w:r w:rsidRPr="00330FE0">
        <w:rPr>
          <w:rFonts w:ascii="Times New Roman" w:hAnsi="Times New Roman" w:cs="Times New Roman"/>
          <w:sz w:val="18"/>
          <w:szCs w:val="18"/>
          <w:lang w:val="en-US"/>
        </w:rPr>
        <w:t>kDa</w:t>
      </w:r>
      <w:proofErr w:type="spellEnd"/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. Nevertheless, the results are comparable. It should be noted that a decrease in </w:t>
      </w:r>
      <w:proofErr w:type="spellStart"/>
      <w:r w:rsidRPr="00330FE0">
        <w:rPr>
          <w:rStyle w:val="rynqvb"/>
          <w:rFonts w:ascii="Times New Roman" w:hAnsi="Times New Roman" w:cs="Times New Roman"/>
          <w:i/>
          <w:sz w:val="18"/>
          <w:szCs w:val="18"/>
          <w:lang w:val="en-US"/>
        </w:rPr>
        <w:t>M</w:t>
      </w:r>
      <w:r w:rsidRPr="00E6767D">
        <w:rPr>
          <w:rStyle w:val="rynqvb"/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r w:rsidRPr="00E6767D">
        <w:rPr>
          <w:rStyle w:val="rynqvb"/>
          <w:rFonts w:ascii="Times New Roman" w:hAnsi="Times New Roman" w:cs="Times New Roman"/>
          <w:sz w:val="18"/>
          <w:szCs w:val="18"/>
          <w:vertAlign w:val="superscript"/>
          <w:lang w:val="en-US"/>
        </w:rPr>
        <w:t>GPC</w:t>
      </w:r>
      <w:proofErr w:type="spellEnd"/>
      <w:r w:rsidR="00EB24EC">
        <w:rPr>
          <w:rFonts w:ascii="Times New Roman" w:hAnsi="Times New Roman" w:cs="Times New Roman"/>
          <w:sz w:val="18"/>
          <w:szCs w:val="18"/>
          <w:lang w:val="en-US"/>
        </w:rPr>
        <w:t xml:space="preserve"> can lead to the partial 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loss of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th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e </w:t>
      </w:r>
      <w:proofErr w:type="gramStart"/>
      <w:r w:rsidRPr="00330FE0">
        <w:rPr>
          <w:rFonts w:ascii="Times New Roman" w:hAnsi="Times New Roman" w:cs="Times New Roman"/>
          <w:sz w:val="18"/>
          <w:szCs w:val="18"/>
          <w:lang w:val="en-US"/>
        </w:rPr>
        <w:t>poly(</w:t>
      </w:r>
      <w:proofErr w:type="spellStart"/>
      <w:proofErr w:type="gramEnd"/>
      <w:r w:rsidRPr="00330FE0">
        <w:rPr>
          <w:rFonts w:ascii="Times New Roman" w:hAnsi="Times New Roman" w:cs="Times New Roman"/>
          <w:sz w:val="18"/>
          <w:szCs w:val="18"/>
          <w:lang w:val="en-US"/>
        </w:rPr>
        <w:t>EtNB</w:t>
      </w:r>
      <w:proofErr w:type="spellEnd"/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30FE0">
        <w:rPr>
          <w:rFonts w:ascii="Times New Roman" w:hAnsi="Times New Roman" w:cs="Times New Roman"/>
          <w:sz w:val="18"/>
          <w:szCs w:val="18"/>
          <w:lang w:val="en-US"/>
        </w:rPr>
        <w:t>telechelic</w:t>
      </w:r>
      <w:proofErr w:type="spellEnd"/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during its isolation (Table 1,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entries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3 and 4).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In addition</w:t>
      </w:r>
      <w:r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, all products were characterized by GPC, DSC, and TGA. All the polymers obtained were characterized by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3E6B4F">
        <w:rPr>
          <w:rFonts w:ascii="Times New Roman" w:hAnsi="Times New Roman" w:cs="Times New Roman"/>
          <w:sz w:val="18"/>
          <w:szCs w:val="18"/>
          <w:lang w:val="en-US"/>
        </w:rPr>
        <w:br/>
      </w:r>
    </w:p>
    <w:p w:rsidR="00330FE0" w:rsidRPr="00330FE0" w:rsidRDefault="00EB24EC" w:rsidP="003E6B4F">
      <w:pPr>
        <w:spacing w:before="20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g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>lass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>transition temperature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s ranging within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31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35 °C, </w:t>
      </w:r>
      <w:r w:rsidR="00330FE0" w:rsidRPr="00E6767D">
        <w:rPr>
          <w:rFonts w:ascii="Times New Roman" w:hAnsi="Times New Roman" w:cs="Times New Roman"/>
          <w:i/>
          <w:sz w:val="18"/>
          <w:szCs w:val="18"/>
          <w:lang w:val="en-US"/>
        </w:rPr>
        <w:t>i.e.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the polymers are in a glassy state at room temperature. The data presented here are in good agreement with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results of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metathesis polymerization of 5-butyl-2-norbornene (BNB) [10].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 xml:space="preserve">However, 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to obtain a </w:t>
      </w:r>
      <w:proofErr w:type="gramStart"/>
      <w:r w:rsidR="00E6767D" w:rsidRPr="00330FE0">
        <w:rPr>
          <w:rFonts w:ascii="Times New Roman" w:hAnsi="Times New Roman" w:cs="Times New Roman"/>
          <w:sz w:val="18"/>
          <w:szCs w:val="18"/>
          <w:lang w:val="en-US"/>
        </w:rPr>
        <w:t>poly(</w:t>
      </w:r>
      <w:proofErr w:type="gramEnd"/>
      <w:r w:rsidR="00E6767D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BNB) </w:t>
      </w:r>
      <w:proofErr w:type="spellStart"/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>telechelic</w:t>
      </w:r>
      <w:proofErr w:type="spellEnd"/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similar to poly(</w:t>
      </w:r>
      <w:proofErr w:type="spellStart"/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>EtNB</w:t>
      </w:r>
      <w:proofErr w:type="spellEnd"/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) in </w:t>
      </w:r>
      <w:proofErr w:type="spellStart"/>
      <w:r w:rsidR="00330FE0" w:rsidRPr="00330FE0">
        <w:rPr>
          <w:rFonts w:ascii="Times New Roman" w:hAnsi="Times New Roman" w:cs="Times New Roman"/>
          <w:i/>
          <w:iCs/>
          <w:sz w:val="18"/>
          <w:szCs w:val="18"/>
          <w:lang w:val="en-US"/>
        </w:rPr>
        <w:t>M</w:t>
      </w:r>
      <w:r w:rsidR="00330FE0" w:rsidRPr="00E6767D">
        <w:rPr>
          <w:rFonts w:ascii="Times New Roman" w:hAnsi="Times New Roman" w:cs="Times New Roman"/>
          <w:iCs/>
          <w:sz w:val="18"/>
          <w:szCs w:val="18"/>
          <w:vertAlign w:val="subscript"/>
          <w:lang w:val="en-US"/>
        </w:rPr>
        <w:t>n</w:t>
      </w:r>
      <w:proofErr w:type="spellEnd"/>
      <w:r w:rsidR="00E6767D">
        <w:rPr>
          <w:rFonts w:ascii="Times New Roman" w:hAnsi="Times New Roman" w:cs="Times New Roman"/>
          <w:sz w:val="18"/>
          <w:szCs w:val="18"/>
          <w:lang w:val="en-US"/>
        </w:rPr>
        <w:t>, a</w:t>
      </w:r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lower concentration of BNB than for </w:t>
      </w:r>
      <w:proofErr w:type="spellStart"/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>EtNB</w:t>
      </w:r>
      <w:proofErr w:type="spellEnd"/>
      <w:r w:rsidR="00330FE0" w:rsidRPr="00330FE0">
        <w:rPr>
          <w:rFonts w:ascii="Times New Roman" w:hAnsi="Times New Roman" w:cs="Times New Roman"/>
          <w:sz w:val="18"/>
          <w:szCs w:val="18"/>
          <w:lang w:val="en-US"/>
        </w:rPr>
        <w:t xml:space="preserve"> was required.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330FE0" w:rsidRDefault="00330FE0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3F30">
        <w:rPr>
          <w:rFonts w:ascii="Times New Roman" w:hAnsi="Times New Roman" w:cs="Times New Roman"/>
          <w:sz w:val="18"/>
          <w:szCs w:val="18"/>
          <w:lang w:val="en-US"/>
        </w:rPr>
        <w:t>Telechelate</w:t>
      </w:r>
      <w:proofErr w:type="spellEnd"/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8E3F30">
        <w:rPr>
          <w:rFonts w:ascii="Times New Roman" w:hAnsi="Times New Roman" w:cs="Times New Roman"/>
          <w:sz w:val="18"/>
          <w:szCs w:val="18"/>
          <w:lang w:val="en-US"/>
        </w:rPr>
        <w:t>poly(</w:t>
      </w:r>
      <w:proofErr w:type="spellStart"/>
      <w:proofErr w:type="gramEnd"/>
      <w:r w:rsidRPr="008E3F30">
        <w:rPr>
          <w:rFonts w:ascii="Times New Roman" w:hAnsi="Times New Roman" w:cs="Times New Roman"/>
          <w:sz w:val="18"/>
          <w:szCs w:val="18"/>
          <w:lang w:val="en-US"/>
        </w:rPr>
        <w:t>EtNB</w:t>
      </w:r>
      <w:proofErr w:type="spellEnd"/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) was obtained by ROMP under the action of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the second-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generation Grubbs catalyst using </w:t>
      </w:r>
      <w:proofErr w:type="spellStart"/>
      <w:r w:rsidRPr="008E3F30">
        <w:rPr>
          <w:rFonts w:ascii="Times New Roman" w:hAnsi="Times New Roman" w:cs="Times New Roman"/>
          <w:sz w:val="18"/>
          <w:szCs w:val="18"/>
          <w:lang w:val="en-US"/>
        </w:rPr>
        <w:t>dimethyl</w:t>
      </w:r>
      <w:proofErr w:type="spellEnd"/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E3F30">
        <w:rPr>
          <w:rFonts w:ascii="Times New Roman" w:hAnsi="Times New Roman" w:cs="Times New Roman"/>
          <w:sz w:val="18"/>
          <w:szCs w:val="18"/>
          <w:lang w:val="en-US"/>
        </w:rPr>
        <w:t>maleate</w:t>
      </w:r>
      <w:proofErr w:type="spellEnd"/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 as a chain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>transfer agent for the first time. The structure of the product was confirmed by NMR and IR spectroscopy. It was shown</w:t>
      </w:r>
      <w:r w:rsidR="00EB24EC">
        <w:rPr>
          <w:rFonts w:ascii="Times New Roman" w:hAnsi="Times New Roman" w:cs="Times New Roman"/>
          <w:sz w:val="18"/>
          <w:szCs w:val="18"/>
          <w:lang w:val="en-US"/>
        </w:rPr>
        <w:t xml:space="preserve"> that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 DMM can act as an efficient chain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transfer agent.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A d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>ecreas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="00352D32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 the concentration of the initial monomer or DMM and </w:t>
      </w:r>
      <w:r w:rsidR="00E6767D">
        <w:rPr>
          <w:rFonts w:ascii="Times New Roman" w:hAnsi="Times New Roman" w:cs="Times New Roman"/>
          <w:sz w:val="18"/>
          <w:szCs w:val="18"/>
          <w:lang w:val="en-US"/>
        </w:rPr>
        <w:t xml:space="preserve">an 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>increas</w:t>
      </w:r>
      <w:r w:rsidR="00352D32">
        <w:rPr>
          <w:rFonts w:ascii="Times New Roman" w:hAnsi="Times New Roman" w:cs="Times New Roman"/>
          <w:sz w:val="18"/>
          <w:szCs w:val="18"/>
          <w:lang w:val="en-US"/>
        </w:rPr>
        <w:t>e in the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 xml:space="preserve"> loading</w:t>
      </w:r>
      <w:r w:rsidR="00352D32">
        <w:rPr>
          <w:rFonts w:ascii="Times New Roman" w:hAnsi="Times New Roman" w:cs="Times New Roman"/>
          <w:sz w:val="18"/>
          <w:szCs w:val="18"/>
          <w:lang w:val="en-US"/>
        </w:rPr>
        <w:t xml:space="preserve"> of Gr2 led to low-molecular-</w:t>
      </w:r>
      <w:r w:rsidRPr="008E3F30">
        <w:rPr>
          <w:rFonts w:ascii="Times New Roman" w:hAnsi="Times New Roman" w:cs="Times New Roman"/>
          <w:sz w:val="18"/>
          <w:szCs w:val="18"/>
          <w:lang w:val="en-US"/>
        </w:rPr>
        <w:t>weight products.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330FE0" w:rsidP="00F94740">
      <w:pPr>
        <w:pStyle w:val="MainText"/>
        <w:ind w:firstLine="284"/>
      </w:pPr>
      <w:r w:rsidRPr="008E3F30">
        <w:t xml:space="preserve">This work was supported by the Russian Science Foundation (project </w:t>
      </w:r>
      <w:r w:rsidR="00476158">
        <w:t>no.</w:t>
      </w:r>
      <w:r w:rsidRPr="008E3F30">
        <w:t xml:space="preserve"> 23-73-00126). The work was performed using the equipment of the Collaborative Access Center </w:t>
      </w:r>
      <w:r w:rsidR="00476158">
        <w:t>"</w:t>
      </w:r>
      <w:proofErr w:type="spellStart"/>
      <w:r w:rsidRPr="008E3F30">
        <w:t>Сenter</w:t>
      </w:r>
      <w:proofErr w:type="spellEnd"/>
      <w:r w:rsidRPr="008E3F30">
        <w:t xml:space="preserve"> for Polymer Research</w:t>
      </w:r>
      <w:r w:rsidR="00476158">
        <w:t>" of ISPM RAS</w:t>
      </w:r>
      <w:r w:rsidRPr="008E3F30">
        <w:t xml:space="preserve">. The authors </w:t>
      </w:r>
      <w:r w:rsidR="00476158">
        <w:t xml:space="preserve">are grateful to G. A. </w:t>
      </w:r>
      <w:proofErr w:type="spellStart"/>
      <w:r w:rsidRPr="008E3F30">
        <w:t>Shandryuk</w:t>
      </w:r>
      <w:proofErr w:type="spellEnd"/>
      <w:r w:rsidRPr="008E3F30">
        <w:t xml:space="preserve"> for DSC analysis and </w:t>
      </w:r>
      <w:r w:rsidR="00476158">
        <w:t xml:space="preserve">S. A. </w:t>
      </w:r>
      <w:proofErr w:type="spellStart"/>
      <w:r w:rsidRPr="008E3F30">
        <w:t>Legkov</w:t>
      </w:r>
      <w:proofErr w:type="spellEnd"/>
      <w:r w:rsidRPr="008E3F30">
        <w:t xml:space="preserve"> for recording </w:t>
      </w:r>
      <w:r w:rsidR="00FE275A">
        <w:t xml:space="preserve">the </w:t>
      </w:r>
      <w:r w:rsidRPr="008E3F30">
        <w:t>IR spectra.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330FE0" w:rsidRPr="008E3F30" w:rsidRDefault="00F86864" w:rsidP="00330FE0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330FE0" w:rsidRPr="008E3F30">
        <w:t xml:space="preserve">morontsev@ips.ac.ru. Tel: +7(495)647-5927 </w:t>
      </w:r>
      <w:r w:rsidR="00330FE0">
        <w:t>(</w:t>
      </w:r>
      <w:r w:rsidR="00330FE0" w:rsidRPr="008E3F30">
        <w:t>ext. 193</w:t>
      </w:r>
      <w:r w:rsidR="00330FE0">
        <w:t xml:space="preserve">) (A. A. </w:t>
      </w:r>
      <w:proofErr w:type="spellStart"/>
      <w:r w:rsidR="00330FE0">
        <w:t>Morontsev</w:t>
      </w:r>
      <w:proofErr w:type="spellEnd"/>
      <w:r w:rsidR="00330FE0">
        <w:t>)</w:t>
      </w:r>
      <w:r w:rsidR="00330FE0" w:rsidRPr="008E3F30">
        <w:t>.</w:t>
      </w:r>
    </w:p>
    <w:p w:rsidR="00330FE0" w:rsidRDefault="00330FE0" w:rsidP="00330FE0">
      <w:pPr>
        <w:pStyle w:val="MainText"/>
        <w:ind w:firstLine="284"/>
      </w:pPr>
      <w:r w:rsidRPr="008E3F30">
        <w:rPr>
          <w:rFonts w:ascii="AdvOT8608a8d1" w:hAnsi="AdvOT8608a8d1" w:cs="AdvOT8608a8d1"/>
        </w:rPr>
        <w:t xml:space="preserve">* </w:t>
      </w:r>
      <w:r w:rsidRPr="008E3F30">
        <w:t xml:space="preserve">E-mail: </w:t>
      </w:r>
      <w:r w:rsidRPr="008E3F30">
        <w:rPr>
          <w:rStyle w:val="rpc41"/>
        </w:rPr>
        <w:t xml:space="preserve">wozniak@ips.ac.ru. </w:t>
      </w:r>
      <w:r w:rsidRPr="008E3F30">
        <w:t xml:space="preserve">Tel: +7(495)647-5927 </w:t>
      </w:r>
      <w:r>
        <w:t>(</w:t>
      </w:r>
      <w:r w:rsidRPr="008E3F30">
        <w:t>ext. 301</w:t>
      </w:r>
      <w:r>
        <w:t>) (A. I. Wozniak).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330FE0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Pr="00330FE0">
        <w:rPr>
          <w:rFonts w:ascii="Times New Roman" w:hAnsi="Times New Roman" w:cs="Times New Roman"/>
          <w:b w:val="0"/>
          <w:sz w:val="18"/>
          <w:szCs w:val="18"/>
          <w:highlight w:val="green"/>
        </w:rPr>
        <w:t>the experimental details, NMR spectra, DSC curves</w:t>
      </w:r>
      <w:r w:rsidR="00161894" w:rsidRPr="00330FE0">
        <w:rPr>
          <w:rFonts w:ascii="Times New Roman" w:hAnsi="Times New Roman" w:cs="Times New Roman"/>
          <w:b w:val="0"/>
          <w:sz w:val="18"/>
          <w:szCs w:val="18"/>
          <w:highlight w:val="green"/>
        </w:rPr>
        <w:t>.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For ESI, see DOI: 10.32931/</w:t>
      </w:r>
      <w:proofErr w:type="spellStart"/>
      <w:r>
        <w:rPr>
          <w:rFonts w:ascii="Times New Roman" w:hAnsi="Times New Roman" w:cs="Times New Roman"/>
          <w:b w:val="0"/>
          <w:sz w:val="18"/>
          <w:szCs w:val="18"/>
        </w:rPr>
        <w:t>ioXXXXx</w:t>
      </w:r>
      <w:proofErr w:type="spellEnd"/>
      <w:r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330FE0" w:rsidP="00161894">
      <w:pPr>
        <w:pStyle w:val="Header1"/>
        <w:spacing w:before="240" w:after="240"/>
      </w:pPr>
      <w:r>
        <w:t>References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>O.</w:t>
      </w:r>
      <w:r w:rsidR="00352D32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M. </w:t>
      </w:r>
      <w:proofErr w:type="spellStart"/>
      <w:r w:rsidRPr="008E3F30">
        <w:rPr>
          <w:sz w:val="16"/>
          <w:szCs w:val="16"/>
        </w:rPr>
        <w:t>Ogba</w:t>
      </w:r>
      <w:proofErr w:type="spellEnd"/>
      <w:r w:rsidRPr="008E3F30">
        <w:rPr>
          <w:sz w:val="16"/>
          <w:szCs w:val="16"/>
        </w:rPr>
        <w:t>, N.</w:t>
      </w:r>
      <w:r w:rsidR="00352D32">
        <w:rPr>
          <w:sz w:val="16"/>
          <w:szCs w:val="16"/>
        </w:rPr>
        <w:t xml:space="preserve"> C. Warner, D. J. O'</w:t>
      </w:r>
      <w:r w:rsidRPr="008E3F30">
        <w:rPr>
          <w:sz w:val="16"/>
          <w:szCs w:val="16"/>
        </w:rPr>
        <w:t xml:space="preserve">Leary, </w:t>
      </w:r>
      <w:r w:rsidR="004B56AD">
        <w:rPr>
          <w:sz w:val="16"/>
          <w:szCs w:val="16"/>
        </w:rPr>
        <w:t>R. h. Grubbs,</w:t>
      </w:r>
      <w:r w:rsidRPr="008E3F30">
        <w:rPr>
          <w:sz w:val="16"/>
          <w:szCs w:val="16"/>
        </w:rPr>
        <w:t xml:space="preserve"> </w:t>
      </w:r>
      <w:r w:rsidRPr="008E3F30">
        <w:rPr>
          <w:i/>
          <w:iCs/>
          <w:sz w:val="16"/>
          <w:szCs w:val="16"/>
        </w:rPr>
        <w:t>Chem</w:t>
      </w:r>
      <w:r w:rsidR="00352D32">
        <w:rPr>
          <w:i/>
          <w:iCs/>
          <w:sz w:val="16"/>
          <w:szCs w:val="16"/>
        </w:rPr>
        <w:t>.</w:t>
      </w:r>
      <w:r w:rsidRPr="008E3F30">
        <w:rPr>
          <w:i/>
          <w:iCs/>
          <w:sz w:val="16"/>
          <w:szCs w:val="16"/>
        </w:rPr>
        <w:t xml:space="preserve"> Soc</w:t>
      </w:r>
      <w:r w:rsidR="00352D32">
        <w:rPr>
          <w:i/>
          <w:iCs/>
          <w:sz w:val="16"/>
          <w:szCs w:val="16"/>
        </w:rPr>
        <w:t>.</w:t>
      </w:r>
      <w:r w:rsidRPr="008E3F30">
        <w:rPr>
          <w:i/>
          <w:iCs/>
          <w:sz w:val="16"/>
          <w:szCs w:val="16"/>
        </w:rPr>
        <w:t xml:space="preserve"> Rev.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bCs/>
          <w:sz w:val="16"/>
          <w:szCs w:val="16"/>
        </w:rPr>
        <w:t>2018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iCs/>
          <w:sz w:val="16"/>
          <w:szCs w:val="16"/>
        </w:rPr>
        <w:t>47</w:t>
      </w:r>
      <w:r w:rsidRPr="008E3F30">
        <w:rPr>
          <w:sz w:val="16"/>
          <w:szCs w:val="16"/>
        </w:rPr>
        <w:t>, 4510</w:t>
      </w:r>
      <w:r w:rsidR="00352D32">
        <w:rPr>
          <w:sz w:val="16"/>
          <w:szCs w:val="16"/>
        </w:rPr>
        <w:t>–4544. DOI: 10.1039/C8CS00027A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 xml:space="preserve">J. Qui, B. </w:t>
      </w:r>
      <w:proofErr w:type="spellStart"/>
      <w:r w:rsidRPr="008E3F30">
        <w:rPr>
          <w:sz w:val="16"/>
          <w:szCs w:val="16"/>
        </w:rPr>
        <w:t>Charleux</w:t>
      </w:r>
      <w:proofErr w:type="spellEnd"/>
      <w:r w:rsidRPr="008E3F30">
        <w:rPr>
          <w:sz w:val="16"/>
          <w:szCs w:val="16"/>
        </w:rPr>
        <w:t xml:space="preserve">, K. </w:t>
      </w:r>
      <w:proofErr w:type="spellStart"/>
      <w:r w:rsidRPr="008E3F30">
        <w:rPr>
          <w:sz w:val="16"/>
          <w:szCs w:val="16"/>
        </w:rPr>
        <w:t>Matyjaszewski</w:t>
      </w:r>
      <w:proofErr w:type="spellEnd"/>
      <w:r w:rsidRPr="008E3F30">
        <w:rPr>
          <w:sz w:val="16"/>
          <w:szCs w:val="16"/>
        </w:rPr>
        <w:t xml:space="preserve">, </w:t>
      </w:r>
      <w:proofErr w:type="spellStart"/>
      <w:r w:rsidRPr="008E3F30">
        <w:rPr>
          <w:i/>
          <w:sz w:val="16"/>
          <w:szCs w:val="16"/>
        </w:rPr>
        <w:t>Polimery</w:t>
      </w:r>
      <w:proofErr w:type="spellEnd"/>
      <w:r w:rsidRPr="008E3F30">
        <w:rPr>
          <w:sz w:val="16"/>
          <w:szCs w:val="16"/>
        </w:rPr>
        <w:t xml:space="preserve">, </w:t>
      </w:r>
      <w:r w:rsidRPr="008E3F30">
        <w:rPr>
          <w:b/>
          <w:sz w:val="16"/>
          <w:szCs w:val="16"/>
        </w:rPr>
        <w:t>2001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sz w:val="16"/>
          <w:szCs w:val="16"/>
        </w:rPr>
        <w:t>46</w:t>
      </w:r>
      <w:r w:rsidRPr="008E3F30">
        <w:rPr>
          <w:sz w:val="16"/>
          <w:szCs w:val="16"/>
        </w:rPr>
        <w:t>, 453–460.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>C.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W. </w:t>
      </w:r>
      <w:proofErr w:type="spellStart"/>
      <w:r w:rsidRPr="008E3F30">
        <w:rPr>
          <w:sz w:val="16"/>
          <w:szCs w:val="16"/>
        </w:rPr>
        <w:t>Bielawski</w:t>
      </w:r>
      <w:proofErr w:type="spellEnd"/>
      <w:r w:rsidRPr="008E3F30">
        <w:rPr>
          <w:sz w:val="16"/>
          <w:szCs w:val="16"/>
        </w:rPr>
        <w:t>, R.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H. Grubbs, </w:t>
      </w:r>
      <w:proofErr w:type="spellStart"/>
      <w:r w:rsidRPr="008E3F30">
        <w:rPr>
          <w:i/>
          <w:sz w:val="16"/>
          <w:szCs w:val="16"/>
        </w:rPr>
        <w:t>Prog</w:t>
      </w:r>
      <w:proofErr w:type="spellEnd"/>
      <w:r w:rsidRPr="008E3F30">
        <w:rPr>
          <w:i/>
          <w:sz w:val="16"/>
          <w:szCs w:val="16"/>
        </w:rPr>
        <w:t xml:space="preserve">. </w:t>
      </w:r>
      <w:proofErr w:type="spellStart"/>
      <w:proofErr w:type="gramStart"/>
      <w:r w:rsidRPr="008E3F30">
        <w:rPr>
          <w:i/>
          <w:sz w:val="16"/>
          <w:szCs w:val="16"/>
        </w:rPr>
        <w:t>Polym</w:t>
      </w:r>
      <w:proofErr w:type="spellEnd"/>
      <w:r w:rsidRPr="008E3F30">
        <w:rPr>
          <w:i/>
          <w:sz w:val="16"/>
          <w:szCs w:val="16"/>
        </w:rPr>
        <w:t>.</w:t>
      </w:r>
      <w:proofErr w:type="gramEnd"/>
      <w:r w:rsidRPr="008E3F30">
        <w:rPr>
          <w:i/>
          <w:sz w:val="16"/>
          <w:szCs w:val="16"/>
        </w:rPr>
        <w:t xml:space="preserve"> Sci.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sz w:val="16"/>
          <w:szCs w:val="16"/>
        </w:rPr>
        <w:t>2007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sz w:val="16"/>
          <w:szCs w:val="16"/>
        </w:rPr>
        <w:t>32</w:t>
      </w:r>
      <w:r w:rsidRPr="008E3F30">
        <w:rPr>
          <w:sz w:val="16"/>
          <w:szCs w:val="16"/>
        </w:rPr>
        <w:t>, 1–29. DOI: 10.</w:t>
      </w:r>
      <w:r w:rsidR="004B56AD">
        <w:rPr>
          <w:sz w:val="16"/>
          <w:szCs w:val="16"/>
        </w:rPr>
        <w:t>1016/j.progpolymsci.2006.08.006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 xml:space="preserve">I. </w:t>
      </w:r>
      <w:proofErr w:type="spellStart"/>
      <w:r w:rsidRPr="008E3F30">
        <w:rPr>
          <w:sz w:val="16"/>
          <w:szCs w:val="16"/>
        </w:rPr>
        <w:t>Mandal</w:t>
      </w:r>
      <w:proofErr w:type="spellEnd"/>
      <w:r w:rsidRPr="008E3F30">
        <w:rPr>
          <w:sz w:val="16"/>
          <w:szCs w:val="16"/>
        </w:rPr>
        <w:t>, A.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>F.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M. </w:t>
      </w:r>
      <w:proofErr w:type="spellStart"/>
      <w:r w:rsidRPr="008E3F30">
        <w:rPr>
          <w:sz w:val="16"/>
          <w:szCs w:val="16"/>
        </w:rPr>
        <w:t>Kilbinger</w:t>
      </w:r>
      <w:proofErr w:type="spellEnd"/>
      <w:r w:rsidRPr="008E3F30">
        <w:rPr>
          <w:sz w:val="16"/>
          <w:szCs w:val="16"/>
        </w:rPr>
        <w:t xml:space="preserve">, </w:t>
      </w:r>
      <w:r w:rsidRPr="008E3F30">
        <w:rPr>
          <w:i/>
          <w:iCs/>
          <w:sz w:val="16"/>
          <w:szCs w:val="16"/>
        </w:rPr>
        <w:t>JACS Au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bCs/>
          <w:sz w:val="16"/>
          <w:szCs w:val="16"/>
        </w:rPr>
        <w:t>2022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iCs/>
          <w:sz w:val="16"/>
          <w:szCs w:val="16"/>
        </w:rPr>
        <w:t>2</w:t>
      </w:r>
      <w:r w:rsidRPr="008E3F30">
        <w:rPr>
          <w:sz w:val="16"/>
          <w:szCs w:val="16"/>
        </w:rPr>
        <w:t>, 2800–28</w:t>
      </w:r>
      <w:r w:rsidR="004B56AD">
        <w:rPr>
          <w:sz w:val="16"/>
          <w:szCs w:val="16"/>
        </w:rPr>
        <w:t>08. DOI: 10.1021/jacsau.2c00566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 xml:space="preserve">G. Si, C. Tan, M. Chen, C. Chen, </w:t>
      </w:r>
      <w:proofErr w:type="spellStart"/>
      <w:r w:rsidRPr="008E3F30">
        <w:rPr>
          <w:i/>
          <w:sz w:val="16"/>
          <w:szCs w:val="16"/>
        </w:rPr>
        <w:t>Angew</w:t>
      </w:r>
      <w:proofErr w:type="spellEnd"/>
      <w:r w:rsidRPr="008E3F30">
        <w:rPr>
          <w:i/>
          <w:sz w:val="16"/>
          <w:szCs w:val="16"/>
        </w:rPr>
        <w:t xml:space="preserve">. </w:t>
      </w:r>
      <w:proofErr w:type="gramStart"/>
      <w:r w:rsidRPr="008E3F30">
        <w:rPr>
          <w:i/>
          <w:sz w:val="16"/>
          <w:szCs w:val="16"/>
        </w:rPr>
        <w:t>Chem.</w:t>
      </w:r>
      <w:r w:rsidR="004B56AD">
        <w:rPr>
          <w:sz w:val="16"/>
          <w:szCs w:val="16"/>
        </w:rPr>
        <w:t>,</w:t>
      </w:r>
      <w:r w:rsidRPr="008E3F30">
        <w:rPr>
          <w:i/>
          <w:sz w:val="16"/>
          <w:szCs w:val="16"/>
        </w:rPr>
        <w:t xml:space="preserve"> Int. Ed.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sz w:val="16"/>
          <w:szCs w:val="16"/>
        </w:rPr>
        <w:t>2022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sz w:val="16"/>
          <w:szCs w:val="16"/>
        </w:rPr>
        <w:t>61</w:t>
      </w:r>
      <w:r w:rsidRPr="008E3F30">
        <w:rPr>
          <w:sz w:val="16"/>
          <w:szCs w:val="16"/>
        </w:rPr>
        <w:t>, e2022037</w:t>
      </w:r>
      <w:r w:rsidR="004B56AD">
        <w:rPr>
          <w:sz w:val="16"/>
          <w:szCs w:val="16"/>
        </w:rPr>
        <w:t>96.</w:t>
      </w:r>
      <w:proofErr w:type="gramEnd"/>
      <w:r w:rsidR="004B56AD">
        <w:rPr>
          <w:sz w:val="16"/>
          <w:szCs w:val="16"/>
        </w:rPr>
        <w:t xml:space="preserve"> DOI: 10.1002/anie.202203796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>L.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M. </w:t>
      </w:r>
      <w:proofErr w:type="spellStart"/>
      <w:r w:rsidRPr="008E3F30">
        <w:rPr>
          <w:sz w:val="16"/>
          <w:szCs w:val="16"/>
        </w:rPr>
        <w:t>Pitet</w:t>
      </w:r>
      <w:proofErr w:type="spellEnd"/>
      <w:r w:rsidRPr="008E3F30">
        <w:rPr>
          <w:sz w:val="16"/>
          <w:szCs w:val="16"/>
        </w:rPr>
        <w:t>, M.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A. </w:t>
      </w:r>
      <w:proofErr w:type="spellStart"/>
      <w:r w:rsidRPr="008E3F30">
        <w:rPr>
          <w:sz w:val="16"/>
          <w:szCs w:val="16"/>
        </w:rPr>
        <w:t>Hillmyer</w:t>
      </w:r>
      <w:proofErr w:type="spellEnd"/>
      <w:r w:rsidRPr="008E3F30">
        <w:rPr>
          <w:sz w:val="16"/>
          <w:szCs w:val="16"/>
        </w:rPr>
        <w:t xml:space="preserve">, </w:t>
      </w:r>
      <w:r w:rsidRPr="008E3F30">
        <w:rPr>
          <w:i/>
          <w:sz w:val="16"/>
          <w:szCs w:val="16"/>
        </w:rPr>
        <w:t>Macromolecules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sz w:val="16"/>
          <w:szCs w:val="16"/>
        </w:rPr>
        <w:t>2011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sz w:val="16"/>
          <w:szCs w:val="16"/>
        </w:rPr>
        <w:t>44</w:t>
      </w:r>
      <w:r w:rsidRPr="008E3F30">
        <w:rPr>
          <w:sz w:val="16"/>
          <w:szCs w:val="16"/>
        </w:rPr>
        <w:t>, 2378</w:t>
      </w:r>
      <w:r w:rsidR="004B56AD">
        <w:rPr>
          <w:sz w:val="16"/>
          <w:szCs w:val="16"/>
        </w:rPr>
        <w:t>–</w:t>
      </w:r>
      <w:r w:rsidRPr="008E3F30">
        <w:rPr>
          <w:sz w:val="16"/>
          <w:szCs w:val="16"/>
        </w:rPr>
        <w:t>2381. DOI: 10.1021/ma102975r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>A.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K. </w:t>
      </w:r>
      <w:proofErr w:type="spellStart"/>
      <w:r w:rsidRPr="008E3F30">
        <w:rPr>
          <w:sz w:val="16"/>
          <w:szCs w:val="16"/>
        </w:rPr>
        <w:t>Diallo</w:t>
      </w:r>
      <w:proofErr w:type="spellEnd"/>
      <w:r w:rsidRPr="008E3F30">
        <w:rPr>
          <w:sz w:val="16"/>
          <w:szCs w:val="16"/>
        </w:rPr>
        <w:t xml:space="preserve">, L. Annunziata, S. </w:t>
      </w:r>
      <w:proofErr w:type="spellStart"/>
      <w:r w:rsidRPr="008E3F30">
        <w:rPr>
          <w:sz w:val="16"/>
          <w:szCs w:val="16"/>
        </w:rPr>
        <w:t>Fouquay</w:t>
      </w:r>
      <w:proofErr w:type="spellEnd"/>
      <w:r w:rsidRPr="008E3F30">
        <w:rPr>
          <w:sz w:val="16"/>
          <w:szCs w:val="16"/>
        </w:rPr>
        <w:t>,</w:t>
      </w:r>
      <w:r w:rsidR="004B56AD">
        <w:rPr>
          <w:sz w:val="16"/>
          <w:szCs w:val="16"/>
        </w:rPr>
        <w:t xml:space="preserve"> G. Michaud, F. Simon, J.-M.</w:t>
      </w:r>
      <w:proofErr w:type="gramEnd"/>
      <w:r w:rsidR="004B56AD">
        <w:rPr>
          <w:sz w:val="16"/>
          <w:szCs w:val="16"/>
        </w:rPr>
        <w:t xml:space="preserve"> </w:t>
      </w:r>
      <w:proofErr w:type="spellStart"/>
      <w:proofErr w:type="gramStart"/>
      <w:r w:rsidR="004B56AD">
        <w:rPr>
          <w:sz w:val="16"/>
          <w:szCs w:val="16"/>
        </w:rPr>
        <w:t>Brusson</w:t>
      </w:r>
      <w:proofErr w:type="spellEnd"/>
      <w:r w:rsidR="004B56AD">
        <w:rPr>
          <w:sz w:val="16"/>
          <w:szCs w:val="16"/>
        </w:rPr>
        <w:t>, S. M. Guillaume, J.-F.</w:t>
      </w:r>
      <w:proofErr w:type="gramEnd"/>
      <w:r w:rsidR="004B56AD">
        <w:rPr>
          <w:sz w:val="16"/>
          <w:szCs w:val="16"/>
        </w:rPr>
        <w:t xml:space="preserve"> </w:t>
      </w:r>
      <w:proofErr w:type="spellStart"/>
      <w:r w:rsidR="004B56AD">
        <w:rPr>
          <w:sz w:val="16"/>
          <w:szCs w:val="16"/>
        </w:rPr>
        <w:t>Carpentier</w:t>
      </w:r>
      <w:proofErr w:type="spellEnd"/>
      <w:r w:rsidR="004B56AD">
        <w:rPr>
          <w:sz w:val="16"/>
          <w:szCs w:val="16"/>
        </w:rPr>
        <w:t>,</w:t>
      </w:r>
      <w:r w:rsidRPr="008E3F30">
        <w:rPr>
          <w:sz w:val="16"/>
          <w:szCs w:val="16"/>
        </w:rPr>
        <w:t xml:space="preserve"> </w:t>
      </w:r>
      <w:proofErr w:type="spellStart"/>
      <w:r w:rsidRPr="008E3F30">
        <w:rPr>
          <w:i/>
          <w:sz w:val="16"/>
          <w:szCs w:val="16"/>
        </w:rPr>
        <w:t>Polym</w:t>
      </w:r>
      <w:proofErr w:type="spellEnd"/>
      <w:r w:rsidRPr="008E3F30">
        <w:rPr>
          <w:i/>
          <w:sz w:val="16"/>
          <w:szCs w:val="16"/>
        </w:rPr>
        <w:t>. Chem.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sz w:val="16"/>
          <w:szCs w:val="16"/>
        </w:rPr>
        <w:t>2014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sz w:val="16"/>
          <w:szCs w:val="16"/>
        </w:rPr>
        <w:t>5</w:t>
      </w:r>
      <w:r w:rsidRPr="008E3F30">
        <w:rPr>
          <w:sz w:val="16"/>
          <w:szCs w:val="16"/>
        </w:rPr>
        <w:t>, 2583</w:t>
      </w:r>
      <w:r w:rsidR="004B56AD">
        <w:rPr>
          <w:sz w:val="16"/>
          <w:szCs w:val="16"/>
        </w:rPr>
        <w:t>–2591. DOI: 10.1039/C3PY01639K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 xml:space="preserve">X. Wang, L. Dai, S. </w:t>
      </w:r>
      <w:proofErr w:type="spellStart"/>
      <w:r w:rsidRPr="008E3F30">
        <w:rPr>
          <w:sz w:val="16"/>
          <w:szCs w:val="16"/>
        </w:rPr>
        <w:t>Jie</w:t>
      </w:r>
      <w:proofErr w:type="spellEnd"/>
      <w:r w:rsidRPr="008E3F30">
        <w:rPr>
          <w:sz w:val="16"/>
          <w:szCs w:val="16"/>
        </w:rPr>
        <w:t>, Z. Bu, B.</w:t>
      </w:r>
      <w:r w:rsidR="004B56AD">
        <w:rPr>
          <w:sz w:val="16"/>
          <w:szCs w:val="16"/>
        </w:rPr>
        <w:t>-G.</w:t>
      </w:r>
      <w:proofErr w:type="gramEnd"/>
      <w:r w:rsidRPr="008E3F30">
        <w:rPr>
          <w:sz w:val="16"/>
          <w:szCs w:val="16"/>
        </w:rPr>
        <w:t xml:space="preserve"> Li, </w:t>
      </w:r>
      <w:proofErr w:type="spellStart"/>
      <w:r w:rsidRPr="008E3F30">
        <w:rPr>
          <w:i/>
          <w:iCs/>
          <w:sz w:val="16"/>
          <w:szCs w:val="16"/>
        </w:rPr>
        <w:t>ChemistrySelect</w:t>
      </w:r>
      <w:proofErr w:type="spellEnd"/>
      <w:r w:rsidRPr="008E3F30">
        <w:rPr>
          <w:sz w:val="16"/>
          <w:szCs w:val="16"/>
        </w:rPr>
        <w:t xml:space="preserve">, </w:t>
      </w:r>
      <w:r w:rsidRPr="008E3F30">
        <w:rPr>
          <w:b/>
          <w:bCs/>
          <w:sz w:val="16"/>
          <w:szCs w:val="16"/>
        </w:rPr>
        <w:t>2020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iCs/>
          <w:sz w:val="16"/>
          <w:szCs w:val="16"/>
        </w:rPr>
        <w:t>5</w:t>
      </w:r>
      <w:r w:rsidRPr="008E3F30">
        <w:rPr>
          <w:sz w:val="16"/>
          <w:szCs w:val="16"/>
        </w:rPr>
        <w:t>, 8512</w:t>
      </w:r>
      <w:r w:rsidR="004B56AD">
        <w:rPr>
          <w:sz w:val="16"/>
          <w:szCs w:val="16"/>
        </w:rPr>
        <w:t>–</w:t>
      </w:r>
      <w:r w:rsidRPr="008E3F30">
        <w:rPr>
          <w:sz w:val="16"/>
          <w:szCs w:val="16"/>
        </w:rPr>
        <w:t>8517. DOI: 10.1002/slc</w:t>
      </w:r>
      <w:r w:rsidR="004B56AD">
        <w:rPr>
          <w:sz w:val="16"/>
          <w:szCs w:val="16"/>
        </w:rPr>
        <w:t>t.202002441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>9.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 xml:space="preserve">E. </w:t>
      </w:r>
      <w:proofErr w:type="spellStart"/>
      <w:r w:rsidRPr="008E3F30">
        <w:rPr>
          <w:sz w:val="16"/>
          <w:szCs w:val="16"/>
        </w:rPr>
        <w:t>Vanbiervliet</w:t>
      </w:r>
      <w:proofErr w:type="spellEnd"/>
      <w:r w:rsidRPr="008E3F30">
        <w:rPr>
          <w:sz w:val="16"/>
          <w:szCs w:val="16"/>
        </w:rPr>
        <w:t xml:space="preserve">, S. </w:t>
      </w:r>
      <w:proofErr w:type="spellStart"/>
      <w:r w:rsidRPr="008E3F30">
        <w:rPr>
          <w:sz w:val="16"/>
          <w:szCs w:val="16"/>
        </w:rPr>
        <w:t>Fouquay</w:t>
      </w:r>
      <w:proofErr w:type="spellEnd"/>
      <w:r w:rsidRPr="008E3F30">
        <w:rPr>
          <w:sz w:val="16"/>
          <w:szCs w:val="16"/>
        </w:rPr>
        <w:t xml:space="preserve">, G. Michaud, </w:t>
      </w:r>
      <w:r w:rsidR="004B56AD">
        <w:rPr>
          <w:sz w:val="16"/>
          <w:szCs w:val="16"/>
        </w:rPr>
        <w:t>F. Simon, J.-F.</w:t>
      </w:r>
      <w:proofErr w:type="gramEnd"/>
      <w:r w:rsidR="004B56AD">
        <w:rPr>
          <w:sz w:val="16"/>
          <w:szCs w:val="16"/>
        </w:rPr>
        <w:t xml:space="preserve"> </w:t>
      </w:r>
      <w:proofErr w:type="spellStart"/>
      <w:r w:rsidR="004B56AD">
        <w:rPr>
          <w:sz w:val="16"/>
          <w:szCs w:val="16"/>
        </w:rPr>
        <w:t>Carpentier</w:t>
      </w:r>
      <w:proofErr w:type="spellEnd"/>
      <w:r w:rsidR="004B56AD">
        <w:rPr>
          <w:sz w:val="16"/>
          <w:szCs w:val="16"/>
        </w:rPr>
        <w:t xml:space="preserve">, S. M. Guillaume, </w:t>
      </w:r>
      <w:r w:rsidRPr="008E3F30">
        <w:rPr>
          <w:i/>
          <w:iCs/>
          <w:sz w:val="16"/>
          <w:szCs w:val="16"/>
        </w:rPr>
        <w:t>Polymers</w:t>
      </w:r>
      <w:r w:rsidRPr="008E3F30">
        <w:rPr>
          <w:sz w:val="16"/>
          <w:szCs w:val="16"/>
        </w:rPr>
        <w:t xml:space="preserve">. </w:t>
      </w:r>
      <w:proofErr w:type="gramStart"/>
      <w:r w:rsidRPr="008E3F30">
        <w:rPr>
          <w:b/>
          <w:bCs/>
          <w:sz w:val="16"/>
          <w:szCs w:val="16"/>
        </w:rPr>
        <w:t>2018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iCs/>
          <w:sz w:val="16"/>
          <w:szCs w:val="16"/>
        </w:rPr>
        <w:t>10</w:t>
      </w:r>
      <w:r w:rsidRPr="008E3F30">
        <w:rPr>
          <w:sz w:val="16"/>
          <w:szCs w:val="16"/>
        </w:rPr>
        <w:t>, 1</w:t>
      </w:r>
      <w:r w:rsidR="004B56AD">
        <w:rPr>
          <w:sz w:val="16"/>
          <w:szCs w:val="16"/>
        </w:rPr>
        <w:t>241.</w:t>
      </w:r>
      <w:proofErr w:type="gramEnd"/>
      <w:r w:rsidR="004B56AD">
        <w:rPr>
          <w:sz w:val="16"/>
          <w:szCs w:val="16"/>
        </w:rPr>
        <w:t xml:space="preserve"> DOI: 10.3390/polym10111241</w:t>
      </w:r>
    </w:p>
    <w:p w:rsidR="00330FE0" w:rsidRPr="008E3F30" w:rsidRDefault="00330FE0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t>10.</w:t>
      </w:r>
      <w:r>
        <w:rPr>
          <w:sz w:val="16"/>
          <w:szCs w:val="16"/>
        </w:rPr>
        <w:tab/>
      </w:r>
      <w:r w:rsidRPr="008E3F30">
        <w:rPr>
          <w:sz w:val="16"/>
          <w:szCs w:val="16"/>
        </w:rPr>
        <w:t>V.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R. </w:t>
      </w:r>
      <w:proofErr w:type="spellStart"/>
      <w:r w:rsidRPr="008E3F30">
        <w:rPr>
          <w:sz w:val="16"/>
          <w:szCs w:val="16"/>
        </w:rPr>
        <w:t>Stepanyants</w:t>
      </w:r>
      <w:proofErr w:type="spellEnd"/>
      <w:r w:rsidRPr="008E3F30">
        <w:rPr>
          <w:sz w:val="16"/>
          <w:szCs w:val="16"/>
        </w:rPr>
        <w:t>, V.</w:t>
      </w:r>
      <w:r w:rsidR="004B56AD">
        <w:rPr>
          <w:sz w:val="16"/>
          <w:szCs w:val="16"/>
        </w:rPr>
        <w:t xml:space="preserve"> </w:t>
      </w:r>
      <w:r w:rsidRPr="008E3F30">
        <w:rPr>
          <w:sz w:val="16"/>
          <w:szCs w:val="16"/>
        </w:rPr>
        <w:t xml:space="preserve">R. </w:t>
      </w:r>
      <w:proofErr w:type="spellStart"/>
      <w:r w:rsidRPr="008E3F30">
        <w:rPr>
          <w:sz w:val="16"/>
          <w:szCs w:val="16"/>
        </w:rPr>
        <w:t>Nazemutdinova</w:t>
      </w:r>
      <w:proofErr w:type="spellEnd"/>
      <w:r w:rsidRPr="008E3F30">
        <w:rPr>
          <w:sz w:val="16"/>
          <w:szCs w:val="16"/>
        </w:rPr>
        <w:t xml:space="preserve">, </w:t>
      </w:r>
      <w:proofErr w:type="spellStart"/>
      <w:r w:rsidRPr="008E3F30">
        <w:rPr>
          <w:i/>
          <w:iCs/>
          <w:sz w:val="16"/>
          <w:szCs w:val="16"/>
        </w:rPr>
        <w:t>Polym</w:t>
      </w:r>
      <w:proofErr w:type="spellEnd"/>
      <w:r w:rsidRPr="008E3F30">
        <w:rPr>
          <w:i/>
          <w:iCs/>
          <w:sz w:val="16"/>
          <w:szCs w:val="16"/>
        </w:rPr>
        <w:t>.</w:t>
      </w:r>
      <w:proofErr w:type="gramEnd"/>
      <w:r w:rsidRPr="008E3F30">
        <w:rPr>
          <w:i/>
          <w:iCs/>
          <w:sz w:val="16"/>
          <w:szCs w:val="16"/>
        </w:rPr>
        <w:t xml:space="preserve"> Sci.</w:t>
      </w:r>
      <w:r w:rsidR="004B56AD">
        <w:rPr>
          <w:iCs/>
          <w:sz w:val="16"/>
          <w:szCs w:val="16"/>
        </w:rPr>
        <w:t>,</w:t>
      </w:r>
      <w:r w:rsidRPr="008E3F30">
        <w:rPr>
          <w:i/>
          <w:iCs/>
          <w:sz w:val="16"/>
          <w:szCs w:val="16"/>
        </w:rPr>
        <w:t xml:space="preserve"> Ser. B</w:t>
      </w:r>
      <w:r w:rsidRPr="008E3F30">
        <w:rPr>
          <w:sz w:val="16"/>
          <w:szCs w:val="16"/>
        </w:rPr>
        <w:t xml:space="preserve">, </w:t>
      </w:r>
      <w:r w:rsidRPr="008E3F30">
        <w:rPr>
          <w:b/>
          <w:bCs/>
          <w:sz w:val="16"/>
          <w:szCs w:val="16"/>
        </w:rPr>
        <w:t>2023</w:t>
      </w:r>
      <w:r w:rsidRPr="008E3F30">
        <w:rPr>
          <w:sz w:val="16"/>
          <w:szCs w:val="16"/>
        </w:rPr>
        <w:t xml:space="preserve">, </w:t>
      </w:r>
      <w:r w:rsidRPr="008E3F30">
        <w:rPr>
          <w:i/>
          <w:iCs/>
          <w:sz w:val="16"/>
          <w:szCs w:val="16"/>
        </w:rPr>
        <w:t>65</w:t>
      </w:r>
      <w:r w:rsidRPr="008E3F30">
        <w:rPr>
          <w:sz w:val="16"/>
          <w:szCs w:val="16"/>
        </w:rPr>
        <w:t>, 760</w:t>
      </w:r>
      <w:r w:rsidR="004B56AD">
        <w:rPr>
          <w:sz w:val="16"/>
          <w:szCs w:val="16"/>
        </w:rPr>
        <w:t>–</w:t>
      </w:r>
      <w:r w:rsidRPr="008E3F30">
        <w:rPr>
          <w:sz w:val="16"/>
          <w:szCs w:val="16"/>
        </w:rPr>
        <w:t xml:space="preserve">772. </w:t>
      </w:r>
      <w:bookmarkStart w:id="1" w:name="_Hlk188093809"/>
      <w:r w:rsidRPr="008E3F30">
        <w:rPr>
          <w:sz w:val="16"/>
          <w:szCs w:val="16"/>
        </w:rPr>
        <w:t xml:space="preserve">DOI: </w:t>
      </w:r>
      <w:bookmarkEnd w:id="1"/>
      <w:r w:rsidR="004B56AD">
        <w:rPr>
          <w:sz w:val="16"/>
          <w:szCs w:val="16"/>
        </w:rPr>
        <w:t>10.1134/S1560090423600249</w:t>
      </w:r>
    </w:p>
    <w:p w:rsidR="00330FE0" w:rsidRDefault="003B6821" w:rsidP="00330FE0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proofErr w:type="gramStart"/>
      <w:r w:rsidR="00330FE0">
        <w:rPr>
          <w:sz w:val="16"/>
          <w:szCs w:val="16"/>
        </w:rPr>
        <w:lastRenderedPageBreak/>
        <w:t>11.</w:t>
      </w:r>
      <w:r w:rsidR="00330FE0">
        <w:rPr>
          <w:sz w:val="16"/>
          <w:szCs w:val="16"/>
        </w:rPr>
        <w:tab/>
      </w:r>
      <w:r w:rsidR="00330FE0" w:rsidRPr="008E3F30">
        <w:rPr>
          <w:sz w:val="16"/>
          <w:szCs w:val="16"/>
        </w:rPr>
        <w:t xml:space="preserve">C. </w:t>
      </w:r>
      <w:proofErr w:type="spellStart"/>
      <w:r w:rsidR="00330FE0" w:rsidRPr="008E3F30">
        <w:rPr>
          <w:sz w:val="16"/>
          <w:szCs w:val="16"/>
        </w:rPr>
        <w:t>Chauveau</w:t>
      </w:r>
      <w:proofErr w:type="spellEnd"/>
      <w:r w:rsidR="00330FE0" w:rsidRPr="008E3F30">
        <w:rPr>
          <w:sz w:val="16"/>
          <w:szCs w:val="16"/>
        </w:rPr>
        <w:t xml:space="preserve">, S. </w:t>
      </w:r>
      <w:proofErr w:type="spellStart"/>
      <w:r w:rsidR="00330FE0" w:rsidRPr="008E3F30">
        <w:rPr>
          <w:sz w:val="16"/>
          <w:szCs w:val="16"/>
        </w:rPr>
        <w:t>Fouquay</w:t>
      </w:r>
      <w:proofErr w:type="spellEnd"/>
      <w:r w:rsidR="00330FE0" w:rsidRPr="008E3F30">
        <w:rPr>
          <w:sz w:val="16"/>
          <w:szCs w:val="16"/>
        </w:rPr>
        <w:t xml:space="preserve">, </w:t>
      </w:r>
      <w:r>
        <w:rPr>
          <w:sz w:val="16"/>
          <w:szCs w:val="16"/>
        </w:rPr>
        <w:t>G. Michaud, F. Simon, J.-F.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Carpentier</w:t>
      </w:r>
      <w:proofErr w:type="spellEnd"/>
      <w:r>
        <w:rPr>
          <w:sz w:val="16"/>
          <w:szCs w:val="16"/>
        </w:rPr>
        <w:t xml:space="preserve">, S. M. Guillaume, </w:t>
      </w:r>
      <w:r w:rsidR="00330FE0" w:rsidRPr="008E3F30">
        <w:rPr>
          <w:i/>
          <w:iCs/>
          <w:sz w:val="16"/>
          <w:szCs w:val="16"/>
        </w:rPr>
        <w:t xml:space="preserve">ACS Appl. </w:t>
      </w:r>
      <w:proofErr w:type="spellStart"/>
      <w:r w:rsidR="00330FE0" w:rsidRPr="008E3F30">
        <w:rPr>
          <w:i/>
          <w:iCs/>
          <w:sz w:val="16"/>
          <w:szCs w:val="16"/>
        </w:rPr>
        <w:t>Polym</w:t>
      </w:r>
      <w:proofErr w:type="spellEnd"/>
      <w:r w:rsidR="00330FE0" w:rsidRPr="008E3F30">
        <w:rPr>
          <w:i/>
          <w:iCs/>
          <w:sz w:val="16"/>
          <w:szCs w:val="16"/>
        </w:rPr>
        <w:t xml:space="preserve">. </w:t>
      </w:r>
      <w:proofErr w:type="gramStart"/>
      <w:r w:rsidR="00330FE0" w:rsidRPr="008E3F30">
        <w:rPr>
          <w:i/>
          <w:iCs/>
          <w:sz w:val="16"/>
          <w:szCs w:val="16"/>
        </w:rPr>
        <w:t>Mater</w:t>
      </w:r>
      <w:r w:rsidR="00330FE0" w:rsidRPr="003B6821">
        <w:rPr>
          <w:iCs/>
          <w:sz w:val="16"/>
          <w:szCs w:val="16"/>
        </w:rPr>
        <w:t>.,</w:t>
      </w:r>
      <w:proofErr w:type="gramEnd"/>
      <w:r w:rsidR="00330FE0" w:rsidRPr="008E3F30">
        <w:rPr>
          <w:sz w:val="16"/>
          <w:szCs w:val="16"/>
        </w:rPr>
        <w:t xml:space="preserve"> </w:t>
      </w:r>
      <w:r w:rsidR="00330FE0" w:rsidRPr="008E3F30">
        <w:rPr>
          <w:b/>
          <w:bCs/>
          <w:sz w:val="16"/>
          <w:szCs w:val="16"/>
        </w:rPr>
        <w:t>2020</w:t>
      </w:r>
      <w:r w:rsidR="00330FE0" w:rsidRPr="008E3F30">
        <w:rPr>
          <w:sz w:val="16"/>
          <w:szCs w:val="16"/>
        </w:rPr>
        <w:t xml:space="preserve">, </w:t>
      </w:r>
      <w:r w:rsidR="00330FE0" w:rsidRPr="008E3F30">
        <w:rPr>
          <w:i/>
          <w:iCs/>
          <w:sz w:val="16"/>
          <w:szCs w:val="16"/>
        </w:rPr>
        <w:t>2</w:t>
      </w:r>
      <w:r w:rsidR="00330FE0" w:rsidRPr="008E3F30">
        <w:rPr>
          <w:sz w:val="16"/>
          <w:szCs w:val="16"/>
        </w:rPr>
        <w:t>, 5135</w:t>
      </w:r>
      <w:r>
        <w:rPr>
          <w:sz w:val="16"/>
          <w:szCs w:val="16"/>
        </w:rPr>
        <w:t>–</w:t>
      </w:r>
      <w:r w:rsidR="00330FE0" w:rsidRPr="008E3F30">
        <w:rPr>
          <w:sz w:val="16"/>
          <w:szCs w:val="16"/>
        </w:rPr>
        <w:t>51</w:t>
      </w:r>
      <w:r w:rsidR="004B56AD">
        <w:rPr>
          <w:sz w:val="16"/>
          <w:szCs w:val="16"/>
        </w:rPr>
        <w:t>46. DOI: 10.1021/acsapm.0c00912</w:t>
      </w:r>
    </w:p>
    <w:p w:rsidR="00330FE0" w:rsidRPr="00F44026" w:rsidRDefault="00330FE0" w:rsidP="00330FE0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330FE0" w:rsidRPr="003A13B7" w:rsidTr="008D662B">
        <w:trPr>
          <w:jc w:val="right"/>
        </w:trPr>
        <w:tc>
          <w:tcPr>
            <w:tcW w:w="3255" w:type="dxa"/>
            <w:vAlign w:val="center"/>
          </w:tcPr>
          <w:p w:rsidR="00330FE0" w:rsidRPr="00F44026" w:rsidRDefault="00330FE0" w:rsidP="008D662B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330FE0" w:rsidRPr="003A13B7" w:rsidRDefault="00330FE0" w:rsidP="008D66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20466" cy="217152"/>
                  <wp:effectExtent l="19050" t="0" r="8184" b="0"/>
                  <wp:docPr id="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330FE0" w:rsidRDefault="00166162" w:rsidP="00330FE0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sz w:val="18"/>
          <w:szCs w:val="18"/>
        </w:rPr>
      </w:pPr>
    </w:p>
    <w:sectPr w:rsidR="00166162" w:rsidRPr="00330FE0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62B" w:rsidRDefault="008D662B" w:rsidP="00427E5A">
      <w:pPr>
        <w:spacing w:after="0" w:line="240" w:lineRule="auto"/>
      </w:pPr>
      <w:r>
        <w:separator/>
      </w:r>
    </w:p>
    <w:p w:rsidR="008D662B" w:rsidRDefault="008D662B"/>
  </w:endnote>
  <w:endnote w:type="continuationSeparator" w:id="0">
    <w:p w:rsidR="008D662B" w:rsidRDefault="008D662B" w:rsidP="00427E5A">
      <w:pPr>
        <w:spacing w:after="0" w:line="240" w:lineRule="auto"/>
      </w:pPr>
      <w:r>
        <w:continuationSeparator/>
      </w:r>
    </w:p>
    <w:p w:rsidR="008D662B" w:rsidRDefault="008D66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62B" w:rsidRPr="00A6442F" w:rsidRDefault="008D662B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V. R. </w:t>
    </w:r>
    <w:proofErr w:type="spellStart"/>
    <w:r>
      <w:rPr>
        <w:rStyle w:val="MainText0"/>
      </w:rPr>
      <w:t>Nazemutdinova</w:t>
    </w:r>
    <w:proofErr w:type="spellEnd"/>
    <w:r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62B" w:rsidRDefault="008D662B" w:rsidP="00427E5A">
      <w:pPr>
        <w:spacing w:after="0" w:line="240" w:lineRule="auto"/>
      </w:pPr>
      <w:r>
        <w:separator/>
      </w:r>
    </w:p>
    <w:p w:rsidR="008D662B" w:rsidRDefault="008D662B"/>
  </w:footnote>
  <w:footnote w:type="continuationSeparator" w:id="0">
    <w:p w:rsidR="008D662B" w:rsidRDefault="008D662B" w:rsidP="00427E5A">
      <w:pPr>
        <w:spacing w:after="0" w:line="240" w:lineRule="auto"/>
      </w:pPr>
      <w:r>
        <w:continuationSeparator/>
      </w:r>
    </w:p>
    <w:p w:rsidR="008D662B" w:rsidRDefault="008D662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8D662B" w:rsidRPr="001E7945" w:rsidRDefault="008D662B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8D662B" w:rsidRPr="001E7945" w:rsidRDefault="008D662B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4E2216"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4E2216" w:rsidRPr="001E7945">
          <w:rPr>
            <w:rFonts w:ascii="Times New Roman" w:hAnsi="Times New Roman" w:cs="Times New Roman"/>
            <w:i/>
          </w:rPr>
          <w:fldChar w:fldCharType="separate"/>
        </w:r>
        <w:r w:rsidR="00EB24EC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4E2216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A4F4D"/>
    <w:rsid w:val="000B5E27"/>
    <w:rsid w:val="000E1B06"/>
    <w:rsid w:val="00113FAC"/>
    <w:rsid w:val="00161894"/>
    <w:rsid w:val="00166162"/>
    <w:rsid w:val="001B0919"/>
    <w:rsid w:val="001B6750"/>
    <w:rsid w:val="001E7945"/>
    <w:rsid w:val="002500A5"/>
    <w:rsid w:val="002D6411"/>
    <w:rsid w:val="0031578F"/>
    <w:rsid w:val="00321C31"/>
    <w:rsid w:val="00330FE0"/>
    <w:rsid w:val="00352D32"/>
    <w:rsid w:val="00364458"/>
    <w:rsid w:val="003B067D"/>
    <w:rsid w:val="003B6821"/>
    <w:rsid w:val="003E2893"/>
    <w:rsid w:val="003E6B4F"/>
    <w:rsid w:val="00427E5A"/>
    <w:rsid w:val="00436D4B"/>
    <w:rsid w:val="00440577"/>
    <w:rsid w:val="00463737"/>
    <w:rsid w:val="00476158"/>
    <w:rsid w:val="004A44BC"/>
    <w:rsid w:val="004A5676"/>
    <w:rsid w:val="004B56AD"/>
    <w:rsid w:val="004C0411"/>
    <w:rsid w:val="004E2216"/>
    <w:rsid w:val="00502985"/>
    <w:rsid w:val="00524995"/>
    <w:rsid w:val="00533D73"/>
    <w:rsid w:val="00534762"/>
    <w:rsid w:val="00536C11"/>
    <w:rsid w:val="005C7369"/>
    <w:rsid w:val="005E76C3"/>
    <w:rsid w:val="00622DF1"/>
    <w:rsid w:val="0065245B"/>
    <w:rsid w:val="006620F2"/>
    <w:rsid w:val="00683408"/>
    <w:rsid w:val="006E0C73"/>
    <w:rsid w:val="00706F05"/>
    <w:rsid w:val="0072037E"/>
    <w:rsid w:val="007516EA"/>
    <w:rsid w:val="007A3351"/>
    <w:rsid w:val="007D3F5F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2259"/>
    <w:rsid w:val="008A6A35"/>
    <w:rsid w:val="008C6630"/>
    <w:rsid w:val="008C68C0"/>
    <w:rsid w:val="008D2BCF"/>
    <w:rsid w:val="008D662B"/>
    <w:rsid w:val="008E062B"/>
    <w:rsid w:val="00904B7F"/>
    <w:rsid w:val="00916E1F"/>
    <w:rsid w:val="00930DA8"/>
    <w:rsid w:val="009667F3"/>
    <w:rsid w:val="009A6DAE"/>
    <w:rsid w:val="009B1ECD"/>
    <w:rsid w:val="00A231BA"/>
    <w:rsid w:val="00A6442F"/>
    <w:rsid w:val="00A76F33"/>
    <w:rsid w:val="00B23601"/>
    <w:rsid w:val="00B5202A"/>
    <w:rsid w:val="00BB1D07"/>
    <w:rsid w:val="00BE4FEF"/>
    <w:rsid w:val="00C25E43"/>
    <w:rsid w:val="00C34747"/>
    <w:rsid w:val="00CA605E"/>
    <w:rsid w:val="00CD128C"/>
    <w:rsid w:val="00CD6FAC"/>
    <w:rsid w:val="00D33D37"/>
    <w:rsid w:val="00D36C9F"/>
    <w:rsid w:val="00D71473"/>
    <w:rsid w:val="00D7615A"/>
    <w:rsid w:val="00DA0A72"/>
    <w:rsid w:val="00DF1FCB"/>
    <w:rsid w:val="00DF4999"/>
    <w:rsid w:val="00E03A13"/>
    <w:rsid w:val="00E60451"/>
    <w:rsid w:val="00E6767D"/>
    <w:rsid w:val="00E76E65"/>
    <w:rsid w:val="00E81EDE"/>
    <w:rsid w:val="00E95346"/>
    <w:rsid w:val="00EA6247"/>
    <w:rsid w:val="00EA6C3B"/>
    <w:rsid w:val="00EB24EC"/>
    <w:rsid w:val="00EB2FCC"/>
    <w:rsid w:val="00EE0429"/>
    <w:rsid w:val="00EE4066"/>
    <w:rsid w:val="00EF625A"/>
    <w:rsid w:val="00F376FB"/>
    <w:rsid w:val="00F44BBC"/>
    <w:rsid w:val="00F6796A"/>
    <w:rsid w:val="00F86864"/>
    <w:rsid w:val="00F94740"/>
    <w:rsid w:val="00F95280"/>
    <w:rsid w:val="00FA0CD1"/>
    <w:rsid w:val="00FB4DBE"/>
    <w:rsid w:val="00FD2F8B"/>
    <w:rsid w:val="00FE275A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rynqvb">
    <w:name w:val="rynqvb"/>
    <w:basedOn w:val="a0"/>
    <w:rsid w:val="00330FE0"/>
  </w:style>
  <w:style w:type="character" w:customStyle="1" w:styleId="rpc41">
    <w:name w:val="_rpc_41"/>
    <w:basedOn w:val="a0"/>
    <w:rsid w:val="00330FE0"/>
  </w:style>
  <w:style w:type="table" w:customStyle="1" w:styleId="13">
    <w:name w:val="Сетка таблицы1"/>
    <w:basedOn w:val="a1"/>
    <w:next w:val="af2"/>
    <w:uiPriority w:val="59"/>
    <w:rsid w:val="00330FE0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5EA85-5959-46CD-A318-2E16F866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24</cp:revision>
  <dcterms:created xsi:type="dcterms:W3CDTF">2018-09-10T13:23:00Z</dcterms:created>
  <dcterms:modified xsi:type="dcterms:W3CDTF">2025-07-29T16:24:00Z</dcterms:modified>
</cp:coreProperties>
</file>