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1D" w:rsidRPr="00D864C5" w:rsidRDefault="00A3181D" w:rsidP="00A3181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3181D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:rsidR="00A3181D" w:rsidRPr="00A3181D" w:rsidRDefault="00A3181D" w:rsidP="00A318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181D" w:rsidRPr="00F15993" w:rsidRDefault="00F15993" w:rsidP="00A3181D">
      <w:pPr>
        <w:spacing w:after="0"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F15993">
        <w:rPr>
          <w:rFonts w:ascii="Arial" w:hAnsi="Arial" w:cs="Arial"/>
          <w:b/>
          <w:bCs/>
          <w:caps/>
          <w:sz w:val="28"/>
          <w:szCs w:val="28"/>
          <w:lang w:val="en-US"/>
        </w:rPr>
        <w:t xml:space="preserve">efficient in-magnet </w:t>
      </w:r>
      <w:r w:rsidRPr="00F15993">
        <w:rPr>
          <w:rFonts w:ascii="Arial" w:hAnsi="Arial" w:cs="Arial"/>
          <w:b/>
          <w:bCs/>
          <w:caps/>
          <w:sz w:val="28"/>
          <w:szCs w:val="28"/>
          <w:vertAlign w:val="superscript"/>
          <w:lang w:val="en-US"/>
        </w:rPr>
        <w:t>15</w:t>
      </w:r>
      <w:r w:rsidRPr="00F15993">
        <w:rPr>
          <w:rFonts w:ascii="Arial" w:hAnsi="Arial" w:cs="Arial"/>
          <w:b/>
          <w:bCs/>
          <w:caps/>
          <w:sz w:val="28"/>
          <w:szCs w:val="28"/>
          <w:lang w:val="en-US"/>
        </w:rPr>
        <w:t>N hyperpolarization</w:t>
      </w:r>
      <w:r w:rsidRPr="00F15993">
        <w:rPr>
          <w:rFonts w:ascii="Arial" w:hAnsi="Arial" w:cs="Arial"/>
          <w:b/>
          <w:bCs/>
          <w:caps/>
          <w:sz w:val="28"/>
          <w:szCs w:val="28"/>
          <w:lang w:val="en-US"/>
        </w:rPr>
        <w:br/>
        <w:t>induced by reversible exchange of</w:t>
      </w:r>
      <w:r w:rsidR="0052700D"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F15993">
        <w:rPr>
          <w:rFonts w:ascii="Arial" w:hAnsi="Arial" w:cs="Arial"/>
          <w:b/>
          <w:bCs/>
          <w:caps/>
          <w:sz w:val="28"/>
          <w:szCs w:val="28"/>
          <w:lang w:val="en-US"/>
        </w:rPr>
        <w:t xml:space="preserve">parahydrogen with AN </w:t>
      </w:r>
      <w:proofErr w:type="spellStart"/>
      <w:r w:rsidRPr="00F15993">
        <w:rPr>
          <w:rFonts w:ascii="Arial" w:hAnsi="Arial" w:cs="Arial"/>
          <w:b/>
          <w:bCs/>
          <w:caps/>
          <w:sz w:val="28"/>
          <w:szCs w:val="28"/>
          <w:lang w:val="en-US"/>
        </w:rPr>
        <w:t>i</w:t>
      </w:r>
      <w:r w:rsidRPr="0052700D">
        <w:rPr>
          <w:rFonts w:ascii="Arial" w:hAnsi="Arial" w:cs="Arial"/>
          <w:b/>
          <w:bCs/>
          <w:sz w:val="28"/>
          <w:szCs w:val="28"/>
          <w:lang w:val="en-US"/>
        </w:rPr>
        <w:t>r</w:t>
      </w:r>
      <w:proofErr w:type="spellEnd"/>
      <w:r w:rsidRPr="00F15993">
        <w:rPr>
          <w:rFonts w:ascii="Arial" w:hAnsi="Arial" w:cs="Arial"/>
          <w:b/>
          <w:bCs/>
          <w:caps/>
          <w:sz w:val="28"/>
          <w:szCs w:val="28"/>
          <w:lang w:val="en-US"/>
        </w:rPr>
        <w:t>-based catalyst</w:t>
      </w:r>
    </w:p>
    <w:p w:rsidR="00A3181D" w:rsidRPr="00A3181D" w:rsidRDefault="00A3181D" w:rsidP="00A318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3181D" w:rsidRPr="0052700D" w:rsidRDefault="0052700D" w:rsidP="00A3181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52700D">
        <w:rPr>
          <w:rFonts w:ascii="Times New Roman" w:hAnsi="Times New Roman" w:cs="Times New Roman"/>
          <w:lang w:val="en-US"/>
        </w:rPr>
        <w:t xml:space="preserve">D. A. </w:t>
      </w:r>
      <w:proofErr w:type="spellStart"/>
      <w:r w:rsidRPr="0052700D">
        <w:rPr>
          <w:rFonts w:ascii="Times New Roman" w:hAnsi="Times New Roman" w:cs="Times New Roman"/>
          <w:lang w:val="en-US"/>
        </w:rPr>
        <w:t>Markelov</w:t>
      </w:r>
      <w:proofErr w:type="spellEnd"/>
      <w:r w:rsidRPr="0052700D">
        <w:rPr>
          <w:rFonts w:ascii="Times New Roman" w:hAnsi="Times New Roman" w:cs="Times New Roman"/>
          <w:lang w:val="en-US"/>
        </w:rPr>
        <w:t>,*</w:t>
      </w:r>
      <w:proofErr w:type="spellStart"/>
      <w:r w:rsidRPr="0052700D">
        <w:rPr>
          <w:rFonts w:ascii="Times New Roman" w:hAnsi="Times New Roman" w:cs="Times New Roman"/>
          <w:i/>
          <w:vertAlign w:val="superscript"/>
          <w:lang w:val="en-US"/>
        </w:rPr>
        <w:t>a,b</w:t>
      </w:r>
      <w:proofErr w:type="spellEnd"/>
      <w:r w:rsidRPr="0052700D">
        <w:rPr>
          <w:rFonts w:ascii="Times New Roman" w:hAnsi="Times New Roman" w:cs="Times New Roman"/>
          <w:lang w:val="en-US"/>
        </w:rPr>
        <w:t xml:space="preserve"> A. S. </w:t>
      </w:r>
      <w:proofErr w:type="spellStart"/>
      <w:r w:rsidRPr="0052700D">
        <w:rPr>
          <w:rFonts w:ascii="Times New Roman" w:hAnsi="Times New Roman" w:cs="Times New Roman"/>
          <w:lang w:val="en-US"/>
        </w:rPr>
        <w:t>Kiryutin,</w:t>
      </w:r>
      <w:r w:rsidRPr="0052700D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spellEnd"/>
      <w:r w:rsidRPr="0052700D">
        <w:rPr>
          <w:rFonts w:ascii="Times New Roman" w:hAnsi="Times New Roman" w:cs="Times New Roman"/>
          <w:lang w:val="en-US"/>
        </w:rPr>
        <w:t xml:space="preserve"> I. D. </w:t>
      </w:r>
      <w:proofErr w:type="spellStart"/>
      <w:r w:rsidRPr="0052700D">
        <w:rPr>
          <w:rFonts w:ascii="Times New Roman" w:hAnsi="Times New Roman" w:cs="Times New Roman"/>
          <w:lang w:val="en-US"/>
        </w:rPr>
        <w:t>Kosenko,</w:t>
      </w:r>
      <w:r w:rsidRPr="0052700D">
        <w:rPr>
          <w:rFonts w:ascii="Times New Roman" w:hAnsi="Times New Roman" w:cs="Times New Roman"/>
          <w:i/>
          <w:vertAlign w:val="superscript"/>
          <w:lang w:val="en-US"/>
        </w:rPr>
        <w:t>c</w:t>
      </w:r>
      <w:proofErr w:type="spellEnd"/>
      <w:r w:rsidRPr="00527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00D">
        <w:rPr>
          <w:rFonts w:ascii="Times New Roman" w:hAnsi="Times New Roman" w:cs="Times New Roman"/>
          <w:lang w:val="en-US"/>
        </w:rPr>
        <w:t>Zh</w:t>
      </w:r>
      <w:proofErr w:type="spellEnd"/>
      <w:r w:rsidRPr="0052700D">
        <w:rPr>
          <w:rFonts w:ascii="Times New Roman" w:hAnsi="Times New Roman" w:cs="Times New Roman"/>
          <w:lang w:val="en-US"/>
        </w:rPr>
        <w:t>.</w:t>
      </w:r>
      <w:r w:rsidR="00841193">
        <w:rPr>
          <w:rFonts w:ascii="Times New Roman" w:hAnsi="Times New Roman" w:cs="Times New Roman"/>
          <w:lang w:val="en-US"/>
        </w:rPr>
        <w:t xml:space="preserve"> </w:t>
      </w:r>
      <w:r w:rsidRPr="0052700D">
        <w:rPr>
          <w:rFonts w:ascii="Times New Roman" w:hAnsi="Times New Roman" w:cs="Times New Roman"/>
          <w:lang w:val="en-US"/>
        </w:rPr>
        <w:t xml:space="preserve">V. </w:t>
      </w:r>
      <w:proofErr w:type="spellStart"/>
      <w:r w:rsidRPr="0052700D">
        <w:rPr>
          <w:rFonts w:ascii="Times New Roman" w:hAnsi="Times New Roman" w:cs="Times New Roman"/>
          <w:lang w:val="en-US"/>
        </w:rPr>
        <w:t>Matsulevich,</w:t>
      </w:r>
      <w:r w:rsidRPr="0052700D">
        <w:rPr>
          <w:rFonts w:ascii="Times New Roman" w:hAnsi="Times New Roman" w:cs="Times New Roman"/>
          <w:i/>
          <w:vertAlign w:val="superscript"/>
          <w:lang w:val="en-US"/>
        </w:rPr>
        <w:t>d</w:t>
      </w:r>
      <w:proofErr w:type="spellEnd"/>
      <w:r w:rsidRPr="0052700D">
        <w:rPr>
          <w:rFonts w:ascii="Times New Roman" w:hAnsi="Times New Roman" w:cs="Times New Roman"/>
          <w:i/>
          <w:vertAlign w:val="superscript"/>
          <w:lang w:val="en-US"/>
        </w:rPr>
        <w:br/>
      </w:r>
      <w:r w:rsidRPr="0052700D">
        <w:rPr>
          <w:rFonts w:ascii="Times New Roman" w:hAnsi="Times New Roman" w:cs="Times New Roman"/>
          <w:lang w:val="en-US"/>
        </w:rPr>
        <w:t xml:space="preserve">I. A. </w:t>
      </w:r>
      <w:proofErr w:type="spellStart"/>
      <w:r w:rsidRPr="0052700D">
        <w:rPr>
          <w:rFonts w:ascii="Times New Roman" w:hAnsi="Times New Roman" w:cs="Times New Roman"/>
          <w:lang w:val="en-US"/>
        </w:rPr>
        <w:t>Godovikov,</w:t>
      </w:r>
      <w:r w:rsidRPr="0052700D">
        <w:rPr>
          <w:rFonts w:ascii="Times New Roman" w:hAnsi="Times New Roman" w:cs="Times New Roman"/>
          <w:i/>
          <w:vertAlign w:val="superscript"/>
          <w:lang w:val="en-US"/>
        </w:rPr>
        <w:t>c</w:t>
      </w:r>
      <w:proofErr w:type="spellEnd"/>
      <w:r w:rsidRPr="0052700D">
        <w:rPr>
          <w:rFonts w:ascii="Times New Roman" w:hAnsi="Times New Roman" w:cs="Times New Roman"/>
          <w:i/>
          <w:lang w:val="en-US"/>
        </w:rPr>
        <w:t xml:space="preserve"> </w:t>
      </w:r>
      <w:r w:rsidRPr="0052700D">
        <w:rPr>
          <w:rFonts w:ascii="Times New Roman" w:hAnsi="Times New Roman" w:cs="Times New Roman"/>
          <w:lang w:val="en-US"/>
        </w:rPr>
        <w:t xml:space="preserve">and A. V. </w:t>
      </w:r>
      <w:proofErr w:type="spellStart"/>
      <w:r w:rsidRPr="0052700D">
        <w:rPr>
          <w:rFonts w:ascii="Times New Roman" w:hAnsi="Times New Roman" w:cs="Times New Roman"/>
          <w:lang w:val="en-US"/>
        </w:rPr>
        <w:t>Yurkovskaya</w:t>
      </w:r>
      <w:r w:rsidRPr="0052700D">
        <w:rPr>
          <w:rFonts w:ascii="Times New Roman" w:hAnsi="Times New Roman" w:cs="Times New Roman"/>
          <w:i/>
          <w:vertAlign w:val="superscript"/>
          <w:lang w:val="en-US"/>
        </w:rPr>
        <w:t>a</w:t>
      </w:r>
      <w:proofErr w:type="spellEnd"/>
    </w:p>
    <w:p w:rsidR="00A3181D" w:rsidRPr="00A3181D" w:rsidRDefault="00A3181D" w:rsidP="00A3181D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52700D" w:rsidRPr="00D850E4" w:rsidRDefault="0052700D" w:rsidP="0052700D">
      <w:pPr>
        <w:pStyle w:val="Affiliations"/>
        <w:spacing w:before="120"/>
        <w:ind w:left="0"/>
        <w:rPr>
          <w:lang w:val="en-US"/>
        </w:rPr>
      </w:pPr>
      <w:r w:rsidRPr="00894EE2">
        <w:rPr>
          <w:vertAlign w:val="superscript"/>
        </w:rPr>
        <w:t>a</w:t>
      </w:r>
      <w:r w:rsidRPr="00894EE2">
        <w:t xml:space="preserve"> </w:t>
      </w:r>
      <w:r w:rsidRPr="00D850E4">
        <w:rPr>
          <w:rFonts w:cs="Times New Roman"/>
          <w:lang w:val="en-US"/>
        </w:rPr>
        <w:t>International Tomography Center, Siberian Branch of the Russian Academy of</w:t>
      </w:r>
      <w:r>
        <w:rPr>
          <w:rFonts w:cs="Times New Roman"/>
          <w:lang w:val="en-US"/>
        </w:rPr>
        <w:br/>
      </w:r>
      <w:r w:rsidRPr="00D850E4">
        <w:rPr>
          <w:rFonts w:cs="Times New Roman"/>
          <w:lang w:val="en-US"/>
        </w:rPr>
        <w:t>Science</w:t>
      </w:r>
      <w:r>
        <w:rPr>
          <w:rFonts w:cs="Times New Roman"/>
          <w:lang w:val="en-US"/>
        </w:rPr>
        <w:t>s</w:t>
      </w:r>
      <w:r w:rsidRPr="00D850E4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ul. </w:t>
      </w:r>
      <w:proofErr w:type="spellStart"/>
      <w:r w:rsidRPr="00D850E4">
        <w:rPr>
          <w:rFonts w:cs="Times New Roman"/>
          <w:lang w:val="en-US"/>
        </w:rPr>
        <w:t>Institutskaya</w:t>
      </w:r>
      <w:proofErr w:type="spellEnd"/>
      <w:r w:rsidRPr="00D850E4">
        <w:rPr>
          <w:rFonts w:cs="Times New Roman"/>
          <w:lang w:val="en-US"/>
        </w:rPr>
        <w:t xml:space="preserve"> 3A, Novosibirsk</w:t>
      </w:r>
      <w:r>
        <w:rPr>
          <w:rFonts w:cs="Times New Roman"/>
          <w:lang w:val="en-US"/>
        </w:rPr>
        <w:t>,</w:t>
      </w:r>
      <w:r w:rsidRPr="00D850E4">
        <w:rPr>
          <w:rFonts w:cs="Times New Roman"/>
          <w:lang w:val="en-US"/>
        </w:rPr>
        <w:t xml:space="preserve"> 630090 Russia</w:t>
      </w:r>
    </w:p>
    <w:p w:rsidR="0052700D" w:rsidRDefault="0052700D" w:rsidP="0052700D">
      <w:pPr>
        <w:pStyle w:val="Affiliations"/>
        <w:ind w:left="0"/>
        <w:rPr>
          <w:rFonts w:cs="Times New Roman"/>
        </w:rPr>
      </w:pPr>
      <w:r w:rsidRPr="00894EE2">
        <w:rPr>
          <w:vertAlign w:val="superscript"/>
        </w:rPr>
        <w:t>b</w:t>
      </w:r>
      <w:r w:rsidRPr="00894EE2">
        <w:t xml:space="preserve"> </w:t>
      </w:r>
      <w:r w:rsidRPr="00D850E4">
        <w:rPr>
          <w:rFonts w:cs="Times New Roman"/>
        </w:rPr>
        <w:t>Novosibirsk State University,</w:t>
      </w:r>
      <w:r>
        <w:rPr>
          <w:rFonts w:cs="Times New Roman"/>
        </w:rPr>
        <w:t xml:space="preserve"> ul. Pirogova 1,</w:t>
      </w:r>
      <w:r w:rsidRPr="00D850E4">
        <w:rPr>
          <w:rFonts w:cs="Times New Roman"/>
        </w:rPr>
        <w:t xml:space="preserve"> Novosibirsk</w:t>
      </w:r>
      <w:r>
        <w:rPr>
          <w:rFonts w:cs="Times New Roman"/>
        </w:rPr>
        <w:t>,</w:t>
      </w:r>
      <w:r w:rsidRPr="00D850E4">
        <w:rPr>
          <w:rFonts w:cs="Times New Roman"/>
        </w:rPr>
        <w:t xml:space="preserve"> 630090 Russia</w:t>
      </w:r>
    </w:p>
    <w:p w:rsidR="0052700D" w:rsidRDefault="0052700D" w:rsidP="0052700D">
      <w:pPr>
        <w:pStyle w:val="Affiliations"/>
        <w:ind w:left="0"/>
        <w:rPr>
          <w:rFonts w:cs="Times New Roman"/>
          <w:lang w:val="en-US"/>
        </w:rPr>
      </w:pPr>
      <w:r w:rsidRPr="00D850E4">
        <w:rPr>
          <w:vertAlign w:val="superscript"/>
        </w:rPr>
        <w:t>c</w:t>
      </w:r>
      <w:r w:rsidRPr="00894EE2">
        <w:t xml:space="preserve"> </w:t>
      </w:r>
      <w:r w:rsidRPr="00D850E4">
        <w:rPr>
          <w:rFonts w:cs="Times New Roman"/>
          <w:lang w:val="en-US"/>
        </w:rPr>
        <w:t>Nesmeyanov Institute of Organoelement Compounds</w:t>
      </w:r>
      <w:r>
        <w:rPr>
          <w:rFonts w:cs="Times New Roman"/>
          <w:lang w:val="en-US"/>
        </w:rPr>
        <w:t>, Russian Academy of Sciences,</w:t>
      </w:r>
      <w:r>
        <w:rPr>
          <w:rFonts w:cs="Times New Roman"/>
          <w:lang w:val="en-US"/>
        </w:rPr>
        <w:br/>
        <w:t xml:space="preserve">ul. </w:t>
      </w:r>
      <w:r w:rsidRPr="00D850E4">
        <w:rPr>
          <w:rFonts w:cs="Times New Roman"/>
          <w:lang w:val="en-US"/>
        </w:rPr>
        <w:t>Vavilova 28</w:t>
      </w:r>
      <w:r>
        <w:rPr>
          <w:rFonts w:cs="Times New Roman"/>
          <w:lang w:val="en-US"/>
        </w:rPr>
        <w:t>, str. 1</w:t>
      </w:r>
      <w:r w:rsidRPr="00D850E4">
        <w:rPr>
          <w:rFonts w:cs="Times New Roman"/>
          <w:lang w:val="en-US"/>
        </w:rPr>
        <w:t>, Moscow</w:t>
      </w:r>
      <w:r>
        <w:rPr>
          <w:rFonts w:cs="Times New Roman"/>
          <w:lang w:val="en-US"/>
        </w:rPr>
        <w:t>,</w:t>
      </w:r>
      <w:r w:rsidRPr="0019305C">
        <w:rPr>
          <w:rFonts w:cs="Times New Roman"/>
          <w:lang w:val="en-US"/>
        </w:rPr>
        <w:t xml:space="preserve"> 119334</w:t>
      </w:r>
      <w:r w:rsidRPr="00D850E4">
        <w:rPr>
          <w:rFonts w:cs="Times New Roman"/>
          <w:lang w:val="en-US"/>
        </w:rPr>
        <w:t xml:space="preserve"> Russia</w:t>
      </w:r>
    </w:p>
    <w:p w:rsidR="00FB082C" w:rsidRPr="0052700D" w:rsidRDefault="0052700D" w:rsidP="0052700D">
      <w:pPr>
        <w:pStyle w:val="11"/>
        <w:spacing w:after="0" w:line="240" w:lineRule="auto"/>
        <w:rPr>
          <w:rFonts w:ascii="Times New Roman" w:hAnsi="Times New Roman" w:cs="Times New Roman"/>
          <w:b w:val="0"/>
          <w:bCs/>
          <w:i/>
          <w:iCs/>
          <w:caps w:val="0"/>
          <w:sz w:val="20"/>
          <w:szCs w:val="20"/>
        </w:rPr>
      </w:pPr>
      <w:r w:rsidRPr="0052700D">
        <w:rPr>
          <w:rFonts w:ascii="Times New Roman" w:hAnsi="Times New Roman" w:cs="Times New Roman"/>
          <w:b w:val="0"/>
          <w:bCs/>
          <w:i/>
          <w:iCs/>
          <w:caps w:val="0"/>
          <w:sz w:val="20"/>
          <w:szCs w:val="20"/>
          <w:vertAlign w:val="superscript"/>
        </w:rPr>
        <w:t xml:space="preserve">d </w:t>
      </w:r>
      <w:r w:rsidRPr="0052700D">
        <w:rPr>
          <w:rFonts w:ascii="Times New Roman" w:hAnsi="Times New Roman" w:cs="Times New Roman"/>
          <w:b w:val="0"/>
          <w:bCs/>
          <w:i/>
          <w:iCs/>
          <w:caps w:val="0"/>
          <w:sz w:val="20"/>
          <w:szCs w:val="20"/>
        </w:rPr>
        <w:t>Nizhny Novgorod State Technical University,</w:t>
      </w:r>
      <w:r w:rsidRPr="0052700D">
        <w:rPr>
          <w:rFonts w:ascii="Times New Roman" w:hAnsi="Times New Roman" w:cs="Times New Roman"/>
          <w:b w:val="0"/>
          <w:bCs/>
          <w:i/>
          <w:iCs/>
          <w:caps w:val="0"/>
          <w:sz w:val="20"/>
          <w:szCs w:val="20"/>
        </w:rPr>
        <w:br/>
        <w:t>ul. Minina 24, Nizhny Novgorod, 603155 Russia</w:t>
      </w:r>
    </w:p>
    <w:p w:rsidR="00FB082C" w:rsidRDefault="00FB082C" w:rsidP="00FB082C">
      <w:pPr>
        <w:pStyle w:val="11"/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="00841193" w:rsidRDefault="00841193" w:rsidP="00FB082C">
      <w:pPr>
        <w:pStyle w:val="11"/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="00FB082C" w:rsidRPr="00FB082C" w:rsidRDefault="00FB082C" w:rsidP="00FB082C">
      <w:pPr>
        <w:pStyle w:val="11"/>
        <w:spacing w:after="0" w:line="240" w:lineRule="auto"/>
        <w:rPr>
          <w:rFonts w:ascii="Times New Roman" w:hAnsi="Times New Roman" w:cs="Times New Roman"/>
          <w:b w:val="0"/>
          <w:bCs/>
          <w:sz w:val="24"/>
          <w:szCs w:val="24"/>
        </w:rPr>
      </w:pPr>
    </w:p>
    <w:p w:rsidR="002F16E1" w:rsidRPr="00A76AE7" w:rsidRDefault="00483126" w:rsidP="00A76AE7">
      <w:pPr>
        <w:pStyle w:val="11"/>
        <w:spacing w:after="0"/>
        <w:jc w:val="both"/>
        <w:rPr>
          <w:rFonts w:ascii="Times New Roman" w:hAnsi="Times New Roman" w:cs="Times New Roman"/>
          <w:caps w:val="0"/>
          <w:sz w:val="24"/>
          <w:szCs w:val="24"/>
        </w:rPr>
      </w:pPr>
      <w:r w:rsidRPr="00A76AE7">
        <w:rPr>
          <w:rFonts w:ascii="Times New Roman" w:hAnsi="Times New Roman" w:cs="Times New Roman"/>
          <w:caps w:val="0"/>
          <w:sz w:val="24"/>
          <w:szCs w:val="24"/>
        </w:rPr>
        <w:t>Catalyst activation</w:t>
      </w:r>
    </w:p>
    <w:p w:rsidR="00A67BFE" w:rsidRDefault="00DB0080" w:rsidP="00AB525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24160" cy="4354195"/>
            <wp:effectExtent l="0" t="0" r="5080" b="8255"/>
            <wp:docPr id="11350411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41111" name="Рисунок 11350411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371"/>
                    <a:stretch/>
                  </pic:blipFill>
                  <pic:spPr bwMode="auto">
                    <a:xfrm>
                      <a:off x="0" y="0"/>
                      <a:ext cx="4649678" cy="437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67BFE" w:rsidRPr="00A76AE7" w:rsidRDefault="00A67BFE" w:rsidP="00A76AE7">
      <w:pPr>
        <w:pStyle w:val="ad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A76AE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Figure S1.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H NMR spectra of the investigated sample with 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N-SDAP. (</w:t>
      </w:r>
      <w:r w:rsidRPr="00A76A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) Thermal NMR spectrum before parahydrogen (pH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bscript"/>
          <w:lang w:val="en-US"/>
        </w:rPr>
        <w:t>2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) bubbling; (</w:t>
      </w:r>
      <w:r w:rsidRPr="00A76A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b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) 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h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yperpolarized NMR spectrum acquired with parahydrogen bubbling for 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2 min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; (</w:t>
      </w:r>
      <w:r w:rsidRPr="00A76A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c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) 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t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hermal NMR spectrum acquired 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next day after 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fi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r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st parahydrogen bubbling; (</w:t>
      </w:r>
      <w:r w:rsidRPr="00A76A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) 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hy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perpolarized NMR spectrum of the next day pH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bscript"/>
          <w:lang w:val="en-US"/>
        </w:rPr>
        <w:t>2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-bubbled sample. T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he t</w:t>
      </w:r>
      <w:r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emperature of the sample was 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15</w:t>
      </w:r>
      <w:r w:rsid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 </w:t>
      </w:r>
      <w:r w:rsidR="00A76AE7" w:rsidRPr="00A76AE7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° in all cases.</w:t>
      </w:r>
    </w:p>
    <w:p w:rsidR="00A67BFE" w:rsidRDefault="00A67BFE" w:rsidP="00D8579E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first step of our experiments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wa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the catalyst activation procedure, during which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active SABRE complexes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sz w:val="24"/>
          <w:szCs w:val="24"/>
          <w:lang w:val="en-US"/>
        </w:rPr>
        <w:t>re formed from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IrCl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COD)(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)]. The activation of the catalyst consist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ed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bubbling the sample containing the pre-catalyst and substrate with </w:t>
      </w:r>
      <w:r>
        <w:rPr>
          <w:rFonts w:ascii="Times New Roman" w:hAnsi="Times New Roman" w:cs="Times New Roman"/>
          <w:sz w:val="24"/>
          <w:szCs w:val="24"/>
          <w:lang w:val="en-US"/>
        </w:rPr>
        <w:t>parahydrogen. The activation of the catalyst has its own kinetics and steady-state. In</w:t>
      </w:r>
      <w:r w:rsidR="00E136C3" w:rsidRPr="00E136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36C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steady-state, the hydride area of </w:t>
      </w:r>
      <w:r w:rsidRPr="002F16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NMR spectrum demonstrates stable over time complexes, and subsequent parahydrogen bubbling does not lead to any changes in the </w:t>
      </w:r>
      <w:r w:rsidRPr="002F16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H NMR spectrum.</w:t>
      </w:r>
    </w:p>
    <w:p w:rsidR="00A67BFE" w:rsidRPr="00FB082C" w:rsidRDefault="00A67BFE" w:rsidP="00D8579E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S1 demonstrates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16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NMR spectrum of the investigated sample with </w:t>
      </w:r>
      <w:r w:rsidRPr="002F16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N-SDAP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different time points. Figure S1a shows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thermal NMR spectrum of the sample before bubbling. The signals from 8 to 10 ppm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refer to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aromatic protons of </w:t>
      </w:r>
      <w:r w:rsidRPr="00E665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N-SDAP</w:t>
      </w:r>
      <w:r w:rsidR="00CD4574">
        <w:rPr>
          <w:rFonts w:ascii="Times New Roman" w:hAnsi="Times New Roman" w:cs="Times New Roman"/>
          <w:sz w:val="24"/>
          <w:szCs w:val="24"/>
          <w:lang w:val="en-US"/>
        </w:rPr>
        <w:t xml:space="preserve">, while the signals from 6 to 8 ppm belong to </w:t>
      </w:r>
      <w:r w:rsidR="00CD457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CD4574">
        <w:rPr>
          <w:rFonts w:ascii="Times New Roman" w:hAnsi="Times New Roman" w:cs="Times New Roman"/>
          <w:sz w:val="24"/>
          <w:szCs w:val="24"/>
          <w:lang w:val="en-US"/>
        </w:rPr>
        <w:t>N-SDAP in the complex-bound 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spectral </w:t>
      </w:r>
      <w:r w:rsidR="00551D7A">
        <w:rPr>
          <w:rFonts w:ascii="Times New Roman" w:hAnsi="Times New Roman" w:cs="Times New Roman"/>
          <w:sz w:val="24"/>
          <w:szCs w:val="24"/>
          <w:lang w:val="en-US"/>
        </w:rPr>
        <w:t>range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1 to 4 ppm is more complicated and contains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signals from the precatalyst</w:t>
      </w:r>
      <w:r w:rsidR="00960115" w:rsidRPr="0096011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51D7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960115">
        <w:rPr>
          <w:rFonts w:ascii="Times New Roman" w:hAnsi="Times New Roman" w:cs="Times New Roman"/>
          <w:sz w:val="24"/>
          <w:szCs w:val="24"/>
          <w:lang w:val="en-US"/>
        </w:rPr>
        <w:t xml:space="preserve">COD and </w:t>
      </w:r>
      <w:proofErr w:type="spellStart"/>
      <w:r w:rsidR="00960115">
        <w:rPr>
          <w:rFonts w:ascii="Times New Roman" w:hAnsi="Times New Roman" w:cs="Times New Roman"/>
          <w:sz w:val="24"/>
          <w:szCs w:val="24"/>
          <w:lang w:val="en-US"/>
        </w:rPr>
        <w:t>IMes</w:t>
      </w:r>
      <w:proofErr w:type="spellEnd"/>
      <w:r w:rsidR="00960115" w:rsidRPr="0096011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5F6FBC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active catalyst.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The d</w:t>
      </w:r>
      <w:r w:rsidR="00960115">
        <w:rPr>
          <w:rFonts w:ascii="Times New Roman" w:hAnsi="Times New Roman" w:cs="Times New Roman"/>
          <w:sz w:val="24"/>
          <w:szCs w:val="24"/>
          <w:lang w:val="en-US"/>
        </w:rPr>
        <w:t>etailed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 of these signals</w:t>
      </w:r>
      <w:r w:rsidR="00E136C3">
        <w:rPr>
          <w:rFonts w:ascii="Times New Roman" w:hAnsi="Times New Roman" w:cs="Times New Roman"/>
          <w:sz w:val="24"/>
          <w:szCs w:val="24"/>
          <w:lang w:val="en-US"/>
        </w:rPr>
        <w:t xml:space="preserve"> for a similar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different time points can be found, for example, in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. [S1]</w:t>
      </w:r>
      <w:r>
        <w:rPr>
          <w:rFonts w:ascii="Times New Roman" w:hAnsi="Times New Roman" w:cs="Times New Roman"/>
          <w:sz w:val="24"/>
          <w:szCs w:val="24"/>
          <w:lang w:val="en-US"/>
        </w:rPr>
        <w:t>. Figure S1b demonstrates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65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NMR spectrum obtained after 2 min of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the sample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bubbling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with parahydrogen </w:t>
      </w:r>
      <w:r w:rsidR="00EC40B1">
        <w:rPr>
          <w:rFonts w:ascii="Times New Roman" w:hAnsi="Times New Roman" w:cs="Times New Roman"/>
          <w:sz w:val="24"/>
          <w:szCs w:val="24"/>
          <w:lang w:val="en-US"/>
        </w:rPr>
        <w:t>(catalyst activation)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In this case,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hyperpolarized hydrides (from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 to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25 ppm) are observed, and the subsequent bubbling does not change the NMR spectrum.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The 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yperpolarization of the hydride </w:t>
      </w:r>
      <w:r w:rsidRPr="00E6653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nuclei occurs due to the PASSADENA effect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>[S2]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E1ABF" w:rsidRDefault="009E1ABF" w:rsidP="00D8579E">
      <w:pPr>
        <w:keepNext/>
        <w:spacing w:before="200"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70545" cy="2849880"/>
            <wp:effectExtent l="0" t="0" r="0" b="7620"/>
            <wp:docPr id="89396776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67761" name="Рисунок 8939677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97" cy="285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BF" w:rsidRPr="00D8579E" w:rsidRDefault="009E1ABF" w:rsidP="00D8579E">
      <w:pPr>
        <w:pStyle w:val="ad"/>
        <w:spacing w:before="120" w:line="276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D8579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 xml:space="preserve">Figure S2. 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Hyperpolarized 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N NMR spectra obtained by SABRE: </w:t>
      </w:r>
      <w:r w:rsid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(</w:t>
      </w:r>
      <w:r w:rsidRPr="00D8579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) at the first day of </w:t>
      </w:r>
      <w:r w:rsid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experiments</w:t>
      </w:r>
      <w:r w:rsid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,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(</w:t>
      </w:r>
      <w:r w:rsidRPr="00D8579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b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) the next day </w:t>
      </w:r>
      <w:r w:rsid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a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f</w:t>
      </w:r>
      <w:r w:rsid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ter the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experiment</w:t>
      </w:r>
      <w:r w:rsid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s</w:t>
      </w:r>
      <w:r w:rsidRPr="00D8579E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.</w:t>
      </w:r>
    </w:p>
    <w:p w:rsidR="00A67BFE" w:rsidRPr="00A67BFE" w:rsidRDefault="00A67BFE" w:rsidP="00D8579E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demonstrate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stability of the sample and the absence of hydrogenation of </w:t>
      </w:r>
      <w:r w:rsidRPr="009F542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N-SDAP, we also acquired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9F542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NMR spectra </w:t>
      </w:r>
      <w:r w:rsidR="00D8579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>24 h after the first parahydrogen bubbling of the sample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 xml:space="preserve"> (during these 24 h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>had been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 xml:space="preserve"> conducting 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>SABRE experiments, and the sample was</w:t>
      </w:r>
      <w:r w:rsidR="008A59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>bubbled</w:t>
      </w:r>
      <w:r w:rsidR="00551D7A">
        <w:rPr>
          <w:rFonts w:ascii="Times New Roman" w:hAnsi="Times New Roman" w:cs="Times New Roman"/>
          <w:sz w:val="24"/>
          <w:szCs w:val="24"/>
          <w:lang w:val="en-US"/>
        </w:rPr>
        <w:t xml:space="preserve"> with parahydrogen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 xml:space="preserve"> for several hours)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Figure 1c shows 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thermal </w:t>
      </w:r>
      <w:r w:rsidRPr="00A67B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NMR spectrum acquired 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next day after the first parahydrogen bubbling. No change 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>in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intensity or position of the </w:t>
      </w:r>
      <w:r w:rsidRPr="00A67B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signals of </w:t>
      </w:r>
      <w:r w:rsidRPr="00A67B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N-SDAP from 8 to 10 ppm is observed. Moreover, parahydrogen bubbling after 24 h leads to </w:t>
      </w:r>
      <w:r w:rsidR="00E136C3">
        <w:rPr>
          <w:rFonts w:ascii="Times New Roman" w:hAnsi="Times New Roman" w:cs="Times New Roman"/>
          <w:sz w:val="24"/>
          <w:szCs w:val="24"/>
          <w:lang w:val="en-US"/>
        </w:rPr>
        <w:t xml:space="preserve">the formation of </w:t>
      </w:r>
      <w:r>
        <w:rPr>
          <w:rFonts w:ascii="Times New Roman" w:hAnsi="Times New Roman" w:cs="Times New Roman"/>
          <w:sz w:val="24"/>
          <w:szCs w:val="24"/>
          <w:lang w:val="en-US"/>
        </w:rPr>
        <w:t>identical hydrides</w:t>
      </w:r>
      <w:r w:rsidR="00CD4574">
        <w:rPr>
          <w:rFonts w:ascii="Times New Roman" w:hAnsi="Times New Roman" w:cs="Times New Roman"/>
          <w:sz w:val="24"/>
          <w:szCs w:val="24"/>
          <w:lang w:val="en-US"/>
        </w:rPr>
        <w:t xml:space="preserve"> and identical </w:t>
      </w:r>
      <w:r w:rsidR="00CD457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CD4574">
        <w:rPr>
          <w:rFonts w:ascii="Times New Roman" w:hAnsi="Times New Roman" w:cs="Times New Roman"/>
          <w:sz w:val="24"/>
          <w:szCs w:val="24"/>
          <w:lang w:val="en-US"/>
        </w:rPr>
        <w:t>N-SDAP signals</w:t>
      </w:r>
      <w:r>
        <w:rPr>
          <w:rFonts w:ascii="Times New Roman" w:hAnsi="Times New Roman" w:cs="Times New Roman"/>
          <w:sz w:val="24"/>
          <w:szCs w:val="24"/>
          <w:lang w:val="en-US"/>
        </w:rPr>
        <w:t>, as demonstrated in Fig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S1d (compare with Fig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S1b), and no hydrogenation products are observed in the </w:t>
      </w:r>
      <w:r w:rsidRPr="00A67B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NMR spectrum. The absence of </w:t>
      </w:r>
      <w:r w:rsidR="00E136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hydrogenation</w:t>
      </w:r>
      <w:r w:rsidR="009E1ABF">
        <w:rPr>
          <w:rFonts w:ascii="Times New Roman" w:hAnsi="Times New Roman" w:cs="Times New Roman"/>
          <w:sz w:val="24"/>
          <w:szCs w:val="24"/>
          <w:lang w:val="en-US"/>
        </w:rPr>
        <w:t xml:space="preserve"> and stability of the sample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also be </w:t>
      </w:r>
      <w:r w:rsidR="00E136C3">
        <w:rPr>
          <w:rFonts w:ascii="Times New Roman" w:hAnsi="Times New Roman" w:cs="Times New Roman"/>
          <w:sz w:val="24"/>
          <w:szCs w:val="24"/>
          <w:lang w:val="en-US"/>
        </w:rPr>
        <w:t xml:space="preserve">alternatively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determined in the hyperpolarized </w:t>
      </w:r>
      <w:r w:rsidRPr="00A67BF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N NMR spectrum, where no hydrogenation products are observed after 24 h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>see Fig</w:t>
      </w:r>
      <w:r w:rsidR="00C1661E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9E1AB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>2a</w:t>
      </w:r>
      <w:proofErr w:type="gramStart"/>
      <w:r w:rsidR="00AB5250">
        <w:rPr>
          <w:rFonts w:ascii="Times New Roman" w:hAnsi="Times New Roman" w:cs="Times New Roman"/>
          <w:sz w:val="24"/>
          <w:szCs w:val="24"/>
          <w:lang w:val="en-US"/>
        </w:rPr>
        <w:t>,b</w:t>
      </w:r>
      <w:proofErr w:type="gramEnd"/>
      <w:r w:rsidR="00C1661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7EA0">
        <w:rPr>
          <w:rFonts w:ascii="Times New Roman" w:hAnsi="Times New Roman" w:cs="Times New Roman"/>
          <w:sz w:val="24"/>
          <w:szCs w:val="24"/>
          <w:lang w:val="en-US"/>
        </w:rPr>
        <w:t xml:space="preserve">In both cases, 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97EA0"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 xml:space="preserve">yperpolarized </w:t>
      </w:r>
      <w:r w:rsidR="00D628E9" w:rsidRPr="00D628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>N spectr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>contain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 xml:space="preserve"> signals from </w:t>
      </w:r>
      <w:r w:rsidR="00D628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 xml:space="preserve">N-SDAP, its </w:t>
      </w:r>
      <w:r w:rsidR="00D628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77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 xml:space="preserve">Se satellites, and </w:t>
      </w:r>
      <w:r w:rsidR="00D628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 xml:space="preserve">N-SDAP bound to the </w:t>
      </w:r>
      <w:proofErr w:type="spellStart"/>
      <w:r w:rsidR="00D628E9"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 w:rsidR="00D628E9">
        <w:rPr>
          <w:rFonts w:ascii="Times New Roman" w:hAnsi="Times New Roman" w:cs="Times New Roman"/>
          <w:sz w:val="24"/>
          <w:szCs w:val="24"/>
          <w:lang w:val="en-US"/>
        </w:rPr>
        <w:t>-catalyst</w:t>
      </w:r>
      <w:r w:rsidR="00C543C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628E9">
        <w:rPr>
          <w:rFonts w:ascii="Times New Roman" w:hAnsi="Times New Roman" w:cs="Times New Roman"/>
          <w:sz w:val="24"/>
          <w:szCs w:val="24"/>
          <w:lang w:val="en-US"/>
        </w:rPr>
        <w:t xml:space="preserve">t should be noted that 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543C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77</w:t>
      </w:r>
      <w:r w:rsidR="00C543CF">
        <w:rPr>
          <w:rFonts w:ascii="Times New Roman" w:hAnsi="Times New Roman" w:cs="Times New Roman"/>
          <w:sz w:val="24"/>
          <w:szCs w:val="24"/>
          <w:lang w:val="en-US"/>
        </w:rPr>
        <w:t>Se satellites in these figures have different phases because we used different SABRE protocols</w:t>
      </w:r>
      <w:r w:rsidR="00D1251C">
        <w:rPr>
          <w:rFonts w:ascii="Times New Roman" w:hAnsi="Times New Roman" w:cs="Times New Roman"/>
          <w:sz w:val="24"/>
          <w:szCs w:val="24"/>
          <w:lang w:val="en-US"/>
        </w:rPr>
        <w:t xml:space="preserve"> for hyperpolarization</w:t>
      </w:r>
      <w:r w:rsidR="00C543C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 The absence of</w:t>
      </w:r>
      <w:r w:rsidR="0096011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substrate hydrogenation has also been confirmed in the pioneer SABRE work 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>[S3]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instead of the catalytic hydrogenation 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>of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substrate, it was involved in 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reversible interactions with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 xml:space="preserve">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-catalyst.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 xml:space="preserve"> Such a behavior is typical for a variety of different substrates </w:t>
      </w:r>
      <w:r w:rsidR="00035E93">
        <w:rPr>
          <w:rFonts w:ascii="Times New Roman" w:hAnsi="Times New Roman" w:cs="Times New Roman"/>
          <w:sz w:val="24"/>
          <w:szCs w:val="24"/>
          <w:lang w:val="en-US"/>
        </w:rPr>
        <w:t>[S4]</w:t>
      </w:r>
      <w:r w:rsidR="00AB52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3126" w:rsidRPr="00035E93" w:rsidRDefault="00483126" w:rsidP="00F83243">
      <w:pPr>
        <w:pStyle w:val="11"/>
        <w:jc w:val="left"/>
        <w:rPr>
          <w:rFonts w:ascii="Times New Roman" w:hAnsi="Times New Roman" w:cs="Times New Roman"/>
          <w:b w:val="0"/>
          <w:bCs/>
          <w:caps w:val="0"/>
          <w:sz w:val="24"/>
          <w:szCs w:val="24"/>
        </w:rPr>
      </w:pPr>
    </w:p>
    <w:p w:rsidR="00B565B2" w:rsidRPr="00035E93" w:rsidRDefault="00156744" w:rsidP="00035E93">
      <w:pPr>
        <w:pStyle w:val="11"/>
        <w:jc w:val="left"/>
        <w:rPr>
          <w:rFonts w:ascii="Times New Roman" w:hAnsi="Times New Roman" w:cs="Times New Roman"/>
          <w:caps w:val="0"/>
          <w:sz w:val="24"/>
          <w:szCs w:val="24"/>
        </w:rPr>
      </w:pPr>
      <w:r w:rsidRPr="00035E93">
        <w:rPr>
          <w:rFonts w:ascii="Times New Roman" w:hAnsi="Times New Roman" w:cs="Times New Roman"/>
          <w:caps w:val="0"/>
          <w:sz w:val="24"/>
          <w:szCs w:val="24"/>
        </w:rPr>
        <w:t xml:space="preserve">Optimization of </w:t>
      </w:r>
      <w:r w:rsidR="00FB082C" w:rsidRPr="00035E93">
        <w:rPr>
          <w:rFonts w:ascii="Times New Roman" w:hAnsi="Times New Roman" w:cs="Times New Roman"/>
          <w:caps w:val="0"/>
          <w:sz w:val="24"/>
          <w:szCs w:val="24"/>
        </w:rPr>
        <w:t xml:space="preserve">the </w:t>
      </w:r>
      <w:r w:rsidR="00035E93">
        <w:rPr>
          <w:rFonts w:ascii="Times New Roman" w:hAnsi="Times New Roman" w:cs="Times New Roman"/>
          <w:caps w:val="0"/>
          <w:sz w:val="24"/>
          <w:szCs w:val="24"/>
        </w:rPr>
        <w:t>SABRE</w:t>
      </w:r>
      <w:r w:rsidRPr="00035E93">
        <w:rPr>
          <w:rFonts w:ascii="Times New Roman" w:hAnsi="Times New Roman" w:cs="Times New Roman"/>
          <w:caps w:val="0"/>
          <w:sz w:val="24"/>
          <w:szCs w:val="24"/>
        </w:rPr>
        <w:t xml:space="preserve"> pulse sequences</w:t>
      </w:r>
    </w:p>
    <w:p w:rsidR="00EE7F6D" w:rsidRPr="00EE7F6D" w:rsidRDefault="00035E93" w:rsidP="00035E93">
      <w:pPr>
        <w:spacing w:line="276" w:lineRule="auto"/>
        <w:ind w:firstLine="284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SABRE-INEPT pulse sequence requires an optimization of two time delays between the </w:t>
      </w:r>
      <w:r w:rsidR="00EE7F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H and </w:t>
      </w:r>
      <w:r w:rsidR="00EE7F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N pulses, denoted as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τ</m:t>
        </m:r>
      </m:oMath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In our experiments, we used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=10</m:t>
        </m:r>
      </m:oMath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ms and optimized time delay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τ</m:t>
        </m:r>
      </m:oMath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>, as demonstrated in Fig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S3. The maximum of the </w:t>
      </w:r>
      <w:r w:rsidR="00EE7F6D" w:rsidRPr="00B565B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15</w:t>
      </w:r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N </w:t>
      </w:r>
      <w:r w:rsidR="005E4DA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signal enhancement, </w:t>
      </w:r>
      <w:r w:rsidR="005E4DA2" w:rsidRPr="00035E93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ε</w:t>
      </w:r>
      <w:r w:rsidR="005E4DA2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wa</w:t>
      </w:r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 observed at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τ=8.5</m:t>
        </m:r>
      </m:oMath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ms, which we have used in the </w:t>
      </w:r>
      <w:r w:rsidR="00031B5D">
        <w:rPr>
          <w:rFonts w:ascii="Times New Roman" w:eastAsiaTheme="minorEastAsia" w:hAnsi="Times New Roman" w:cs="Times New Roman"/>
          <w:sz w:val="24"/>
          <w:szCs w:val="24"/>
          <w:lang w:val="en-US"/>
        </w:rPr>
        <w:t>subsequent</w:t>
      </w:r>
      <w:r w:rsidR="00EE7F6D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experiments with SABRE-INEPT.</w:t>
      </w:r>
    </w:p>
    <w:p w:rsidR="00156744" w:rsidRDefault="00156744" w:rsidP="00035E93">
      <w:pPr>
        <w:pStyle w:val="11"/>
        <w:keepNext/>
        <w:spacing w:before="200" w:after="120"/>
      </w:pPr>
      <w:r>
        <w:rPr>
          <w:noProof/>
          <w:lang w:val="ru-RU" w:eastAsia="ru-RU"/>
        </w:rPr>
        <w:drawing>
          <wp:inline distT="0" distB="0" distL="0" distR="0">
            <wp:extent cx="2876550" cy="2373801"/>
            <wp:effectExtent l="0" t="0" r="0" b="7620"/>
            <wp:docPr id="27524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49558" name="Рисунок 27524955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536" t="4968" r="3474" b="4014"/>
                    <a:stretch/>
                  </pic:blipFill>
                  <pic:spPr bwMode="auto">
                    <a:xfrm>
                      <a:off x="0" y="0"/>
                      <a:ext cx="2880443" cy="237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6744" w:rsidRPr="00035E93" w:rsidRDefault="00156744" w:rsidP="00035E93">
      <w:pPr>
        <w:pStyle w:val="ad"/>
        <w:spacing w:line="276" w:lineRule="auto"/>
        <w:jc w:val="both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035E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Figure S</w:t>
      </w:r>
      <w:r w:rsidR="00497EA0" w:rsidRPr="00035E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3</w:t>
      </w:r>
      <w:r w:rsidRPr="00035E9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.</w:t>
      </w:r>
      <w:r w:rsidRPr="00035E93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Dependence of </w:t>
      </w:r>
      <w:r w:rsidR="001E3B9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the </w:t>
      </w:r>
      <w:r w:rsidRPr="00035E93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035E93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N-SDAP signal enhancement on time delay</w:t>
      </w:r>
      <w:r w:rsidR="001E3B9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="001E3B98" w:rsidRPr="001E3B9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τ</w:t>
      </w:r>
      <w:r w:rsidR="001E3B9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introduced in the SABRE-INEPT pulse sequence</w:t>
      </w:r>
      <w:r w:rsidR="00415312"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(demonstrated in Fig</w:t>
      </w:r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.</w:t>
      </w:r>
      <w:r w:rsidR="00415312"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1b</w:t>
      </w:r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="00415312"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of the main text)</w:t>
      </w:r>
      <w:r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.</w:t>
      </w:r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The e</w:t>
      </w:r>
      <w:r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xperimental parameters:</w:t>
      </w:r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="001E3B98" w:rsidRPr="001E3B9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τ</w:t>
      </w:r>
      <w:r w:rsidR="001E3B98" w:rsidRPr="001E3B98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bscript"/>
          <w:lang w:val="en-US"/>
        </w:rPr>
        <w:t>1</w:t>
      </w:r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= 10 </w:t>
      </w:r>
      <w:proofErr w:type="spellStart"/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ms.</w:t>
      </w:r>
      <w:proofErr w:type="spellEnd"/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The e</w:t>
      </w:r>
      <w:r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xperimental data </w:t>
      </w:r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are</w:t>
      </w:r>
      <w:r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represented as circles, whereas the theoretically calculated curve</w:t>
      </w:r>
      <w:r w:rsidR="008F6BDC"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for a </w:t>
      </w:r>
      <w:r w:rsidR="00C543CF"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three-spin</w:t>
      </w:r>
      <w:r w:rsidR="008F6BDC"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system</w:t>
      </w:r>
      <w:r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is </w:t>
      </w:r>
      <w:r w:rsidR="001E3B98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presented with </w:t>
      </w:r>
      <w:r w:rsidRPr="00035E93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a solid line.</w:t>
      </w:r>
    </w:p>
    <w:p w:rsidR="00EE7F6D" w:rsidRPr="006E2401" w:rsidRDefault="001E3B98" w:rsidP="00EE7F6D">
      <w:pPr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DRF-SABRE pulse sequence utilizes two continuous-wave (CW) magnetic fields exciting the nuclear spins of </w:t>
      </w:r>
      <w:r w:rsidR="00EE7F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H and </w:t>
      </w:r>
      <w:r w:rsidR="00EE7F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>N nuclei in the polarization transfer complex, as demonstrated in Fig</w:t>
      </w:r>
      <w:r w:rsidR="00131BA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 S4. </w:t>
      </w:r>
      <w:r w:rsidR="00EE7F6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H CW field is chosen to be on-resonant to the 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>trans-</w:t>
      </w:r>
      <w:r w:rsidR="005E4DA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 xml:space="preserve">H hydride nuclei (trans-position is determined with respect to the complex-bound </w:t>
      </w:r>
      <w:r w:rsidR="005E4DA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>N-SDAP)</w:t>
      </w:r>
      <w:r w:rsidR="00EE7F6D">
        <w:rPr>
          <w:rFonts w:ascii="Times New Roman" w:hAnsi="Times New Roman" w:cs="Times New Roman"/>
          <w:sz w:val="24"/>
          <w:szCs w:val="24"/>
          <w:lang w:val="en-US"/>
        </w:rPr>
        <w:t xml:space="preserve"> in the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 xml:space="preserve"> polarization transfer complex. In our case of </w:t>
      </w:r>
      <w:r w:rsidR="005E4DA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 xml:space="preserve">N-SDAP, the resonant position of this proton is equal to </w:t>
      </w:r>
      <w:r w:rsidR="00131BAE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>23.72 ppm, which is RF excited, as demonstrated in Fig</w:t>
      </w:r>
      <w:r w:rsidR="00131BA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 xml:space="preserve"> S4, left. At the same time, </w:t>
      </w:r>
      <w:r w:rsidR="005E4DA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 xml:space="preserve">N CW field frequency is varied near the resonance of complex-bound </w:t>
      </w:r>
      <w:r w:rsidR="005E4DA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>N-SDAP (242.37 ppm), as shown in F</w:t>
      </w:r>
      <w:r w:rsidR="00131BAE">
        <w:rPr>
          <w:rFonts w:ascii="Times New Roman" w:hAnsi="Times New Roman" w:cs="Times New Roman"/>
          <w:sz w:val="24"/>
          <w:szCs w:val="24"/>
          <w:lang w:val="en-US"/>
        </w:rPr>
        <w:t>ig.</w:t>
      </w:r>
      <w:r w:rsidR="005E4DA2">
        <w:rPr>
          <w:rFonts w:ascii="Times New Roman" w:hAnsi="Times New Roman" w:cs="Times New Roman"/>
          <w:sz w:val="24"/>
          <w:szCs w:val="24"/>
          <w:lang w:val="en-US"/>
        </w:rPr>
        <w:t xml:space="preserve"> S4, right. </w:t>
      </w:r>
      <w:r w:rsidR="00131BAE">
        <w:rPr>
          <w:rFonts w:ascii="Times New Roman" w:hAnsi="Times New Roman" w:cs="Times New Roman"/>
          <w:sz w:val="24"/>
          <w:szCs w:val="24"/>
          <w:lang w:val="en-US"/>
        </w:rPr>
        <w:t>The d</w:t>
      </w:r>
      <w:r w:rsidR="006E2401">
        <w:rPr>
          <w:rFonts w:ascii="Times New Roman" w:hAnsi="Times New Roman" w:cs="Times New Roman"/>
          <w:sz w:val="24"/>
          <w:szCs w:val="24"/>
          <w:lang w:val="en-US"/>
        </w:rPr>
        <w:t xml:space="preserve">ependence of the </w:t>
      </w:r>
      <w:r w:rsidR="006E2401" w:rsidRPr="006E240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6E2401">
        <w:rPr>
          <w:rFonts w:ascii="Times New Roman" w:hAnsi="Times New Roman" w:cs="Times New Roman"/>
          <w:sz w:val="24"/>
          <w:szCs w:val="24"/>
          <w:lang w:val="en-US"/>
        </w:rPr>
        <w:t>N signal enhancement</w:t>
      </w:r>
      <w:r w:rsidR="00596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078" w:rsidRPr="00596078">
        <w:rPr>
          <w:rFonts w:ascii="Times New Roman" w:hAnsi="Times New Roman" w:cs="Times New Roman"/>
          <w:i/>
          <w:iCs/>
          <w:sz w:val="24"/>
          <w:szCs w:val="24"/>
          <w:lang w:val="en-US"/>
        </w:rPr>
        <w:t>ε</w:t>
      </w:r>
      <w:r w:rsidR="006E240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E2401" w:rsidRPr="006E240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6E2401">
        <w:rPr>
          <w:rFonts w:ascii="Times New Roman" w:hAnsi="Times New Roman" w:cs="Times New Roman"/>
          <w:sz w:val="24"/>
          <w:szCs w:val="24"/>
          <w:lang w:val="en-US"/>
        </w:rPr>
        <w:t xml:space="preserve">N-SDAP (free) on the frequency of the </w:t>
      </w:r>
      <w:r w:rsidR="006E2401" w:rsidRPr="006E240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6E2401">
        <w:rPr>
          <w:rFonts w:ascii="Times New Roman" w:hAnsi="Times New Roman" w:cs="Times New Roman"/>
          <w:sz w:val="24"/>
          <w:szCs w:val="24"/>
          <w:lang w:val="en-US"/>
        </w:rPr>
        <w:t>N CW field is demonstrated in Fig</w:t>
      </w:r>
      <w:r w:rsidR="005960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E2401">
        <w:rPr>
          <w:rFonts w:ascii="Times New Roman" w:hAnsi="Times New Roman" w:cs="Times New Roman"/>
          <w:sz w:val="24"/>
          <w:szCs w:val="24"/>
          <w:lang w:val="en-US"/>
        </w:rPr>
        <w:t xml:space="preserve"> S5. The maximum absolute value of enhancement</w:t>
      </w:r>
      <w:r w:rsidR="00596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078" w:rsidRPr="00596078">
        <w:rPr>
          <w:rFonts w:ascii="Times New Roman" w:hAnsi="Times New Roman" w:cs="Times New Roman"/>
          <w:i/>
          <w:iCs/>
          <w:sz w:val="24"/>
          <w:szCs w:val="24"/>
          <w:lang w:val="en-US"/>
        </w:rPr>
        <w:t>ε</w:t>
      </w:r>
      <w:r w:rsidR="006E2401">
        <w:rPr>
          <w:rFonts w:ascii="Times New Roman" w:hAnsi="Times New Roman" w:cs="Times New Roman"/>
          <w:sz w:val="24"/>
          <w:szCs w:val="24"/>
          <w:lang w:val="en-US"/>
        </w:rPr>
        <w:t xml:space="preserve"> is observed at 241.87 ppm </w:t>
      </w:r>
      <w:r w:rsidR="00031B5D">
        <w:rPr>
          <w:rFonts w:ascii="Times New Roman" w:hAnsi="Times New Roman" w:cs="Times New Roman"/>
          <w:sz w:val="24"/>
          <w:szCs w:val="24"/>
          <w:lang w:val="en-US"/>
        </w:rPr>
        <w:t xml:space="preserve">frequency of the </w:t>
      </w:r>
      <w:r w:rsidR="00031B5D" w:rsidRPr="00031B5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031B5D">
        <w:rPr>
          <w:rFonts w:ascii="Times New Roman" w:hAnsi="Times New Roman" w:cs="Times New Roman"/>
          <w:sz w:val="24"/>
          <w:szCs w:val="24"/>
          <w:lang w:val="en-US"/>
        </w:rPr>
        <w:t>N CW field, which we have used in the subsequent experiments.</w:t>
      </w:r>
    </w:p>
    <w:p w:rsidR="00A7687E" w:rsidRDefault="00277C07" w:rsidP="0051088C">
      <w:pPr>
        <w:keepNext/>
        <w:spacing w:before="200" w:after="12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92033" cy="2219325"/>
            <wp:effectExtent l="0" t="0" r="4445" b="0"/>
            <wp:docPr id="7085211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21149" name="Рисунок 7085211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95" cy="22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2E" w:rsidRPr="00577641" w:rsidRDefault="00A7687E" w:rsidP="00577641">
      <w:pPr>
        <w:pStyle w:val="ad"/>
        <w:spacing w:line="276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57764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Figure S</w:t>
      </w:r>
      <w:r w:rsidR="00497EA0" w:rsidRPr="0057764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4</w:t>
      </w:r>
      <w:r w:rsidRPr="0057764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.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Visualization of</w:t>
      </w:r>
      <w:r w:rsid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the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H and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N frequencies excited in the DRF-SABRE experiment</w:t>
      </w:r>
      <w:r w:rsidR="00415312"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(demonstrated in Fig</w:t>
      </w:r>
      <w:r w:rsid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.</w:t>
      </w:r>
      <w:r w:rsidR="00415312"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1b, of the main text)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. (Left)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H CW is resonant towards hydride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H nucleus in its trans-position in the complex with respect to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N-sub. (right)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N CW frequency is varied near the resonant frequency of complex-bound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N-SDAP. </w:t>
      </w:r>
      <w:r w:rsid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The o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ptimization of both RF fields leads to the hyperpolarization of 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577641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N-SDAP (free and bound).</w:t>
      </w:r>
    </w:p>
    <w:p w:rsidR="00156744" w:rsidRDefault="00156744" w:rsidP="0051088C">
      <w:pPr>
        <w:pStyle w:val="11"/>
        <w:keepNext/>
        <w:spacing w:before="200" w:after="120"/>
      </w:pPr>
      <w:r>
        <w:rPr>
          <w:noProof/>
          <w:lang w:val="ru-RU" w:eastAsia="ru-RU"/>
        </w:rPr>
        <w:drawing>
          <wp:inline distT="0" distB="0" distL="0" distR="0">
            <wp:extent cx="2985325" cy="2200275"/>
            <wp:effectExtent l="0" t="0" r="5715" b="0"/>
            <wp:docPr id="9937495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49506" name="Рисунок 99374950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574" r="3795" b="4022"/>
                    <a:stretch/>
                  </pic:blipFill>
                  <pic:spPr bwMode="auto">
                    <a:xfrm>
                      <a:off x="0" y="0"/>
                      <a:ext cx="3001513" cy="2212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56744" w:rsidRPr="0051088C" w:rsidRDefault="00156744" w:rsidP="0051088C">
      <w:pPr>
        <w:pStyle w:val="ad"/>
        <w:jc w:val="both"/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5108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Figure S</w:t>
      </w:r>
      <w:r w:rsidR="00497EA0" w:rsidRPr="005108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>5</w:t>
      </w:r>
      <w:r w:rsidRPr="0051088C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  <w:lang w:val="en-US"/>
        </w:rPr>
        <w:t xml:space="preserve">. </w:t>
      </w:r>
      <w:r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Dependence of</w:t>
      </w:r>
      <w:r w:rsidR="00C543CF"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the</w:t>
      </w:r>
      <w:r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w:r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N-SDAP signal enhancement on the </w:t>
      </w:r>
      <w:r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15</w:t>
      </w:r>
      <w:r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N CW frequency</w:t>
      </w:r>
      <w:r w:rsidR="00C543CF"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,</w:t>
      </w:r>
      <w:r w:rsidRPr="0051088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  <w:lang w:val="en-US"/>
              </w:rPr>
              <m:t>rf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  <w:lang w:val="en-US"/>
              </w:rPr>
              <m:t>N</m:t>
            </m:r>
          </m:sup>
        </m:sSubSup>
      </m:oMath>
      <w:r w:rsidR="00C543CF"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, </w:t>
      </w:r>
      <w:r w:rsidR="00415312"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in the DRF-SABRE experiment</w:t>
      </w:r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. </w:t>
      </w:r>
      <w:r w:rsid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The e</w:t>
      </w:r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xperimental parameters: the frequency of the </w:t>
      </w:r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vertAlign w:val="superscript"/>
          <w:lang w:val="en-US"/>
        </w:rPr>
        <w:t>1</w:t>
      </w:r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H CW field was fixed at </w:t>
      </w:r>
      <m:oMath>
        <m:sSubSup>
          <m:sSubSup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2"/>
                <w:szCs w:val="2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  <w:lang w:val="en-US"/>
              </w:rPr>
              <m:t>rf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2"/>
                <w:szCs w:val="22"/>
                <w:lang w:val="en-US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color w:val="000000" w:themeColor="text1"/>
            <w:sz w:val="22"/>
            <w:szCs w:val="22"/>
            <w:lang w:val="en-US"/>
          </w:rPr>
          <m:t>=-23.72</m:t>
        </m:r>
      </m:oMath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ppm.</w:t>
      </w:r>
      <w:r w:rsidR="00EE7F6D"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The amplitudes of the CW fields were equal to 8 Hz. </w:t>
      </w:r>
      <w:r w:rsid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The e</w:t>
      </w:r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xperimental data </w:t>
      </w:r>
      <w:r w:rsidR="008F6BDC"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are</w:t>
      </w:r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represented as circles, whereas the theoretically calculated curve</w:t>
      </w:r>
      <w:r w:rsidR="008F6BDC"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for a </w:t>
      </w:r>
      <w:r w:rsidR="00C543CF"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>three-spin</w:t>
      </w:r>
      <w:r w:rsidR="008F6BDC"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system</w:t>
      </w:r>
      <w:r w:rsidRPr="0051088C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2"/>
          <w:szCs w:val="22"/>
          <w:lang w:val="en-US"/>
        </w:rPr>
        <w:t xml:space="preserve"> is a solid line.</w:t>
      </w:r>
    </w:p>
    <w:p w:rsidR="001B2878" w:rsidRPr="0051088C" w:rsidRDefault="001B2878" w:rsidP="001B2878">
      <w:pPr>
        <w:spacing w:before="200" w:after="2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088C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51088C">
        <w:rPr>
          <w:rFonts w:ascii="Times New Roman" w:hAnsi="Times New Roman" w:cs="Times New Roman"/>
          <w:b/>
          <w:bCs/>
          <w:sz w:val="24"/>
          <w:szCs w:val="24"/>
          <w:lang w:val="en-US"/>
        </w:rPr>
        <w:t>eferences</w:t>
      </w:r>
    </w:p>
    <w:p w:rsidR="001B2878" w:rsidRPr="0051088C" w:rsidRDefault="0051088C" w:rsidP="0051088C">
      <w:pPr>
        <w:spacing w:after="0" w:line="276" w:lineRule="auto"/>
        <w:ind w:left="454" w:hanging="454"/>
        <w:jc w:val="both"/>
        <w:rPr>
          <w:rFonts w:ascii="Times New Roman" w:hAnsi="Times New Roman" w:cs="Times New Roman"/>
          <w:lang w:val="en-US"/>
        </w:rPr>
      </w:pPr>
      <w:r w:rsidRPr="0051088C">
        <w:rPr>
          <w:rFonts w:ascii="Times New Roman" w:hAnsi="Times New Roman" w:cs="Times New Roman"/>
          <w:noProof/>
          <w:lang w:val="en-US"/>
        </w:rPr>
        <w:t>1.</w:t>
      </w:r>
      <w:r w:rsidRPr="0051088C">
        <w:rPr>
          <w:rFonts w:ascii="Times New Roman" w:hAnsi="Times New Roman" w:cs="Times New Roman"/>
          <w:noProof/>
          <w:lang w:val="en-US"/>
        </w:rPr>
        <w:tab/>
      </w:r>
      <w:r w:rsidR="00033958" w:rsidRPr="0051088C">
        <w:rPr>
          <w:rFonts w:ascii="Times New Roman" w:hAnsi="Times New Roman" w:cs="Times New Roman"/>
          <w:noProof/>
          <w:lang w:val="en-US"/>
        </w:rPr>
        <w:t xml:space="preserve">A. N. Pravdivtsev, K. L. Ivanov, A. V. Yurkovskaya, P. A. Petrov, H.-H. Limbach, R. Kaptein, H.-M. Vieth, </w:t>
      </w:r>
      <w:r w:rsidR="00033958" w:rsidRPr="0051088C">
        <w:rPr>
          <w:rFonts w:ascii="Times New Roman" w:hAnsi="Times New Roman" w:cs="Times New Roman"/>
          <w:i/>
          <w:noProof/>
          <w:lang w:val="en-US"/>
        </w:rPr>
        <w:t>J</w:t>
      </w:r>
      <w:r w:rsidRPr="0051088C">
        <w:rPr>
          <w:rFonts w:ascii="Times New Roman" w:hAnsi="Times New Roman" w:cs="Times New Roman"/>
          <w:i/>
          <w:noProof/>
          <w:lang w:val="en-US"/>
        </w:rPr>
        <w:t>.</w:t>
      </w:r>
      <w:r w:rsidR="00033958" w:rsidRPr="0051088C">
        <w:rPr>
          <w:rFonts w:ascii="Times New Roman" w:hAnsi="Times New Roman" w:cs="Times New Roman"/>
          <w:i/>
          <w:noProof/>
          <w:lang w:val="en-US"/>
        </w:rPr>
        <w:t xml:space="preserve"> Magn</w:t>
      </w:r>
      <w:r w:rsidRPr="0051088C">
        <w:rPr>
          <w:rFonts w:ascii="Times New Roman" w:hAnsi="Times New Roman" w:cs="Times New Roman"/>
          <w:i/>
          <w:noProof/>
          <w:lang w:val="en-US"/>
        </w:rPr>
        <w:t>.</w:t>
      </w:r>
      <w:r w:rsidR="00033958" w:rsidRPr="0051088C">
        <w:rPr>
          <w:rFonts w:ascii="Times New Roman" w:hAnsi="Times New Roman" w:cs="Times New Roman"/>
          <w:i/>
          <w:noProof/>
          <w:lang w:val="en-US"/>
        </w:rPr>
        <w:t xml:space="preserve"> Reson</w:t>
      </w:r>
      <w:r w:rsidRPr="0051088C">
        <w:rPr>
          <w:rFonts w:ascii="Times New Roman" w:hAnsi="Times New Roman" w:cs="Times New Roman"/>
          <w:i/>
          <w:noProof/>
          <w:lang w:val="en-US"/>
        </w:rPr>
        <w:t>.</w:t>
      </w:r>
      <w:r w:rsidR="00033958" w:rsidRPr="0051088C">
        <w:rPr>
          <w:rFonts w:ascii="Times New Roman" w:hAnsi="Times New Roman" w:cs="Times New Roman"/>
          <w:iCs/>
          <w:noProof/>
          <w:lang w:val="en-US"/>
        </w:rPr>
        <w:t xml:space="preserve">, </w:t>
      </w:r>
      <w:r w:rsidR="00033958" w:rsidRPr="0051088C">
        <w:rPr>
          <w:rFonts w:ascii="Times New Roman" w:hAnsi="Times New Roman" w:cs="Times New Roman"/>
          <w:b/>
          <w:noProof/>
          <w:lang w:val="en-US"/>
        </w:rPr>
        <w:t>2015</w:t>
      </w:r>
      <w:r w:rsidR="00033958" w:rsidRPr="0051088C">
        <w:rPr>
          <w:rFonts w:ascii="Times New Roman" w:hAnsi="Times New Roman" w:cs="Times New Roman"/>
          <w:noProof/>
          <w:lang w:val="en-US"/>
        </w:rPr>
        <w:t xml:space="preserve">, </w:t>
      </w:r>
      <w:r w:rsidR="00033958" w:rsidRPr="0051088C">
        <w:rPr>
          <w:rFonts w:ascii="Times New Roman" w:hAnsi="Times New Roman" w:cs="Times New Roman"/>
          <w:i/>
          <w:noProof/>
          <w:lang w:val="en-US"/>
        </w:rPr>
        <w:t>261</w:t>
      </w:r>
      <w:r w:rsidR="00033958" w:rsidRPr="0051088C">
        <w:rPr>
          <w:rFonts w:ascii="Times New Roman" w:hAnsi="Times New Roman" w:cs="Times New Roman"/>
          <w:noProof/>
          <w:lang w:val="en-US"/>
        </w:rPr>
        <w:t>, 73</w:t>
      </w:r>
      <w:r w:rsidRPr="0051088C">
        <w:rPr>
          <w:rFonts w:ascii="Times New Roman" w:hAnsi="Times New Roman" w:cs="Times New Roman"/>
          <w:noProof/>
          <w:lang w:val="en-US"/>
        </w:rPr>
        <w:t>–</w:t>
      </w:r>
      <w:r w:rsidR="00033958" w:rsidRPr="0051088C">
        <w:rPr>
          <w:rFonts w:ascii="Times New Roman" w:hAnsi="Times New Roman" w:cs="Times New Roman"/>
          <w:noProof/>
          <w:lang w:val="en-US"/>
        </w:rPr>
        <w:t>82. DOI: 10.1016/j.jmr.2015.10.006</w:t>
      </w:r>
    </w:p>
    <w:p w:rsidR="00CE07B8" w:rsidRPr="0051088C" w:rsidRDefault="0051088C" w:rsidP="0051088C">
      <w:pPr>
        <w:spacing w:after="0" w:line="276" w:lineRule="auto"/>
        <w:ind w:left="454" w:hanging="454"/>
        <w:jc w:val="both"/>
        <w:rPr>
          <w:rFonts w:ascii="Times New Roman" w:hAnsi="Times New Roman" w:cs="Times New Roman"/>
          <w:lang w:val="en-US"/>
        </w:rPr>
      </w:pPr>
      <w:r w:rsidRPr="0051088C">
        <w:rPr>
          <w:rFonts w:ascii="Times New Roman" w:hAnsi="Times New Roman" w:cs="Times New Roman"/>
          <w:lang w:val="en-US"/>
        </w:rPr>
        <w:t>2.</w:t>
      </w:r>
      <w:r w:rsidRPr="0051088C">
        <w:rPr>
          <w:rFonts w:ascii="Times New Roman" w:hAnsi="Times New Roman" w:cs="Times New Roman"/>
          <w:lang w:val="en-US"/>
        </w:rPr>
        <w:tab/>
      </w:r>
      <w:r w:rsidR="00CE07B8" w:rsidRPr="0051088C">
        <w:rPr>
          <w:rFonts w:ascii="Times New Roman" w:hAnsi="Times New Roman" w:cs="Times New Roman"/>
          <w:lang w:val="en-US"/>
        </w:rPr>
        <w:t xml:space="preserve">C. R. Bowers, D. P. Weitekamp, </w:t>
      </w:r>
      <w:r w:rsidR="00CE07B8" w:rsidRPr="0051088C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  <w:i/>
          <w:lang w:val="en-US"/>
        </w:rPr>
        <w:t>.</w:t>
      </w:r>
      <w:r w:rsidR="00CE07B8" w:rsidRPr="0051088C">
        <w:rPr>
          <w:rFonts w:ascii="Times New Roman" w:hAnsi="Times New Roman" w:cs="Times New Roman"/>
          <w:i/>
          <w:lang w:val="en-US"/>
        </w:rPr>
        <w:t xml:space="preserve"> Am</w:t>
      </w:r>
      <w:r>
        <w:rPr>
          <w:rFonts w:ascii="Times New Roman" w:hAnsi="Times New Roman" w:cs="Times New Roman"/>
          <w:i/>
          <w:lang w:val="en-US"/>
        </w:rPr>
        <w:t xml:space="preserve">. </w:t>
      </w:r>
      <w:r w:rsidR="00CE07B8" w:rsidRPr="0051088C">
        <w:rPr>
          <w:rFonts w:ascii="Times New Roman" w:hAnsi="Times New Roman" w:cs="Times New Roman"/>
          <w:i/>
          <w:lang w:val="en-US"/>
        </w:rPr>
        <w:t>Chem</w:t>
      </w:r>
      <w:r>
        <w:rPr>
          <w:rFonts w:ascii="Times New Roman" w:hAnsi="Times New Roman" w:cs="Times New Roman"/>
          <w:i/>
          <w:lang w:val="en-US"/>
        </w:rPr>
        <w:t>.</w:t>
      </w:r>
      <w:r w:rsidR="00CE07B8" w:rsidRPr="0051088C">
        <w:rPr>
          <w:rFonts w:ascii="Times New Roman" w:hAnsi="Times New Roman" w:cs="Times New Roman"/>
          <w:i/>
          <w:lang w:val="en-US"/>
        </w:rPr>
        <w:t xml:space="preserve"> Soc</w:t>
      </w:r>
      <w:r>
        <w:rPr>
          <w:rFonts w:ascii="Times New Roman" w:hAnsi="Times New Roman" w:cs="Times New Roman"/>
          <w:i/>
          <w:lang w:val="en-US"/>
        </w:rPr>
        <w:t>.</w:t>
      </w:r>
      <w:r w:rsidR="00CE07B8" w:rsidRPr="0051088C">
        <w:rPr>
          <w:rFonts w:ascii="Times New Roman" w:hAnsi="Times New Roman" w:cs="Times New Roman"/>
          <w:iCs/>
          <w:lang w:val="en-US"/>
        </w:rPr>
        <w:t xml:space="preserve">, </w:t>
      </w:r>
      <w:r w:rsidR="00CE07B8" w:rsidRPr="0051088C">
        <w:rPr>
          <w:rFonts w:ascii="Times New Roman" w:hAnsi="Times New Roman" w:cs="Times New Roman"/>
          <w:b/>
          <w:lang w:val="en-US"/>
        </w:rPr>
        <w:t>1987</w:t>
      </w:r>
      <w:r w:rsidR="00CE07B8" w:rsidRPr="0051088C">
        <w:rPr>
          <w:rFonts w:ascii="Times New Roman" w:hAnsi="Times New Roman" w:cs="Times New Roman"/>
          <w:lang w:val="en-US"/>
        </w:rPr>
        <w:t xml:space="preserve">, </w:t>
      </w:r>
      <w:r w:rsidR="00CE07B8" w:rsidRPr="0051088C">
        <w:rPr>
          <w:rFonts w:ascii="Times New Roman" w:hAnsi="Times New Roman" w:cs="Times New Roman"/>
          <w:i/>
          <w:lang w:val="en-US"/>
        </w:rPr>
        <w:t>109</w:t>
      </w:r>
      <w:r w:rsidR="00CE07B8" w:rsidRPr="0051088C">
        <w:rPr>
          <w:rFonts w:ascii="Times New Roman" w:hAnsi="Times New Roman" w:cs="Times New Roman"/>
          <w:lang w:val="en-US"/>
        </w:rPr>
        <w:t>, 5541</w:t>
      </w:r>
      <w:r>
        <w:rPr>
          <w:rFonts w:ascii="Times New Roman" w:hAnsi="Times New Roman" w:cs="Times New Roman"/>
          <w:lang w:val="en-US"/>
        </w:rPr>
        <w:t>–</w:t>
      </w:r>
      <w:r w:rsidR="00CE07B8" w:rsidRPr="0051088C">
        <w:rPr>
          <w:rFonts w:ascii="Times New Roman" w:hAnsi="Times New Roman" w:cs="Times New Roman"/>
          <w:lang w:val="en-US"/>
        </w:rPr>
        <w:t>5542. DOI: 10.1021/ja00252a049</w:t>
      </w:r>
    </w:p>
    <w:p w:rsidR="00CE07B8" w:rsidRPr="0051088C" w:rsidRDefault="0051088C" w:rsidP="0051088C">
      <w:pPr>
        <w:spacing w:after="0" w:line="276" w:lineRule="auto"/>
        <w:ind w:left="454" w:hanging="454"/>
        <w:jc w:val="both"/>
        <w:rPr>
          <w:rFonts w:ascii="Times New Roman" w:hAnsi="Times New Roman" w:cs="Times New Roman"/>
          <w:lang w:val="en-US"/>
        </w:rPr>
      </w:pPr>
      <w:r w:rsidRPr="0051088C">
        <w:rPr>
          <w:rFonts w:ascii="Times New Roman" w:hAnsi="Times New Roman" w:cs="Times New Roman"/>
          <w:lang w:val="en-US"/>
        </w:rPr>
        <w:t>3.</w:t>
      </w:r>
      <w:r w:rsidRPr="0051088C">
        <w:rPr>
          <w:rFonts w:ascii="Times New Roman" w:hAnsi="Times New Roman" w:cs="Times New Roman"/>
          <w:lang w:val="en-US"/>
        </w:rPr>
        <w:tab/>
      </w:r>
      <w:r w:rsidR="00CE07B8" w:rsidRPr="0051088C">
        <w:rPr>
          <w:rFonts w:ascii="Times New Roman" w:hAnsi="Times New Roman" w:cs="Times New Roman"/>
          <w:lang w:val="en-US"/>
        </w:rPr>
        <w:t xml:space="preserve">R. W. Adams, J. A. Aguilar, K. D. Atkinson, M. J. Cowley, P. I. P. Elliott, S. B. Duckett, G. G. R. Green, I. G. Khazal, J. López-Serrano, D. C. Williamson, </w:t>
      </w:r>
      <w:r w:rsidR="00CE07B8" w:rsidRPr="0051088C">
        <w:rPr>
          <w:rFonts w:ascii="Times New Roman" w:hAnsi="Times New Roman" w:cs="Times New Roman"/>
          <w:i/>
          <w:lang w:val="en-US"/>
        </w:rPr>
        <w:t>Science</w:t>
      </w:r>
      <w:r w:rsidR="00CE07B8" w:rsidRPr="0051088C">
        <w:rPr>
          <w:rFonts w:ascii="Times New Roman" w:hAnsi="Times New Roman" w:cs="Times New Roman"/>
          <w:iCs/>
          <w:lang w:val="en-US"/>
        </w:rPr>
        <w:t xml:space="preserve">, </w:t>
      </w:r>
      <w:r w:rsidR="00CE07B8" w:rsidRPr="0051088C">
        <w:rPr>
          <w:rFonts w:ascii="Times New Roman" w:hAnsi="Times New Roman" w:cs="Times New Roman"/>
          <w:b/>
          <w:lang w:val="en-US"/>
        </w:rPr>
        <w:t>2009</w:t>
      </w:r>
      <w:r w:rsidR="00CE07B8" w:rsidRPr="0051088C">
        <w:rPr>
          <w:rFonts w:ascii="Times New Roman" w:hAnsi="Times New Roman" w:cs="Times New Roman"/>
          <w:lang w:val="en-US"/>
        </w:rPr>
        <w:t xml:space="preserve">, </w:t>
      </w:r>
      <w:r w:rsidR="00CE07B8" w:rsidRPr="0051088C">
        <w:rPr>
          <w:rFonts w:ascii="Times New Roman" w:hAnsi="Times New Roman" w:cs="Times New Roman"/>
          <w:i/>
          <w:lang w:val="en-US"/>
        </w:rPr>
        <w:t>323</w:t>
      </w:r>
      <w:r w:rsidR="00CE07B8" w:rsidRPr="0051088C">
        <w:rPr>
          <w:rFonts w:ascii="Times New Roman" w:hAnsi="Times New Roman" w:cs="Times New Roman"/>
          <w:lang w:val="en-US"/>
        </w:rPr>
        <w:t>, 1708</w:t>
      </w:r>
      <w:r>
        <w:rPr>
          <w:rFonts w:ascii="Times New Roman" w:hAnsi="Times New Roman" w:cs="Times New Roman"/>
          <w:lang w:val="en-US"/>
        </w:rPr>
        <w:t>–</w:t>
      </w:r>
      <w:r w:rsidR="00CE07B8" w:rsidRPr="0051088C">
        <w:rPr>
          <w:rFonts w:ascii="Times New Roman" w:hAnsi="Times New Roman" w:cs="Times New Roman"/>
          <w:lang w:val="en-US"/>
        </w:rPr>
        <w:t>1711</w:t>
      </w:r>
      <w:r>
        <w:rPr>
          <w:rFonts w:ascii="Times New Roman" w:hAnsi="Times New Roman" w:cs="Times New Roman"/>
          <w:lang w:val="en-US"/>
        </w:rPr>
        <w:t xml:space="preserve">. </w:t>
      </w:r>
      <w:r w:rsidR="00CE07B8" w:rsidRPr="0051088C">
        <w:rPr>
          <w:rFonts w:ascii="Times New Roman" w:hAnsi="Times New Roman" w:cs="Times New Roman"/>
          <w:lang w:val="en-US"/>
        </w:rPr>
        <w:t xml:space="preserve">DOI: </w:t>
      </w:r>
      <w:r>
        <w:rPr>
          <w:rFonts w:ascii="Times New Roman" w:hAnsi="Times New Roman" w:cs="Times New Roman"/>
          <w:lang w:val="en-US"/>
        </w:rPr>
        <w:t>10.</w:t>
      </w:r>
      <w:r w:rsidR="00CE07B8" w:rsidRPr="0051088C">
        <w:rPr>
          <w:rFonts w:ascii="Times New Roman" w:hAnsi="Times New Roman" w:cs="Times New Roman"/>
          <w:lang w:val="en-US"/>
        </w:rPr>
        <w:t>1126/science.1168877</w:t>
      </w:r>
    </w:p>
    <w:p w:rsidR="00CE07B8" w:rsidRPr="0051088C" w:rsidRDefault="0051088C" w:rsidP="0051088C">
      <w:pPr>
        <w:spacing w:after="0" w:line="276" w:lineRule="auto"/>
        <w:ind w:left="454" w:hanging="454"/>
        <w:jc w:val="both"/>
        <w:rPr>
          <w:rFonts w:ascii="Times New Roman" w:hAnsi="Times New Roman" w:cs="Times New Roman"/>
          <w:lang w:val="en-US"/>
        </w:rPr>
      </w:pPr>
      <w:r w:rsidRPr="0051088C">
        <w:rPr>
          <w:rFonts w:ascii="Times New Roman" w:hAnsi="Times New Roman" w:cs="Times New Roman"/>
          <w:noProof/>
          <w:lang w:val="en-US"/>
        </w:rPr>
        <w:t>4.</w:t>
      </w:r>
      <w:r w:rsidRPr="0051088C">
        <w:rPr>
          <w:rFonts w:ascii="Times New Roman" w:hAnsi="Times New Roman" w:cs="Times New Roman"/>
          <w:noProof/>
          <w:lang w:val="en-US"/>
        </w:rPr>
        <w:tab/>
      </w:r>
      <w:r w:rsidR="00CE07B8" w:rsidRPr="0051088C">
        <w:rPr>
          <w:rFonts w:ascii="Times New Roman" w:hAnsi="Times New Roman" w:cs="Times New Roman"/>
          <w:noProof/>
          <w:lang w:val="en-US"/>
        </w:rPr>
        <w:t xml:space="preserve">D. A. Barskiy, S. Knecht, A. V. Yurkovskaya, K. L. Ivanov, </w:t>
      </w:r>
      <w:r w:rsidR="00CE07B8" w:rsidRPr="0051088C">
        <w:rPr>
          <w:rFonts w:ascii="Times New Roman" w:hAnsi="Times New Roman" w:cs="Times New Roman"/>
          <w:i/>
          <w:noProof/>
          <w:lang w:val="en-US"/>
        </w:rPr>
        <w:t>Prog</w:t>
      </w:r>
      <w:r>
        <w:rPr>
          <w:rFonts w:ascii="Times New Roman" w:hAnsi="Times New Roman" w:cs="Times New Roman"/>
          <w:i/>
          <w:noProof/>
          <w:lang w:val="en-US"/>
        </w:rPr>
        <w:t>.</w:t>
      </w:r>
      <w:r w:rsidR="00CE07B8" w:rsidRPr="0051088C">
        <w:rPr>
          <w:rFonts w:ascii="Times New Roman" w:hAnsi="Times New Roman" w:cs="Times New Roman"/>
          <w:i/>
          <w:noProof/>
          <w:lang w:val="en-US"/>
        </w:rPr>
        <w:t xml:space="preserve"> Nucl</w:t>
      </w:r>
      <w:r>
        <w:rPr>
          <w:rFonts w:ascii="Times New Roman" w:hAnsi="Times New Roman" w:cs="Times New Roman"/>
          <w:i/>
          <w:noProof/>
          <w:lang w:val="en-US"/>
        </w:rPr>
        <w:t xml:space="preserve">. </w:t>
      </w:r>
      <w:r w:rsidR="00CE07B8" w:rsidRPr="0051088C">
        <w:rPr>
          <w:rFonts w:ascii="Times New Roman" w:hAnsi="Times New Roman" w:cs="Times New Roman"/>
          <w:i/>
          <w:noProof/>
          <w:lang w:val="en-US"/>
        </w:rPr>
        <w:t>Magn</w:t>
      </w:r>
      <w:r>
        <w:rPr>
          <w:rFonts w:ascii="Times New Roman" w:hAnsi="Times New Roman" w:cs="Times New Roman"/>
          <w:i/>
          <w:noProof/>
          <w:lang w:val="en-US"/>
        </w:rPr>
        <w:t>.</w:t>
      </w:r>
      <w:r w:rsidR="00CE07B8" w:rsidRPr="0051088C">
        <w:rPr>
          <w:rFonts w:ascii="Times New Roman" w:hAnsi="Times New Roman" w:cs="Times New Roman"/>
          <w:i/>
          <w:noProof/>
          <w:lang w:val="en-US"/>
        </w:rPr>
        <w:t xml:space="preserve"> Reson</w:t>
      </w:r>
      <w:r>
        <w:rPr>
          <w:rFonts w:ascii="Times New Roman" w:hAnsi="Times New Roman" w:cs="Times New Roman"/>
          <w:i/>
          <w:noProof/>
          <w:lang w:val="en-US"/>
        </w:rPr>
        <w:t>.</w:t>
      </w:r>
      <w:r w:rsidR="00CE07B8" w:rsidRPr="0051088C">
        <w:rPr>
          <w:rFonts w:ascii="Times New Roman" w:hAnsi="Times New Roman" w:cs="Times New Roman"/>
          <w:i/>
          <w:noProof/>
          <w:lang w:val="en-US"/>
        </w:rPr>
        <w:t xml:space="preserve"> Spectrosc</w:t>
      </w:r>
      <w:r>
        <w:rPr>
          <w:rFonts w:ascii="Times New Roman" w:hAnsi="Times New Roman" w:cs="Times New Roman"/>
          <w:i/>
          <w:noProof/>
          <w:lang w:val="en-US"/>
        </w:rPr>
        <w:t>.</w:t>
      </w:r>
      <w:r w:rsidR="00EF440C" w:rsidRPr="0051088C">
        <w:rPr>
          <w:rFonts w:ascii="Times New Roman" w:hAnsi="Times New Roman" w:cs="Times New Roman"/>
          <w:iCs/>
          <w:noProof/>
          <w:lang w:val="en-US"/>
        </w:rPr>
        <w:t>,</w:t>
      </w:r>
      <w:r w:rsidR="00CE07B8" w:rsidRPr="0051088C">
        <w:rPr>
          <w:rFonts w:ascii="Times New Roman" w:hAnsi="Times New Roman" w:cs="Times New Roman"/>
          <w:iCs/>
          <w:noProof/>
          <w:lang w:val="en-US"/>
        </w:rPr>
        <w:t xml:space="preserve"> </w:t>
      </w:r>
      <w:r w:rsidR="00CE07B8" w:rsidRPr="0051088C">
        <w:rPr>
          <w:rFonts w:ascii="Times New Roman" w:hAnsi="Times New Roman" w:cs="Times New Roman"/>
          <w:b/>
          <w:noProof/>
          <w:lang w:val="en-US"/>
        </w:rPr>
        <w:t>2019</w:t>
      </w:r>
      <w:r w:rsidR="00CE07B8" w:rsidRPr="0051088C">
        <w:rPr>
          <w:rFonts w:ascii="Times New Roman" w:hAnsi="Times New Roman" w:cs="Times New Roman"/>
          <w:noProof/>
          <w:lang w:val="en-US"/>
        </w:rPr>
        <w:t xml:space="preserve">, </w:t>
      </w:r>
      <w:r w:rsidR="00CE07B8" w:rsidRPr="0051088C">
        <w:rPr>
          <w:rFonts w:ascii="Times New Roman" w:hAnsi="Times New Roman" w:cs="Times New Roman"/>
          <w:i/>
          <w:noProof/>
          <w:lang w:val="en-US"/>
        </w:rPr>
        <w:t>114</w:t>
      </w:r>
      <w:r>
        <w:rPr>
          <w:rFonts w:ascii="Times New Roman" w:hAnsi="Times New Roman" w:cs="Times New Roman"/>
          <w:i/>
          <w:noProof/>
          <w:lang w:val="en-US"/>
        </w:rPr>
        <w:t>–</w:t>
      </w:r>
      <w:r w:rsidR="00CE07B8" w:rsidRPr="0051088C">
        <w:rPr>
          <w:rFonts w:ascii="Times New Roman" w:hAnsi="Times New Roman" w:cs="Times New Roman"/>
          <w:i/>
          <w:noProof/>
          <w:lang w:val="en-US"/>
        </w:rPr>
        <w:t>115</w:t>
      </w:r>
      <w:r w:rsidR="00CE07B8" w:rsidRPr="0051088C">
        <w:rPr>
          <w:rFonts w:ascii="Times New Roman" w:hAnsi="Times New Roman" w:cs="Times New Roman"/>
          <w:noProof/>
          <w:lang w:val="en-US"/>
        </w:rPr>
        <w:t>, 33</w:t>
      </w:r>
      <w:r>
        <w:rPr>
          <w:rFonts w:ascii="Times New Roman" w:hAnsi="Times New Roman" w:cs="Times New Roman"/>
          <w:noProof/>
          <w:lang w:val="en-US"/>
        </w:rPr>
        <w:t>–</w:t>
      </w:r>
      <w:r w:rsidR="00CE07B8" w:rsidRPr="0051088C">
        <w:rPr>
          <w:rFonts w:ascii="Times New Roman" w:hAnsi="Times New Roman" w:cs="Times New Roman"/>
          <w:noProof/>
          <w:lang w:val="en-US"/>
        </w:rPr>
        <w:t>70</w:t>
      </w:r>
      <w:r w:rsidR="00EF440C" w:rsidRPr="0051088C">
        <w:rPr>
          <w:rFonts w:ascii="Times New Roman" w:hAnsi="Times New Roman" w:cs="Times New Roman"/>
          <w:noProof/>
          <w:lang w:val="en-US"/>
        </w:rPr>
        <w:t>. DOI:</w:t>
      </w:r>
      <w:r w:rsidR="00CE07B8" w:rsidRPr="0051088C">
        <w:rPr>
          <w:rFonts w:ascii="Times New Roman" w:hAnsi="Times New Roman" w:cs="Times New Roman"/>
          <w:noProof/>
          <w:lang w:val="en-US"/>
        </w:rPr>
        <w:t xml:space="preserve"> 10.1016/j.pnmrs.2019.05.005</w:t>
      </w:r>
    </w:p>
    <w:sectPr w:rsidR="00CE07B8" w:rsidRPr="0051088C" w:rsidSect="00C1164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39C" w:rsidRDefault="002A039C" w:rsidP="00071EF8">
      <w:pPr>
        <w:spacing w:after="0" w:line="240" w:lineRule="auto"/>
      </w:pPr>
      <w:r>
        <w:separator/>
      </w:r>
    </w:p>
  </w:endnote>
  <w:endnote w:type="continuationSeparator" w:id="0">
    <w:p w:rsidR="002A039C" w:rsidRDefault="002A039C" w:rsidP="0007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39C" w:rsidRDefault="002A039C" w:rsidP="00071EF8">
      <w:pPr>
        <w:spacing w:after="0" w:line="240" w:lineRule="auto"/>
      </w:pPr>
      <w:r>
        <w:separator/>
      </w:r>
    </w:p>
  </w:footnote>
  <w:footnote w:type="continuationSeparator" w:id="0">
    <w:p w:rsidR="002A039C" w:rsidRDefault="002A039C" w:rsidP="0007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91B" w:rsidRPr="0028191B" w:rsidRDefault="0028191B" w:rsidP="0028191B">
    <w:pPr>
      <w:pStyle w:val="af"/>
      <w:jc w:val="right"/>
      <w:rPr>
        <w:rFonts w:ascii="Times New Roman" w:hAnsi="Times New Roman" w:cs="Times New Roman"/>
        <w:lang w:val="en-US"/>
      </w:rPr>
    </w:pPr>
    <w:r w:rsidRPr="0028191B">
      <w:rPr>
        <w:rFonts w:ascii="Times New Roman" w:hAnsi="Times New Roman" w:cs="Times New Roman"/>
        <w:lang w:val="en-US"/>
      </w:rPr>
      <w:t>S</w:t>
    </w:r>
    <w:sdt>
      <w:sdtPr>
        <w:rPr>
          <w:rFonts w:ascii="Times New Roman" w:hAnsi="Times New Roman" w:cs="Times New Roman"/>
        </w:rPr>
        <w:id w:val="64461129"/>
        <w:docPartObj>
          <w:docPartGallery w:val="Page Numbers (Top of Page)"/>
          <w:docPartUnique/>
        </w:docPartObj>
      </w:sdtPr>
      <w:sdtContent>
        <w:r w:rsidR="00C11646" w:rsidRPr="0028191B">
          <w:rPr>
            <w:rFonts w:ascii="Times New Roman" w:hAnsi="Times New Roman" w:cs="Times New Roman"/>
          </w:rPr>
          <w:fldChar w:fldCharType="begin"/>
        </w:r>
        <w:r w:rsidRPr="0028191B">
          <w:rPr>
            <w:rFonts w:ascii="Times New Roman" w:hAnsi="Times New Roman" w:cs="Times New Roman"/>
          </w:rPr>
          <w:instrText>PAGE   \* MERGEFORMAT</w:instrText>
        </w:r>
        <w:r w:rsidR="00C11646" w:rsidRPr="0028191B">
          <w:rPr>
            <w:rFonts w:ascii="Times New Roman" w:hAnsi="Times New Roman" w:cs="Times New Roman"/>
          </w:rPr>
          <w:fldChar w:fldCharType="separate"/>
        </w:r>
        <w:r w:rsidR="00841193">
          <w:rPr>
            <w:rFonts w:ascii="Times New Roman" w:hAnsi="Times New Roman" w:cs="Times New Roman"/>
            <w:noProof/>
          </w:rPr>
          <w:t>4</w:t>
        </w:r>
        <w:r w:rsidR="00C11646" w:rsidRPr="0028191B">
          <w:rPr>
            <w:rFonts w:ascii="Times New Roman" w:hAnsi="Times New Roman" w:cs="Times New Roman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52C0F"/>
    <w:multiLevelType w:val="hybridMultilevel"/>
    <w:tmpl w:val="86E20DB0"/>
    <w:lvl w:ilvl="0" w:tplc="81A282D6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emical Reco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2tvedzs7epvxne5ep1vsf58f29xz0ptt2ad&quot;&gt;Library-Converted&lt;record-ids&gt;&lt;item&gt;7690&lt;/item&gt;&lt;/record-ids&gt;&lt;/item&gt;&lt;/Libraries&gt;"/>
  </w:docVars>
  <w:rsids>
    <w:rsidRoot w:val="00181261"/>
    <w:rsid w:val="00031B5D"/>
    <w:rsid w:val="00033958"/>
    <w:rsid w:val="00035E93"/>
    <w:rsid w:val="00071EF8"/>
    <w:rsid w:val="000F4E2E"/>
    <w:rsid w:val="00131BAE"/>
    <w:rsid w:val="00152045"/>
    <w:rsid w:val="00156744"/>
    <w:rsid w:val="00181261"/>
    <w:rsid w:val="00197C47"/>
    <w:rsid w:val="001B2878"/>
    <w:rsid w:val="001C2DC1"/>
    <w:rsid w:val="001E3B98"/>
    <w:rsid w:val="001E7694"/>
    <w:rsid w:val="00203FD4"/>
    <w:rsid w:val="00277C07"/>
    <w:rsid w:val="0028191B"/>
    <w:rsid w:val="002A039C"/>
    <w:rsid w:val="002B3806"/>
    <w:rsid w:val="002C15F0"/>
    <w:rsid w:val="002F16E1"/>
    <w:rsid w:val="003367A2"/>
    <w:rsid w:val="00357E93"/>
    <w:rsid w:val="003F3850"/>
    <w:rsid w:val="00415312"/>
    <w:rsid w:val="00461613"/>
    <w:rsid w:val="00483126"/>
    <w:rsid w:val="00497EA0"/>
    <w:rsid w:val="00506E7F"/>
    <w:rsid w:val="0051088C"/>
    <w:rsid w:val="0052700D"/>
    <w:rsid w:val="00551D7A"/>
    <w:rsid w:val="00577641"/>
    <w:rsid w:val="00596078"/>
    <w:rsid w:val="005D7663"/>
    <w:rsid w:val="005E4DA2"/>
    <w:rsid w:val="005F6FBC"/>
    <w:rsid w:val="006D4F00"/>
    <w:rsid w:val="006E2401"/>
    <w:rsid w:val="007044FA"/>
    <w:rsid w:val="007275B4"/>
    <w:rsid w:val="007C7F40"/>
    <w:rsid w:val="00802DEF"/>
    <w:rsid w:val="00841193"/>
    <w:rsid w:val="008A59F3"/>
    <w:rsid w:val="008E3C83"/>
    <w:rsid w:val="008F6BDC"/>
    <w:rsid w:val="009078FD"/>
    <w:rsid w:val="00960115"/>
    <w:rsid w:val="00980BEB"/>
    <w:rsid w:val="009B587B"/>
    <w:rsid w:val="009E1ABF"/>
    <w:rsid w:val="009F5421"/>
    <w:rsid w:val="00A3181D"/>
    <w:rsid w:val="00A67BFE"/>
    <w:rsid w:val="00A7687E"/>
    <w:rsid w:val="00A76AE7"/>
    <w:rsid w:val="00AB5250"/>
    <w:rsid w:val="00B565B2"/>
    <w:rsid w:val="00BE3F09"/>
    <w:rsid w:val="00C11646"/>
    <w:rsid w:val="00C1661E"/>
    <w:rsid w:val="00C44ED3"/>
    <w:rsid w:val="00C543CF"/>
    <w:rsid w:val="00C56F05"/>
    <w:rsid w:val="00CC0EDD"/>
    <w:rsid w:val="00CD4574"/>
    <w:rsid w:val="00CE07B8"/>
    <w:rsid w:val="00D1251C"/>
    <w:rsid w:val="00D13A56"/>
    <w:rsid w:val="00D628E9"/>
    <w:rsid w:val="00D8579E"/>
    <w:rsid w:val="00DB0080"/>
    <w:rsid w:val="00E1003A"/>
    <w:rsid w:val="00E136C3"/>
    <w:rsid w:val="00E22600"/>
    <w:rsid w:val="00E66534"/>
    <w:rsid w:val="00EC3D8B"/>
    <w:rsid w:val="00EC40B1"/>
    <w:rsid w:val="00EE7F6D"/>
    <w:rsid w:val="00EF440C"/>
    <w:rsid w:val="00F15993"/>
    <w:rsid w:val="00F23D92"/>
    <w:rsid w:val="00F77800"/>
    <w:rsid w:val="00F83243"/>
    <w:rsid w:val="00F908DB"/>
    <w:rsid w:val="00FB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646"/>
  </w:style>
  <w:style w:type="paragraph" w:styleId="1">
    <w:name w:val="heading 1"/>
    <w:basedOn w:val="a"/>
    <w:next w:val="a"/>
    <w:link w:val="10"/>
    <w:uiPriority w:val="9"/>
    <w:qFormat/>
    <w:rsid w:val="00181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26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26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2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2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2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2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81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2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2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26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26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1261"/>
    <w:rPr>
      <w:b/>
      <w:bCs/>
      <w:smallCaps/>
      <w:color w:val="2F5496" w:themeColor="accent1" w:themeShade="BF"/>
      <w:spacing w:val="5"/>
    </w:rPr>
  </w:style>
  <w:style w:type="paragraph" w:customStyle="1" w:styleId="11">
    <w:name w:val="Название1"/>
    <w:basedOn w:val="a"/>
    <w:link w:val="Title"/>
    <w:qFormat/>
    <w:rsid w:val="00F83243"/>
    <w:pPr>
      <w:spacing w:after="200" w:line="276" w:lineRule="auto"/>
      <w:jc w:val="center"/>
    </w:pPr>
    <w:rPr>
      <w:rFonts w:ascii="Arial" w:hAnsi="Arial" w:cs="Arial"/>
      <w:b/>
      <w:caps/>
      <w:sz w:val="28"/>
      <w:szCs w:val="28"/>
      <w:lang w:val="en-US"/>
    </w:rPr>
  </w:style>
  <w:style w:type="character" w:customStyle="1" w:styleId="Title">
    <w:name w:val="Title Знак"/>
    <w:basedOn w:val="a0"/>
    <w:link w:val="11"/>
    <w:rsid w:val="00F83243"/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7"/>
    <w:link w:val="AuthorNames0"/>
    <w:qFormat/>
    <w:rsid w:val="00F8324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paragraph" w:customStyle="1" w:styleId="Affiliations">
    <w:name w:val="Affiliations"/>
    <w:basedOn w:val="a"/>
    <w:link w:val="Affiliations0"/>
    <w:qFormat/>
    <w:rsid w:val="00F83243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uthorNames0">
    <w:name w:val="Author Names Знак"/>
    <w:basedOn w:val="a0"/>
    <w:link w:val="AuthorNames"/>
    <w:rsid w:val="00F83243"/>
    <w:rPr>
      <w:rFonts w:ascii="Times New Roman" w:hAnsi="Times New Roman" w:cs="Times New Roman"/>
      <w:noProof/>
      <w:lang w:val="en-US"/>
    </w:rPr>
  </w:style>
  <w:style w:type="character" w:customStyle="1" w:styleId="Affiliations0">
    <w:name w:val="Affiliations Знак"/>
    <w:basedOn w:val="a0"/>
    <w:link w:val="Affiliations"/>
    <w:rsid w:val="00F83243"/>
    <w:rPr>
      <w:rFonts w:ascii="Times New Roman" w:hAnsi="Times New Roman"/>
      <w:i/>
      <w:color w:val="000000"/>
      <w:sz w:val="20"/>
      <w:szCs w:val="20"/>
      <w:lang w:val="it-IT"/>
    </w:rPr>
  </w:style>
  <w:style w:type="table" w:styleId="ac">
    <w:name w:val="Table Grid"/>
    <w:basedOn w:val="a1"/>
    <w:uiPriority w:val="59"/>
    <w:rsid w:val="00F832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156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156744"/>
    <w:rPr>
      <w:color w:val="666666"/>
    </w:rPr>
  </w:style>
  <w:style w:type="paragraph" w:customStyle="1" w:styleId="EndNoteBibliographyTitle">
    <w:name w:val="EndNote Bibliography Title"/>
    <w:basedOn w:val="a"/>
    <w:link w:val="EndNoteBibliographyTitle0"/>
    <w:rsid w:val="00CC0EDD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0">
    <w:name w:val="EndNote Bibliography Title Знак"/>
    <w:basedOn w:val="Title"/>
    <w:link w:val="EndNoteBibliographyTitle"/>
    <w:rsid w:val="00CC0EDD"/>
    <w:rPr>
      <w:rFonts w:ascii="Calibri" w:hAnsi="Calibri" w:cs="Calibri"/>
      <w:b w:val="0"/>
      <w:caps w:val="0"/>
      <w:noProof/>
      <w:sz w:val="28"/>
      <w:szCs w:val="28"/>
      <w:lang w:val="en-US"/>
    </w:rPr>
  </w:style>
  <w:style w:type="paragraph" w:customStyle="1" w:styleId="EndNoteBibliography">
    <w:name w:val="EndNote Bibliography"/>
    <w:basedOn w:val="a"/>
    <w:link w:val="EndNoteBibliography0"/>
    <w:rsid w:val="00CC0EDD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0">
    <w:name w:val="EndNote Bibliography Знак"/>
    <w:basedOn w:val="Title"/>
    <w:link w:val="EndNoteBibliography"/>
    <w:rsid w:val="00CC0EDD"/>
    <w:rPr>
      <w:rFonts w:ascii="Calibri" w:hAnsi="Calibri" w:cs="Calibri"/>
      <w:b w:val="0"/>
      <w:caps w:val="0"/>
      <w:noProof/>
      <w:sz w:val="28"/>
      <w:szCs w:val="28"/>
      <w:lang w:val="en-US"/>
    </w:rPr>
  </w:style>
  <w:style w:type="paragraph" w:styleId="af">
    <w:name w:val="header"/>
    <w:basedOn w:val="a"/>
    <w:link w:val="af0"/>
    <w:uiPriority w:val="99"/>
    <w:unhideWhenUsed/>
    <w:rsid w:val="00071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71EF8"/>
  </w:style>
  <w:style w:type="paragraph" w:styleId="af1">
    <w:name w:val="footer"/>
    <w:basedOn w:val="a"/>
    <w:link w:val="af2"/>
    <w:uiPriority w:val="99"/>
    <w:unhideWhenUsed/>
    <w:rsid w:val="00071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71EF8"/>
  </w:style>
  <w:style w:type="paragraph" w:styleId="af3">
    <w:name w:val="Balloon Text"/>
    <w:basedOn w:val="a"/>
    <w:link w:val="af4"/>
    <w:uiPriority w:val="99"/>
    <w:semiHidden/>
    <w:unhideWhenUsed/>
    <w:rsid w:val="0084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1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7866-E1A5-4C6F-A243-CD9F39FE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Маркелов</dc:creator>
  <cp:keywords/>
  <dc:description/>
  <cp:lastModifiedBy>User</cp:lastModifiedBy>
  <cp:revision>61</cp:revision>
  <dcterms:created xsi:type="dcterms:W3CDTF">2025-01-15T10:09:00Z</dcterms:created>
  <dcterms:modified xsi:type="dcterms:W3CDTF">2025-07-29T13:19:00Z</dcterms:modified>
</cp:coreProperties>
</file>