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2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97"/>
        <w:gridCol w:w="1159"/>
        <w:gridCol w:w="2522"/>
        <w:gridCol w:w="4661"/>
      </w:tblGrid>
      <w:tr w:rsidR="008622A1" w:rsidRPr="001812AA" w:rsidTr="007E698D">
        <w:trPr>
          <w:trHeight w:val="516"/>
        </w:trPr>
        <w:tc>
          <w:tcPr>
            <w:tcW w:w="1242" w:type="dxa"/>
            <w:vAlign w:val="center"/>
          </w:tcPr>
          <w:p w:rsidR="008622A1" w:rsidRPr="00D71473" w:rsidRDefault="001B0919" w:rsidP="00683408">
            <w:pPr>
              <w:pStyle w:val="MainText"/>
              <w:ind w:firstLine="4"/>
              <w:jc w:val="left"/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665480" cy="702310"/>
                  <wp:effectExtent l="19050" t="0" r="1270" b="0"/>
                  <wp:docPr id="2" name="Рисунок 1" descr="D:\Rinat\Rinat\доки\журнал\статьи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inat\Rinat\доки\журнал\статьи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480" cy="702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7" w:type="dxa"/>
            <w:gridSpan w:val="3"/>
            <w:vAlign w:val="center"/>
          </w:tcPr>
          <w:p w:rsidR="008622A1" w:rsidRPr="00D71473" w:rsidRDefault="007E698D" w:rsidP="007E698D">
            <w:pPr>
              <w:pStyle w:val="11"/>
            </w:pPr>
            <w:r>
              <w:t xml:space="preserve">efficient in-magnet </w:t>
            </w:r>
            <w:r w:rsidRPr="0088044B">
              <w:rPr>
                <w:vertAlign w:val="superscript"/>
              </w:rPr>
              <w:t>15</w:t>
            </w:r>
            <w:r>
              <w:t>N hyperpolarization</w:t>
            </w:r>
            <w:r>
              <w:br/>
              <w:t xml:space="preserve">induced by reversible exchange of parahydrogen with AN </w:t>
            </w:r>
            <w:proofErr w:type="spellStart"/>
            <w:r>
              <w:t>i</w:t>
            </w:r>
            <w:r w:rsidRPr="007D5B4A">
              <w:rPr>
                <w:caps w:val="0"/>
              </w:rPr>
              <w:t>r</w:t>
            </w:r>
            <w:proofErr w:type="spellEnd"/>
            <w:r>
              <w:t>-based catalyst</w:t>
            </w:r>
          </w:p>
        </w:tc>
      </w:tr>
      <w:tr w:rsidR="00D71473" w:rsidRPr="001812AA" w:rsidTr="00DF4999">
        <w:trPr>
          <w:trHeight w:val="516"/>
        </w:trPr>
        <w:tc>
          <w:tcPr>
            <w:tcW w:w="2410" w:type="dxa"/>
            <w:gridSpan w:val="2"/>
            <w:vMerge w:val="restart"/>
          </w:tcPr>
          <w:p w:rsidR="000E1B06" w:rsidRDefault="00D71473" w:rsidP="007516EA">
            <w:pPr>
              <w:pStyle w:val="MainText"/>
              <w:ind w:firstLine="0"/>
              <w:jc w:val="left"/>
            </w:pPr>
            <w:r w:rsidRPr="00D71473">
              <w:t>Cite this</w:t>
            </w:r>
            <w:r w:rsidRPr="00DF4999">
              <w:t xml:space="preserve">: </w:t>
            </w:r>
            <w:r w:rsidR="00DF4999" w:rsidRPr="008E062B">
              <w:rPr>
                <w:i/>
              </w:rPr>
              <w:t>INEOS</w:t>
            </w:r>
            <w:r w:rsidR="00DF4999" w:rsidRPr="008E062B">
              <w:rPr>
                <w:rFonts w:ascii="Times New Roman CYR" w:hAnsi="Times New Roman CYR" w:cs="Times New Roman CYR"/>
                <w:i/>
              </w:rPr>
              <w:t xml:space="preserve"> OPEN</w:t>
            </w:r>
            <w:r w:rsidR="00DF4999" w:rsidRPr="00941F8C">
              <w:t>,</w:t>
            </w:r>
          </w:p>
          <w:p w:rsidR="00D71473" w:rsidRPr="00930DA8" w:rsidRDefault="00DF4999" w:rsidP="007516EA">
            <w:pPr>
              <w:pStyle w:val="MainText"/>
              <w:ind w:firstLine="0"/>
              <w:jc w:val="left"/>
            </w:pPr>
            <w:r w:rsidRPr="00941F8C">
              <w:rPr>
                <w:b/>
              </w:rPr>
              <w:t>20</w:t>
            </w:r>
            <w:r w:rsidR="007E698D">
              <w:rPr>
                <w:b/>
              </w:rPr>
              <w:t>25</w:t>
            </w:r>
            <w:r w:rsidRPr="00941F8C">
              <w:t xml:space="preserve">, </w:t>
            </w:r>
            <w:r w:rsidR="007E698D">
              <w:rPr>
                <w:i/>
                <w:iCs/>
              </w:rPr>
              <w:t>8</w:t>
            </w:r>
            <w:r w:rsidRPr="000E1B06">
              <w:rPr>
                <w:i/>
                <w:iCs/>
              </w:rPr>
              <w:t xml:space="preserve"> (</w:t>
            </w:r>
            <w:r w:rsidR="007E698D">
              <w:rPr>
                <w:i/>
                <w:iCs/>
              </w:rPr>
              <w:t>1–3</w:t>
            </w:r>
            <w:r w:rsidRPr="000E1B06">
              <w:rPr>
                <w:i/>
                <w:iCs/>
              </w:rPr>
              <w:t>)</w:t>
            </w:r>
            <w:r w:rsidRPr="00941F8C">
              <w:t>, XX–XX</w:t>
            </w:r>
          </w:p>
          <w:p w:rsidR="007516EA" w:rsidRPr="007516EA" w:rsidRDefault="007516EA" w:rsidP="007516EA">
            <w:pPr>
              <w:pStyle w:val="MainText"/>
              <w:ind w:firstLine="0"/>
              <w:jc w:val="left"/>
            </w:pPr>
            <w:r>
              <w:t>DOI: 10.32931/</w:t>
            </w:r>
            <w:proofErr w:type="spellStart"/>
            <w:r>
              <w:t>ioXXXXx</w:t>
            </w:r>
            <w:proofErr w:type="spellEnd"/>
          </w:p>
          <w:p w:rsidR="00BE4FEF" w:rsidRPr="00D71473" w:rsidRDefault="00BE4FEF" w:rsidP="007516EA">
            <w:pPr>
              <w:pStyle w:val="MainText"/>
              <w:ind w:firstLine="0"/>
              <w:jc w:val="left"/>
            </w:pPr>
          </w:p>
          <w:p w:rsidR="00D71473" w:rsidRPr="00D71473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7E698D">
              <w:rPr>
                <w:i/>
                <w:szCs w:val="14"/>
                <w:highlight w:val="green"/>
              </w:rPr>
              <w:t xml:space="preserve">Received </w:t>
            </w:r>
            <w:r w:rsidR="008E062B" w:rsidRPr="007E698D">
              <w:rPr>
                <w:i/>
                <w:szCs w:val="14"/>
                <w:highlight w:val="green"/>
              </w:rPr>
              <w:t>XX</w:t>
            </w:r>
            <w:r w:rsidRPr="007E698D">
              <w:rPr>
                <w:i/>
                <w:szCs w:val="14"/>
                <w:highlight w:val="green"/>
              </w:rPr>
              <w:t xml:space="preserve"> </w:t>
            </w:r>
            <w:r w:rsidR="008E062B" w:rsidRPr="007E698D">
              <w:rPr>
                <w:i/>
                <w:szCs w:val="14"/>
                <w:highlight w:val="green"/>
              </w:rPr>
              <w:t>Month</w:t>
            </w:r>
            <w:r w:rsidRPr="007E698D">
              <w:rPr>
                <w:i/>
                <w:szCs w:val="14"/>
                <w:highlight w:val="green"/>
              </w:rPr>
              <w:t xml:space="preserve"> 2</w:t>
            </w:r>
            <w:r w:rsidR="008E062B" w:rsidRPr="007E698D">
              <w:rPr>
                <w:i/>
                <w:szCs w:val="14"/>
                <w:highlight w:val="green"/>
              </w:rPr>
              <w:t>0XX</w:t>
            </w:r>
            <w:r w:rsidRPr="00D71473">
              <w:rPr>
                <w:i/>
                <w:szCs w:val="14"/>
              </w:rPr>
              <w:t>,</w:t>
            </w:r>
          </w:p>
          <w:p w:rsidR="00D71473" w:rsidRPr="00D71473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D71473">
              <w:rPr>
                <w:i/>
                <w:szCs w:val="14"/>
              </w:rPr>
              <w:t xml:space="preserve">Accepted </w:t>
            </w:r>
            <w:r w:rsidR="007E698D">
              <w:rPr>
                <w:i/>
                <w:szCs w:val="14"/>
              </w:rPr>
              <w:t>20 January</w:t>
            </w:r>
            <w:r w:rsidR="008E062B">
              <w:rPr>
                <w:i/>
                <w:szCs w:val="14"/>
              </w:rPr>
              <w:t xml:space="preserve"> 20</w:t>
            </w:r>
            <w:r w:rsidR="007E698D">
              <w:rPr>
                <w:i/>
                <w:szCs w:val="14"/>
              </w:rPr>
              <w:t>25</w:t>
            </w:r>
          </w:p>
          <w:p w:rsidR="00820A77" w:rsidRDefault="00820A77" w:rsidP="007516EA">
            <w:pPr>
              <w:pStyle w:val="MainText"/>
              <w:ind w:firstLine="0"/>
              <w:rPr>
                <w:szCs w:val="14"/>
              </w:rPr>
            </w:pPr>
          </w:p>
          <w:p w:rsidR="00D71473" w:rsidRDefault="00440577" w:rsidP="007516EA">
            <w:pPr>
              <w:pStyle w:val="MainText"/>
              <w:ind w:firstLine="0"/>
            </w:pPr>
            <w:r>
              <w:rPr>
                <w:szCs w:val="14"/>
              </w:rPr>
              <w:t>http://</w:t>
            </w:r>
            <w:r w:rsidR="00D71473" w:rsidRPr="00D71473">
              <w:rPr>
                <w:szCs w:val="14"/>
              </w:rPr>
              <w:t>ineosopen.org</w:t>
            </w:r>
          </w:p>
        </w:tc>
        <w:tc>
          <w:tcPr>
            <w:tcW w:w="7229" w:type="dxa"/>
            <w:gridSpan w:val="2"/>
          </w:tcPr>
          <w:p w:rsidR="00D71473" w:rsidRPr="00D71473" w:rsidRDefault="007E698D" w:rsidP="007E698D">
            <w:pPr>
              <w:pStyle w:val="AuthorNames"/>
              <w:ind w:left="0"/>
              <w:contextualSpacing w:val="0"/>
            </w:pPr>
            <w:r w:rsidRPr="007E698D">
              <w:t>D. A. Markelov,*</w:t>
            </w:r>
            <w:r w:rsidRPr="007E698D">
              <w:rPr>
                <w:i/>
                <w:vertAlign w:val="superscript"/>
              </w:rPr>
              <w:t>a,b</w:t>
            </w:r>
            <w:r w:rsidRPr="007E698D">
              <w:t xml:space="preserve"> A. S. Kiryutin,</w:t>
            </w:r>
            <w:r w:rsidRPr="007E698D">
              <w:rPr>
                <w:i/>
                <w:vertAlign w:val="superscript"/>
              </w:rPr>
              <w:t>a</w:t>
            </w:r>
            <w:r w:rsidRPr="007E698D">
              <w:t xml:space="preserve"> I. D. Kosenko,</w:t>
            </w:r>
            <w:r w:rsidRPr="007E698D">
              <w:rPr>
                <w:i/>
                <w:vertAlign w:val="superscript"/>
              </w:rPr>
              <w:t>c</w:t>
            </w:r>
            <w:r w:rsidRPr="007E698D">
              <w:t xml:space="preserve"> Zh.</w:t>
            </w:r>
            <w:r w:rsidR="001C2CDB">
              <w:t xml:space="preserve"> </w:t>
            </w:r>
            <w:r w:rsidRPr="007E698D">
              <w:t>V. Matsulevich,</w:t>
            </w:r>
            <w:r w:rsidRPr="007E698D">
              <w:rPr>
                <w:i/>
                <w:vertAlign w:val="superscript"/>
              </w:rPr>
              <w:t>d</w:t>
            </w:r>
            <w:r>
              <w:rPr>
                <w:i/>
                <w:vertAlign w:val="superscript"/>
              </w:rPr>
              <w:br/>
            </w:r>
            <w:r w:rsidRPr="007E698D">
              <w:t>I. A. Godovikov,</w:t>
            </w:r>
            <w:r w:rsidRPr="007E698D">
              <w:rPr>
                <w:i/>
                <w:vertAlign w:val="superscript"/>
              </w:rPr>
              <w:t>c</w:t>
            </w:r>
            <w:r w:rsidRPr="007E698D">
              <w:rPr>
                <w:i/>
              </w:rPr>
              <w:t xml:space="preserve"> </w:t>
            </w:r>
            <w:r>
              <w:t xml:space="preserve">and </w:t>
            </w:r>
            <w:r w:rsidRPr="007E698D">
              <w:t>A. V. Yurkovskaya</w:t>
            </w:r>
            <w:r w:rsidRPr="007E698D">
              <w:rPr>
                <w:i/>
                <w:vertAlign w:val="superscript"/>
              </w:rPr>
              <w:t>a</w:t>
            </w:r>
          </w:p>
        </w:tc>
      </w:tr>
      <w:tr w:rsidR="00D71473" w:rsidRPr="007E698D" w:rsidTr="00DF4999">
        <w:trPr>
          <w:trHeight w:val="263"/>
        </w:trPr>
        <w:tc>
          <w:tcPr>
            <w:tcW w:w="2410" w:type="dxa"/>
            <w:gridSpan w:val="2"/>
            <w:vMerge/>
          </w:tcPr>
          <w:p w:rsidR="00D71473" w:rsidRDefault="00D71473" w:rsidP="00D71473">
            <w:pPr>
              <w:pStyle w:val="AuthorNames"/>
            </w:pPr>
          </w:p>
        </w:tc>
        <w:tc>
          <w:tcPr>
            <w:tcW w:w="7229" w:type="dxa"/>
            <w:gridSpan w:val="2"/>
          </w:tcPr>
          <w:p w:rsidR="007E698D" w:rsidRPr="00D850E4" w:rsidRDefault="007E698D" w:rsidP="007E698D">
            <w:pPr>
              <w:pStyle w:val="Affiliations"/>
              <w:spacing w:before="120"/>
              <w:ind w:left="0"/>
              <w:rPr>
                <w:lang w:val="en-US"/>
              </w:rPr>
            </w:pPr>
            <w:r w:rsidRPr="00894EE2">
              <w:rPr>
                <w:vertAlign w:val="superscript"/>
              </w:rPr>
              <w:t>a</w:t>
            </w:r>
            <w:r w:rsidRPr="00894EE2">
              <w:t xml:space="preserve"> </w:t>
            </w:r>
            <w:r w:rsidRPr="00D850E4">
              <w:rPr>
                <w:rFonts w:cs="Times New Roman"/>
                <w:lang w:val="en-US"/>
              </w:rPr>
              <w:t>International Tomography Center, Siberian Branch of the Russian Academy of Science</w:t>
            </w:r>
            <w:r w:rsidR="00806A5F">
              <w:rPr>
                <w:rFonts w:cs="Times New Roman"/>
                <w:lang w:val="en-US"/>
              </w:rPr>
              <w:t>s</w:t>
            </w:r>
            <w:r w:rsidRPr="00D850E4">
              <w:rPr>
                <w:rFonts w:cs="Times New Roman"/>
                <w:lang w:val="en-US"/>
              </w:rPr>
              <w:t>,</w:t>
            </w:r>
            <w:r>
              <w:rPr>
                <w:rFonts w:cs="Times New Roman"/>
                <w:lang w:val="en-US"/>
              </w:rPr>
              <w:t xml:space="preserve"> ul. </w:t>
            </w:r>
            <w:proofErr w:type="spellStart"/>
            <w:r w:rsidRPr="00D850E4">
              <w:rPr>
                <w:rFonts w:cs="Times New Roman"/>
                <w:lang w:val="en-US"/>
              </w:rPr>
              <w:t>Institutskaya</w:t>
            </w:r>
            <w:proofErr w:type="spellEnd"/>
            <w:r w:rsidRPr="00D850E4">
              <w:rPr>
                <w:rFonts w:cs="Times New Roman"/>
                <w:lang w:val="en-US"/>
              </w:rPr>
              <w:t xml:space="preserve"> 3A, Novosibirsk</w:t>
            </w:r>
            <w:r>
              <w:rPr>
                <w:rFonts w:cs="Times New Roman"/>
                <w:lang w:val="en-US"/>
              </w:rPr>
              <w:t>,</w:t>
            </w:r>
            <w:r w:rsidRPr="00D850E4">
              <w:rPr>
                <w:rFonts w:cs="Times New Roman"/>
                <w:lang w:val="en-US"/>
              </w:rPr>
              <w:t xml:space="preserve"> 630090 Russia</w:t>
            </w:r>
          </w:p>
          <w:p w:rsidR="007E698D" w:rsidRDefault="007E698D" w:rsidP="007E698D">
            <w:pPr>
              <w:pStyle w:val="Affiliations"/>
              <w:ind w:left="0"/>
              <w:rPr>
                <w:rFonts w:cs="Times New Roman"/>
              </w:rPr>
            </w:pPr>
            <w:r w:rsidRPr="00894EE2">
              <w:rPr>
                <w:vertAlign w:val="superscript"/>
              </w:rPr>
              <w:t>b</w:t>
            </w:r>
            <w:r w:rsidRPr="00894EE2">
              <w:t xml:space="preserve"> </w:t>
            </w:r>
            <w:r w:rsidRPr="00D850E4">
              <w:rPr>
                <w:rFonts w:cs="Times New Roman"/>
              </w:rPr>
              <w:t>Novosibirsk State University,</w:t>
            </w:r>
            <w:r>
              <w:rPr>
                <w:rFonts w:cs="Times New Roman"/>
              </w:rPr>
              <w:t xml:space="preserve"> ul. Pirogova 1,</w:t>
            </w:r>
            <w:r w:rsidRPr="00D850E4">
              <w:rPr>
                <w:rFonts w:cs="Times New Roman"/>
              </w:rPr>
              <w:t xml:space="preserve"> Novosibirsk</w:t>
            </w:r>
            <w:r>
              <w:rPr>
                <w:rFonts w:cs="Times New Roman"/>
              </w:rPr>
              <w:t>,</w:t>
            </w:r>
            <w:r w:rsidRPr="00D850E4">
              <w:rPr>
                <w:rFonts w:cs="Times New Roman"/>
              </w:rPr>
              <w:t xml:space="preserve"> 630090 Russia</w:t>
            </w:r>
          </w:p>
          <w:p w:rsidR="007E698D" w:rsidRDefault="007E698D" w:rsidP="007E698D">
            <w:pPr>
              <w:pStyle w:val="Affiliations"/>
              <w:ind w:left="0"/>
              <w:rPr>
                <w:rFonts w:cs="Times New Roman"/>
                <w:lang w:val="en-US"/>
              </w:rPr>
            </w:pPr>
            <w:r w:rsidRPr="00D850E4">
              <w:rPr>
                <w:vertAlign w:val="superscript"/>
              </w:rPr>
              <w:t>c</w:t>
            </w:r>
            <w:r w:rsidRPr="00894EE2">
              <w:t xml:space="preserve"> </w:t>
            </w:r>
            <w:r w:rsidRPr="00D850E4">
              <w:rPr>
                <w:rFonts w:cs="Times New Roman"/>
                <w:lang w:val="en-US"/>
              </w:rPr>
              <w:t>Nesmeyanov Institute of Organoelement Compounds</w:t>
            </w:r>
            <w:r>
              <w:rPr>
                <w:rFonts w:cs="Times New Roman"/>
                <w:lang w:val="en-US"/>
              </w:rPr>
              <w:t>, Russian Academy of Sciences,</w:t>
            </w:r>
            <w:r w:rsidRPr="00D850E4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 xml:space="preserve">ul. </w:t>
            </w:r>
            <w:r w:rsidRPr="00D850E4">
              <w:rPr>
                <w:rFonts w:cs="Times New Roman"/>
                <w:lang w:val="en-US"/>
              </w:rPr>
              <w:t>Vavilova 28</w:t>
            </w:r>
            <w:r>
              <w:rPr>
                <w:rFonts w:cs="Times New Roman"/>
                <w:lang w:val="en-US"/>
              </w:rPr>
              <w:t>, str. 1</w:t>
            </w:r>
            <w:r w:rsidRPr="00D850E4">
              <w:rPr>
                <w:rFonts w:cs="Times New Roman"/>
                <w:lang w:val="en-US"/>
              </w:rPr>
              <w:t>, Moscow</w:t>
            </w:r>
            <w:r>
              <w:rPr>
                <w:rFonts w:cs="Times New Roman"/>
                <w:lang w:val="en-US"/>
              </w:rPr>
              <w:t>,</w:t>
            </w:r>
            <w:r w:rsidRPr="0019305C">
              <w:rPr>
                <w:rFonts w:cs="Times New Roman"/>
                <w:lang w:val="en-US"/>
              </w:rPr>
              <w:t xml:space="preserve"> 119334</w:t>
            </w:r>
            <w:r w:rsidRPr="00D850E4">
              <w:rPr>
                <w:rFonts w:cs="Times New Roman"/>
                <w:lang w:val="en-US"/>
              </w:rPr>
              <w:t xml:space="preserve"> Russia</w:t>
            </w:r>
          </w:p>
          <w:p w:rsidR="007E698D" w:rsidRDefault="007E698D" w:rsidP="007E698D">
            <w:pPr>
              <w:pStyle w:val="Affiliations"/>
              <w:ind w:left="0"/>
            </w:pPr>
            <w:r>
              <w:rPr>
                <w:vertAlign w:val="superscript"/>
                <w:lang w:val="en-US"/>
              </w:rPr>
              <w:t xml:space="preserve">d </w:t>
            </w:r>
            <w:r w:rsidRPr="00C10E74">
              <w:rPr>
                <w:lang w:val="en-US"/>
              </w:rPr>
              <w:t>Nizhn</w:t>
            </w:r>
            <w:r>
              <w:rPr>
                <w:lang w:val="en-US"/>
              </w:rPr>
              <w:t>y</w:t>
            </w:r>
            <w:r w:rsidRPr="00C10E74">
              <w:rPr>
                <w:lang w:val="en-US"/>
              </w:rPr>
              <w:t xml:space="preserve"> Novgorod State Technical University,</w:t>
            </w:r>
            <w:r>
              <w:rPr>
                <w:lang w:val="en-US"/>
              </w:rPr>
              <w:br/>
              <w:t>ul. Minina 24,</w:t>
            </w:r>
            <w:r w:rsidRPr="00C10E74">
              <w:rPr>
                <w:lang w:val="en-US"/>
              </w:rPr>
              <w:t xml:space="preserve"> Nizhn</w:t>
            </w:r>
            <w:r>
              <w:rPr>
                <w:lang w:val="en-US"/>
              </w:rPr>
              <w:t>y</w:t>
            </w:r>
            <w:r w:rsidRPr="00C10E74">
              <w:rPr>
                <w:lang w:val="en-US"/>
              </w:rPr>
              <w:t xml:space="preserve"> Novgorod</w:t>
            </w:r>
            <w:r>
              <w:rPr>
                <w:lang w:val="en-US"/>
              </w:rPr>
              <w:t xml:space="preserve">, 603155 </w:t>
            </w:r>
            <w:r w:rsidRPr="00C10E74">
              <w:rPr>
                <w:lang w:val="en-US"/>
              </w:rPr>
              <w:t>Russia</w:t>
            </w:r>
          </w:p>
        </w:tc>
      </w:tr>
      <w:tr w:rsidR="00CD6FAC" w:rsidRPr="007E698D" w:rsidTr="00DF4999">
        <w:tc>
          <w:tcPr>
            <w:tcW w:w="4962" w:type="dxa"/>
            <w:gridSpan w:val="3"/>
          </w:tcPr>
          <w:p w:rsidR="00D71473" w:rsidRPr="0065245B" w:rsidRDefault="00D71473" w:rsidP="009667F3">
            <w:pPr>
              <w:pStyle w:val="Header1"/>
            </w:pPr>
            <w:r w:rsidRPr="00021E9C">
              <w:t>Abstract</w:t>
            </w:r>
          </w:p>
          <w:p w:rsidR="00CD6FAC" w:rsidRDefault="00433D5C" w:rsidP="00433D5C">
            <w:pPr>
              <w:pStyle w:val="MainText"/>
              <w:ind w:firstLine="284"/>
            </w:pPr>
            <w:r>
              <w:t xml:space="preserve">Nuclear </w:t>
            </w:r>
            <w:r w:rsidR="004F7660">
              <w:t>m</w:t>
            </w:r>
            <w:r>
              <w:t xml:space="preserve">agnetic </w:t>
            </w:r>
            <w:r w:rsidR="004F7660">
              <w:t>r</w:t>
            </w:r>
            <w:r>
              <w:t>esonance (NMR) suffers from its low sensitivity which can be dramatically increased by</w:t>
            </w:r>
            <w:r w:rsidR="004F7660">
              <w:t xml:space="preserve"> the</w:t>
            </w:r>
            <w:r>
              <w:t xml:space="preserve"> nuclear spin hyperpolarization. Signal </w:t>
            </w:r>
            <w:r w:rsidR="004F7660">
              <w:t>a</w:t>
            </w:r>
            <w:r>
              <w:t xml:space="preserve">mplification </w:t>
            </w:r>
            <w:r w:rsidR="004F7660">
              <w:t>b</w:t>
            </w:r>
            <w:r>
              <w:t xml:space="preserve">y </w:t>
            </w:r>
            <w:r w:rsidR="004F7660">
              <w:t>r</w:t>
            </w:r>
            <w:r>
              <w:t xml:space="preserve">eversible </w:t>
            </w:r>
            <w:r w:rsidR="004F7660">
              <w:t>e</w:t>
            </w:r>
            <w:r>
              <w:t xml:space="preserve">xchange (SABRE) is a hyperpolarization technique based on the rational usage of parahydrogen as a </w:t>
            </w:r>
            <w:r w:rsidRPr="000E7AF3">
              <w:t xml:space="preserve">source of hyperpolarization. This work reports in-magnet </w:t>
            </w:r>
            <w:r w:rsidRPr="000E7AF3">
              <w:rPr>
                <w:vertAlign w:val="superscript"/>
              </w:rPr>
              <w:t>15</w:t>
            </w:r>
            <w:r w:rsidRPr="000E7AF3">
              <w:t xml:space="preserve">N polarization (0.47%) of </w:t>
            </w:r>
            <w:bookmarkStart w:id="0" w:name="_Hlk188032395"/>
            <w:r w:rsidRPr="000E7AF3">
              <w:t>3-methyl-[1,2,4]-</w:t>
            </w:r>
            <w:proofErr w:type="spellStart"/>
            <w:r w:rsidRPr="000E7AF3">
              <w:t>selenadiazolo</w:t>
            </w:r>
            <w:proofErr w:type="spellEnd"/>
            <w:r w:rsidRPr="000E7AF3">
              <w:t>-[4,5-a]-pyridin-4-ium bromide</w:t>
            </w:r>
            <w:bookmarkEnd w:id="0"/>
            <w:r w:rsidRPr="000E7AF3">
              <w:t xml:space="preserve"> (SDAP) and its </w:t>
            </w:r>
            <w:r w:rsidRPr="000E7AF3">
              <w:rPr>
                <w:vertAlign w:val="superscript"/>
              </w:rPr>
              <w:t>77</w:t>
            </w:r>
            <w:r w:rsidRPr="000E7AF3">
              <w:t xml:space="preserve">Se satellites obtained by </w:t>
            </w:r>
            <w:r w:rsidR="0060682D">
              <w:t xml:space="preserve">the </w:t>
            </w:r>
            <w:r w:rsidRPr="000E7AF3">
              <w:t>SABRE with RF excitation</w:t>
            </w:r>
            <w:r>
              <w:t xml:space="preserve"> of </w:t>
            </w:r>
            <w:r w:rsidRPr="00A328B1">
              <w:rPr>
                <w:vertAlign w:val="superscript"/>
              </w:rPr>
              <w:t>1</w:t>
            </w:r>
            <w:r>
              <w:t xml:space="preserve">H and </w:t>
            </w:r>
            <w:r w:rsidRPr="00A328B1">
              <w:rPr>
                <w:vertAlign w:val="superscript"/>
              </w:rPr>
              <w:t>15</w:t>
            </w:r>
            <w:r>
              <w:t>N nuclear spins</w:t>
            </w:r>
            <w:r w:rsidR="00F94740" w:rsidRPr="006070A2">
              <w:t>.</w:t>
            </w:r>
          </w:p>
        </w:tc>
        <w:tc>
          <w:tcPr>
            <w:tcW w:w="4677" w:type="dxa"/>
            <w:vAlign w:val="center"/>
          </w:tcPr>
          <w:p w:rsidR="00CD6FAC" w:rsidRDefault="00433D5C" w:rsidP="005C7369">
            <w:pPr>
              <w:pStyle w:val="MainText"/>
              <w:ind w:firstLine="0"/>
              <w:jc w:val="center"/>
            </w:pPr>
            <w:r w:rsidRPr="00433D5C">
              <w:rPr>
                <w:noProof/>
                <w:lang w:val="ru-RU" w:eastAsia="ru-RU"/>
              </w:rPr>
              <w:drawing>
                <wp:inline distT="0" distB="0" distL="0" distR="0">
                  <wp:extent cx="1975339" cy="1181912"/>
                  <wp:effectExtent l="0" t="0" r="6350" b="0"/>
                  <wp:docPr id="1759001634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9001634" name="Рисунок 1759001634"/>
                          <pic:cNvPicPr/>
                        </pic:nvPicPr>
                        <pic:blipFill rotWithShape="1">
                          <a:blip r:embed="rId9" cstate="print"/>
                          <a:srcRect b="11913"/>
                          <a:stretch/>
                        </pic:blipFill>
                        <pic:spPr bwMode="auto">
                          <a:xfrm>
                            <a:off x="0" y="0"/>
                            <a:ext cx="1983254" cy="11866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45B" w:rsidRPr="001812AA" w:rsidTr="00DF4999">
        <w:tc>
          <w:tcPr>
            <w:tcW w:w="9639" w:type="dxa"/>
            <w:gridSpan w:val="4"/>
          </w:tcPr>
          <w:p w:rsidR="0065245B" w:rsidRDefault="0065245B" w:rsidP="00930DA8">
            <w:pPr>
              <w:pStyle w:val="MainText"/>
              <w:spacing w:before="120" w:after="120"/>
              <w:ind w:firstLine="284"/>
            </w:pPr>
            <w:r w:rsidRPr="006A32BB">
              <w:rPr>
                <w:b/>
              </w:rPr>
              <w:t>Key words:</w:t>
            </w:r>
            <w:r w:rsidRPr="0065245B">
              <w:t xml:space="preserve"> </w:t>
            </w:r>
            <w:r w:rsidR="00433D5C">
              <w:t>heteronuclear NMR, spin hyperpolarization, parahydrogen, SABRE</w:t>
            </w:r>
            <w:r w:rsidRPr="0065245B">
              <w:t>.</w:t>
            </w:r>
          </w:p>
        </w:tc>
      </w:tr>
    </w:tbl>
    <w:p w:rsidR="00166162" w:rsidRDefault="00166162" w:rsidP="00427E5A">
      <w:pPr>
        <w:rPr>
          <w:sz w:val="20"/>
          <w:szCs w:val="20"/>
          <w:lang w:val="en-US"/>
        </w:rPr>
        <w:sectPr w:rsidR="00166162" w:rsidSect="007A3351">
          <w:headerReference w:type="default" r:id="rId10"/>
          <w:footerReference w:type="default" r:id="rId11"/>
          <w:endnotePr>
            <w:numFmt w:val="chicago"/>
          </w:endnotePr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:rsidR="00166162" w:rsidRDefault="00166162" w:rsidP="00427E5A">
      <w:pPr>
        <w:rPr>
          <w:sz w:val="20"/>
          <w:szCs w:val="20"/>
          <w:lang w:val="en-US"/>
        </w:rPr>
        <w:sectPr w:rsidR="00166162" w:rsidSect="00166162">
          <w:endnotePr>
            <w:numFmt w:val="chicago"/>
          </w:endnotePr>
          <w:type w:val="continuous"/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:rsidR="00875175" w:rsidRPr="004A44BC" w:rsidRDefault="00427E5A" w:rsidP="00433D5C">
      <w:pPr>
        <w:spacing w:after="240"/>
        <w:rPr>
          <w:rFonts w:ascii="Arial" w:hAnsi="Arial" w:cs="Arial"/>
          <w:b/>
          <w:lang w:val="en-US"/>
        </w:rPr>
      </w:pPr>
      <w:r w:rsidRPr="00B163BD">
        <w:rPr>
          <w:rFonts w:ascii="Arial" w:hAnsi="Arial" w:cs="Arial"/>
          <w:b/>
          <w:highlight w:val="green"/>
          <w:lang w:val="en-US"/>
        </w:rPr>
        <w:lastRenderedPageBreak/>
        <w:t>Introduction</w:t>
      </w:r>
    </w:p>
    <w:p w:rsidR="00433D5C" w:rsidRPr="00433D5C" w:rsidRDefault="00433D5C" w:rsidP="00433D5C">
      <w:pPr>
        <w:pStyle w:val="Header1"/>
        <w:spacing w:before="0" w:after="0"/>
        <w:ind w:firstLine="284"/>
        <w:jc w:val="both"/>
        <w:rPr>
          <w:rFonts w:ascii="Times New Roman" w:hAnsi="Times New Roman" w:cs="Times New Roman"/>
          <w:b w:val="0"/>
          <w:bCs/>
          <w:sz w:val="18"/>
          <w:szCs w:val="18"/>
        </w:rPr>
      </w:pP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In the majority of cases, NMR operates with the thermal ensemble of nuclear spins, which results in weak NMR signals. This occurs since thermal nuclear magnetization typically has a </w:t>
      </w:r>
      <w:r w:rsidR="001C2CDB">
        <w:rPr>
          <w:rFonts w:ascii="Times New Roman" w:hAnsi="Times New Roman" w:cs="Times New Roman"/>
          <w:b w:val="0"/>
          <w:bCs/>
          <w:sz w:val="18"/>
          <w:szCs w:val="18"/>
        </w:rPr>
        <w:t>low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 value, as it is proportional to the population imbalance between the nuclear spin energy levels at equilibrium. Nuclear spin </w:t>
      </w:r>
      <w:proofErr w:type="spellStart"/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>hyperpolarization</w:t>
      </w:r>
      <w:proofErr w:type="spellEnd"/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 is based on the preparation of the nuclear spin</w:t>
      </w:r>
      <w:r w:rsidR="0060682D">
        <w:rPr>
          <w:rFonts w:ascii="Times New Roman" w:hAnsi="Times New Roman" w:cs="Times New Roman"/>
          <w:b w:val="0"/>
          <w:bCs/>
          <w:sz w:val="18"/>
          <w:szCs w:val="18"/>
        </w:rPr>
        <w:t xml:space="preserve"> 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order which is far from equilibrium at a given temperature and therefore provides an efficient solution </w:t>
      </w:r>
      <w:r w:rsidR="001C2CDB">
        <w:rPr>
          <w:rFonts w:ascii="Times New Roman" w:hAnsi="Times New Roman" w:cs="Times New Roman"/>
          <w:b w:val="0"/>
          <w:bCs/>
          <w:sz w:val="18"/>
          <w:szCs w:val="18"/>
        </w:rPr>
        <w:t>to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 </w:t>
      </w:r>
      <w:r w:rsidR="001C2CDB">
        <w:rPr>
          <w:rFonts w:ascii="Times New Roman" w:hAnsi="Times New Roman" w:cs="Times New Roman"/>
          <w:b w:val="0"/>
          <w:bCs/>
          <w:sz w:val="18"/>
          <w:szCs w:val="18"/>
        </w:rPr>
        <w:t xml:space="preserve">the problem of improving </w:t>
      </w:r>
      <w:r w:rsidR="0060682D">
        <w:rPr>
          <w:rFonts w:ascii="Times New Roman" w:hAnsi="Times New Roman" w:cs="Times New Roman"/>
          <w:b w:val="0"/>
          <w:bCs/>
          <w:sz w:val="18"/>
          <w:szCs w:val="18"/>
        </w:rPr>
        <w:t xml:space="preserve">the 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>NMR sensitivity.</w:t>
      </w:r>
    </w:p>
    <w:p w:rsidR="00433D5C" w:rsidRPr="00433D5C" w:rsidRDefault="001C2CDB" w:rsidP="00433D5C">
      <w:pPr>
        <w:pStyle w:val="Header1"/>
        <w:spacing w:before="0" w:after="0"/>
        <w:ind w:firstLine="284"/>
        <w:jc w:val="both"/>
        <w:rPr>
          <w:rFonts w:ascii="Times New Roman" w:hAnsi="Times New Roman" w:cs="Times New Roman"/>
          <w:b w:val="0"/>
          <w:bCs/>
          <w:sz w:val="18"/>
          <w:szCs w:val="18"/>
        </w:rPr>
      </w:pPr>
      <w:proofErr w:type="spellStart"/>
      <w:r>
        <w:rPr>
          <w:rFonts w:ascii="Times New Roman" w:hAnsi="Times New Roman" w:cs="Times New Roman"/>
          <w:b w:val="0"/>
          <w:bCs/>
          <w:sz w:val="18"/>
          <w:szCs w:val="18"/>
        </w:rPr>
        <w:t>Parahydrogen</w:t>
      </w:r>
      <w:proofErr w:type="spellEnd"/>
      <w:r>
        <w:rPr>
          <w:rFonts w:ascii="Times New Roman" w:hAnsi="Times New Roman" w:cs="Times New Roman"/>
          <w:b w:val="0"/>
          <w:bCs/>
          <w:sz w:val="18"/>
          <w:szCs w:val="18"/>
        </w:rPr>
        <w:t>-</w:t>
      </w:r>
      <w:r w:rsidR="0060682D">
        <w:rPr>
          <w:rFonts w:ascii="Times New Roman" w:hAnsi="Times New Roman" w:cs="Times New Roman"/>
          <w:b w:val="0"/>
          <w:bCs/>
          <w:sz w:val="18"/>
          <w:szCs w:val="18"/>
        </w:rPr>
        <w:t>i</w:t>
      </w:r>
      <w:r w:rsidR="00433D5C"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nduced </w:t>
      </w:r>
      <w:r w:rsidR="0060682D">
        <w:rPr>
          <w:rFonts w:ascii="Times New Roman" w:hAnsi="Times New Roman" w:cs="Times New Roman"/>
          <w:b w:val="0"/>
          <w:bCs/>
          <w:sz w:val="18"/>
          <w:szCs w:val="18"/>
        </w:rPr>
        <w:t>p</w:t>
      </w:r>
      <w:r w:rsidR="00433D5C" w:rsidRPr="00433D5C">
        <w:rPr>
          <w:rFonts w:ascii="Times New Roman" w:hAnsi="Times New Roman" w:cs="Times New Roman"/>
          <w:b w:val="0"/>
          <w:bCs/>
          <w:sz w:val="18"/>
          <w:szCs w:val="18"/>
        </w:rPr>
        <w:t>olarization (PHIP)</w:t>
      </w:r>
      <w:r>
        <w:rPr>
          <w:rFonts w:ascii="Times New Roman" w:hAnsi="Times New Roman" w:cs="Times New Roman"/>
          <w:b w:val="0"/>
          <w:bCs/>
          <w:sz w:val="18"/>
          <w:szCs w:val="18"/>
        </w:rPr>
        <w:t xml:space="preserve"> [1]</w:t>
      </w:r>
      <w:r w:rsidR="00433D5C"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 is a </w:t>
      </w:r>
      <w:proofErr w:type="spellStart"/>
      <w:r w:rsidR="00433D5C" w:rsidRPr="00433D5C">
        <w:rPr>
          <w:rFonts w:ascii="Times New Roman" w:hAnsi="Times New Roman" w:cs="Times New Roman"/>
          <w:b w:val="0"/>
          <w:bCs/>
          <w:sz w:val="18"/>
          <w:szCs w:val="18"/>
        </w:rPr>
        <w:t>hyperpolarization</w:t>
      </w:r>
      <w:proofErr w:type="spellEnd"/>
      <w:r w:rsidR="00433D5C"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 technique which employs parahydrogen (pH</w:t>
      </w:r>
      <w:r w:rsidR="00433D5C" w:rsidRPr="00433D5C">
        <w:rPr>
          <w:rFonts w:ascii="Times New Roman" w:hAnsi="Times New Roman" w:cs="Times New Roman"/>
          <w:b w:val="0"/>
          <w:bCs/>
          <w:sz w:val="18"/>
          <w:szCs w:val="18"/>
          <w:vertAlign w:val="subscript"/>
        </w:rPr>
        <w:t>2</w:t>
      </w:r>
      <w:r w:rsidR="00433D5C" w:rsidRPr="00433D5C">
        <w:rPr>
          <w:rFonts w:ascii="Times New Roman" w:hAnsi="Times New Roman" w:cs="Times New Roman"/>
          <w:b w:val="0"/>
          <w:bCs/>
          <w:sz w:val="18"/>
          <w:szCs w:val="18"/>
        </w:rPr>
        <w:t>) as a non-equilibrium source of nuclear polarization. Parahydrogen itself does not contribute to the NMR signal, as it is a spin isomer of molecular hydrogen with the total nuclear spin of zero. However, if the symmetry between pH</w:t>
      </w:r>
      <w:r w:rsidR="00433D5C" w:rsidRPr="00433D5C">
        <w:rPr>
          <w:rFonts w:ascii="Times New Roman" w:hAnsi="Times New Roman" w:cs="Times New Roman"/>
          <w:b w:val="0"/>
          <w:bCs/>
          <w:sz w:val="18"/>
          <w:szCs w:val="18"/>
          <w:vertAlign w:val="subscript"/>
        </w:rPr>
        <w:t>2</w:t>
      </w:r>
      <w:r w:rsidR="00433D5C"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 protons is broken, its spin</w:t>
      </w:r>
      <w:r w:rsidR="0033677B">
        <w:rPr>
          <w:rFonts w:ascii="Times New Roman" w:hAnsi="Times New Roman" w:cs="Times New Roman"/>
          <w:b w:val="0"/>
          <w:bCs/>
          <w:sz w:val="18"/>
          <w:szCs w:val="18"/>
        </w:rPr>
        <w:t xml:space="preserve"> </w:t>
      </w:r>
      <w:r w:rsidR="00433D5C" w:rsidRPr="00433D5C">
        <w:rPr>
          <w:rFonts w:ascii="Times New Roman" w:hAnsi="Times New Roman" w:cs="Times New Roman"/>
          <w:b w:val="0"/>
          <w:bCs/>
          <w:sz w:val="18"/>
          <w:szCs w:val="18"/>
        </w:rPr>
        <w:t>order can be tr</w:t>
      </w:r>
      <w:r>
        <w:rPr>
          <w:rFonts w:ascii="Times New Roman" w:hAnsi="Times New Roman" w:cs="Times New Roman"/>
          <w:b w:val="0"/>
          <w:bCs/>
          <w:sz w:val="18"/>
          <w:szCs w:val="18"/>
        </w:rPr>
        <w:t>ansferred into polarization of a</w:t>
      </w:r>
      <w:r w:rsidR="00433D5C"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 target molecule. In the classical (hydrogenative) version of PHIP, a substrate with unsaturated bonds is hydrogenated by parahydrogen in the presence of a catalyst. This</w:t>
      </w:r>
      <w:r>
        <w:rPr>
          <w:rFonts w:ascii="Times New Roman" w:hAnsi="Times New Roman" w:cs="Times New Roman"/>
          <w:b w:val="0"/>
          <w:bCs/>
          <w:sz w:val="18"/>
          <w:szCs w:val="18"/>
        </w:rPr>
        <w:t>,</w:t>
      </w:r>
      <w:r w:rsidR="00433D5C"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 in turn</w:t>
      </w:r>
      <w:r>
        <w:rPr>
          <w:rFonts w:ascii="Times New Roman" w:hAnsi="Times New Roman" w:cs="Times New Roman"/>
          <w:b w:val="0"/>
          <w:bCs/>
          <w:sz w:val="18"/>
          <w:szCs w:val="18"/>
        </w:rPr>
        <w:t>,</w:t>
      </w:r>
      <w:r w:rsidR="00433D5C"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 results in </w:t>
      </w:r>
      <w:r w:rsidR="00080F7A">
        <w:rPr>
          <w:rFonts w:ascii="Times New Roman" w:hAnsi="Times New Roman" w:cs="Times New Roman"/>
          <w:b w:val="0"/>
          <w:bCs/>
          <w:sz w:val="18"/>
          <w:szCs w:val="18"/>
        </w:rPr>
        <w:t xml:space="preserve">a </w:t>
      </w:r>
      <w:r w:rsidR="00433D5C"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strong enhancement of the </w:t>
      </w:r>
      <w:r w:rsidR="00433D5C" w:rsidRPr="00433D5C">
        <w:rPr>
          <w:rFonts w:ascii="Times New Roman" w:hAnsi="Times New Roman" w:cs="Times New Roman"/>
          <w:b w:val="0"/>
          <w:bCs/>
          <w:sz w:val="18"/>
          <w:szCs w:val="18"/>
          <w:vertAlign w:val="superscript"/>
        </w:rPr>
        <w:t>1</w:t>
      </w:r>
      <w:r w:rsidR="00433D5C" w:rsidRPr="00433D5C">
        <w:rPr>
          <w:rFonts w:ascii="Times New Roman" w:hAnsi="Times New Roman" w:cs="Times New Roman"/>
          <w:b w:val="0"/>
          <w:bCs/>
          <w:sz w:val="18"/>
          <w:szCs w:val="18"/>
        </w:rPr>
        <w:t>H NMR signals of the pH</w:t>
      </w:r>
      <w:r w:rsidR="00433D5C" w:rsidRPr="00433D5C">
        <w:rPr>
          <w:rFonts w:ascii="Times New Roman" w:hAnsi="Times New Roman" w:cs="Times New Roman"/>
          <w:b w:val="0"/>
          <w:bCs/>
          <w:sz w:val="18"/>
          <w:szCs w:val="18"/>
          <w:vertAlign w:val="subscript"/>
        </w:rPr>
        <w:t>2</w:t>
      </w:r>
      <w:r w:rsidR="00433D5C" w:rsidRPr="00433D5C">
        <w:rPr>
          <w:rFonts w:ascii="Times New Roman" w:hAnsi="Times New Roman" w:cs="Times New Roman"/>
          <w:b w:val="0"/>
          <w:bCs/>
          <w:sz w:val="18"/>
          <w:szCs w:val="18"/>
        </w:rPr>
        <w:t>-nascent protons in the target molecule. This polarization of protons can be transferred to other nuclei of the molecule [2].</w:t>
      </w:r>
    </w:p>
    <w:p w:rsidR="00433D5C" w:rsidRPr="00433D5C" w:rsidRDefault="00433D5C" w:rsidP="00433D5C">
      <w:pPr>
        <w:pStyle w:val="Header1"/>
        <w:spacing w:before="0" w:after="240"/>
        <w:ind w:firstLine="284"/>
        <w:jc w:val="both"/>
        <w:rPr>
          <w:rFonts w:ascii="Times New Roman" w:hAnsi="Times New Roman" w:cs="Times New Roman"/>
          <w:b w:val="0"/>
          <w:bCs/>
          <w:sz w:val="18"/>
          <w:szCs w:val="18"/>
        </w:rPr>
      </w:pP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In recent years, a non-hydrogenative version of PHIP has been actively developed, which is termed </w:t>
      </w:r>
      <w:r w:rsidR="00080F7A">
        <w:rPr>
          <w:rFonts w:ascii="Times New Roman" w:hAnsi="Times New Roman" w:cs="Times New Roman"/>
          <w:b w:val="0"/>
          <w:bCs/>
          <w:sz w:val="18"/>
          <w:szCs w:val="18"/>
        </w:rPr>
        <w:t>the s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ignal </w:t>
      </w:r>
      <w:r w:rsidR="00080F7A">
        <w:rPr>
          <w:rFonts w:ascii="Times New Roman" w:hAnsi="Times New Roman" w:cs="Times New Roman"/>
          <w:b w:val="0"/>
          <w:bCs/>
          <w:sz w:val="18"/>
          <w:szCs w:val="18"/>
        </w:rPr>
        <w:t>a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mplification </w:t>
      </w:r>
      <w:r w:rsidR="00080F7A">
        <w:rPr>
          <w:rFonts w:ascii="Times New Roman" w:hAnsi="Times New Roman" w:cs="Times New Roman"/>
          <w:b w:val="0"/>
          <w:bCs/>
          <w:sz w:val="18"/>
          <w:szCs w:val="18"/>
        </w:rPr>
        <w:t>b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y </w:t>
      </w:r>
      <w:r w:rsidR="00080F7A">
        <w:rPr>
          <w:rFonts w:ascii="Times New Roman" w:hAnsi="Times New Roman" w:cs="Times New Roman"/>
          <w:b w:val="0"/>
          <w:bCs/>
          <w:sz w:val="18"/>
          <w:szCs w:val="18"/>
        </w:rPr>
        <w:t>r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eversible </w:t>
      </w:r>
      <w:r w:rsidR="00080F7A">
        <w:rPr>
          <w:rFonts w:ascii="Times New Roman" w:hAnsi="Times New Roman" w:cs="Times New Roman"/>
          <w:b w:val="0"/>
          <w:bCs/>
          <w:sz w:val="18"/>
          <w:szCs w:val="18"/>
        </w:rPr>
        <w:t>e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xchange (SABRE) [3]. In SABRE, parahydrogen is not permanently incorporated into a target molecule. Instead, parahydrogen and </w:t>
      </w:r>
      <w:r w:rsidR="00080F7A">
        <w:rPr>
          <w:rFonts w:ascii="Times New Roman" w:hAnsi="Times New Roman" w:cs="Times New Roman"/>
          <w:b w:val="0"/>
          <w:bCs/>
          <w:sz w:val="18"/>
          <w:szCs w:val="18"/>
        </w:rPr>
        <w:t xml:space="preserve">a 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substrate molecule form a transient polarization transfer complex at </w:t>
      </w:r>
      <w:r w:rsidR="00080F7A">
        <w:rPr>
          <w:rFonts w:ascii="Times New Roman" w:hAnsi="Times New Roman" w:cs="Times New Roman"/>
          <w:b w:val="0"/>
          <w:bCs/>
          <w:sz w:val="18"/>
          <w:szCs w:val="18"/>
        </w:rPr>
        <w:t xml:space="preserve">an </w:t>
      </w:r>
      <w:proofErr w:type="spellStart"/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>Ir</w:t>
      </w:r>
      <w:proofErr w:type="spellEnd"/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>-based catalyst, as demonstrated in Fig</w:t>
      </w:r>
      <w:r w:rsidR="00080F7A">
        <w:rPr>
          <w:rFonts w:ascii="Times New Roman" w:hAnsi="Times New Roman" w:cs="Times New Roman"/>
          <w:b w:val="0"/>
          <w:bCs/>
          <w:sz w:val="18"/>
          <w:szCs w:val="18"/>
        </w:rPr>
        <w:t>.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 1a.</w:t>
      </w:r>
    </w:p>
    <w:p w:rsidR="00433D5C" w:rsidRPr="00433D5C" w:rsidRDefault="00433D5C" w:rsidP="00433D5C">
      <w:pPr>
        <w:pStyle w:val="Header1"/>
        <w:widowControl w:val="0"/>
        <w:spacing w:after="120"/>
        <w:jc w:val="center"/>
      </w:pPr>
      <w:r w:rsidRPr="00433D5C">
        <w:rPr>
          <w:noProof/>
          <w:lang w:val="ru-RU" w:eastAsia="ru-RU"/>
        </w:rPr>
        <w:lastRenderedPageBreak/>
        <w:drawing>
          <wp:inline distT="0" distB="0" distL="0" distR="0">
            <wp:extent cx="1641293" cy="1822938"/>
            <wp:effectExtent l="0" t="0" r="0" b="6350"/>
            <wp:docPr id="186526784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267847" name="Рисунок 1865267847"/>
                    <pic:cNvPicPr/>
                  </pic:nvPicPr>
                  <pic:blipFill rotWithShape="1">
                    <a:blip r:embed="rId12" cstate="print"/>
                    <a:srcRect l="2015"/>
                    <a:stretch/>
                  </pic:blipFill>
                  <pic:spPr bwMode="auto">
                    <a:xfrm>
                      <a:off x="0" y="0"/>
                      <a:ext cx="1706773" cy="1895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3D5C" w:rsidRPr="00433D5C" w:rsidRDefault="00433D5C" w:rsidP="00433D5C">
      <w:pPr>
        <w:pStyle w:val="af4"/>
        <w:widowControl w:val="0"/>
        <w:spacing w:before="120" w:line="276" w:lineRule="auto"/>
        <w:jc w:val="both"/>
        <w:rPr>
          <w:rFonts w:ascii="Times New Roman" w:hAnsi="Times New Roman" w:cs="Times New Roman"/>
          <w:i w:val="0"/>
          <w:iCs w:val="0"/>
          <w:color w:val="auto"/>
          <w:sz w:val="16"/>
          <w:szCs w:val="16"/>
          <w:lang w:val="en-US"/>
        </w:rPr>
      </w:pPr>
      <w:r w:rsidRPr="00433D5C">
        <w:rPr>
          <w:rFonts w:ascii="Times New Roman" w:hAnsi="Times New Roman" w:cs="Times New Roman"/>
          <w:b/>
          <w:bCs/>
          <w:i w:val="0"/>
          <w:iCs w:val="0"/>
          <w:color w:val="000000"/>
          <w:sz w:val="16"/>
          <w:szCs w:val="16"/>
          <w:lang w:val="en-US"/>
        </w:rPr>
        <w:t>Figure</w:t>
      </w:r>
      <w:r>
        <w:rPr>
          <w:rFonts w:ascii="Times New Roman" w:hAnsi="Times New Roman" w:cs="Times New Roman"/>
          <w:b/>
          <w:bCs/>
          <w:i w:val="0"/>
          <w:iCs w:val="0"/>
          <w:color w:val="000000"/>
          <w:sz w:val="16"/>
          <w:szCs w:val="16"/>
          <w:lang w:val="en-US"/>
        </w:rPr>
        <w:t xml:space="preserve"> 1</w:t>
      </w:r>
      <w:r w:rsidRPr="00433D5C">
        <w:rPr>
          <w:rFonts w:ascii="Times New Roman" w:hAnsi="Times New Roman" w:cs="Times New Roman"/>
          <w:b/>
          <w:bCs/>
          <w:i w:val="0"/>
          <w:iCs w:val="0"/>
          <w:color w:val="000000"/>
          <w:sz w:val="16"/>
          <w:szCs w:val="16"/>
          <w:lang w:val="en-US"/>
        </w:rPr>
        <w:t>.</w:t>
      </w:r>
      <w:r>
        <w:rPr>
          <w:rFonts w:ascii="Times New Roman" w:hAnsi="Times New Roman" w:cs="Times New Roman"/>
          <w:b/>
          <w:bCs/>
          <w:i w:val="0"/>
          <w:iCs w:val="0"/>
          <w:color w:val="000000"/>
          <w:sz w:val="16"/>
          <w:szCs w:val="16"/>
          <w:lang w:val="en-US"/>
        </w:rPr>
        <w:t xml:space="preserve"> </w:t>
      </w:r>
      <w:r w:rsidRPr="00433D5C">
        <w:rPr>
          <w:rFonts w:ascii="Times New Roman" w:hAnsi="Times New Roman" w:cs="Times New Roman"/>
          <w:bCs/>
          <w:i w:val="0"/>
          <w:iCs w:val="0"/>
          <w:color w:val="auto"/>
          <w:sz w:val="16"/>
          <w:szCs w:val="16"/>
          <w:lang w:val="en-US"/>
        </w:rPr>
        <w:t xml:space="preserve">Scheme of </w:t>
      </w:r>
      <w:r w:rsidR="00080F7A">
        <w:rPr>
          <w:rFonts w:ascii="Times New Roman" w:hAnsi="Times New Roman" w:cs="Times New Roman"/>
          <w:bCs/>
          <w:i w:val="0"/>
          <w:iCs w:val="0"/>
          <w:color w:val="auto"/>
          <w:sz w:val="16"/>
          <w:szCs w:val="16"/>
          <w:lang w:val="en-US"/>
        </w:rPr>
        <w:t xml:space="preserve">the </w:t>
      </w:r>
      <w:r w:rsidRPr="00433D5C">
        <w:rPr>
          <w:rFonts w:ascii="Times New Roman" w:hAnsi="Times New Roman" w:cs="Times New Roman"/>
          <w:bCs/>
          <w:i w:val="0"/>
          <w:iCs w:val="0"/>
          <w:color w:val="auto"/>
          <w:sz w:val="16"/>
          <w:szCs w:val="16"/>
          <w:lang w:val="en-US"/>
        </w:rPr>
        <w:t>SABRE polarization transfer in a high magnetic field. (</w:t>
      </w:r>
      <w:r w:rsidRPr="00080F7A">
        <w:rPr>
          <w:rFonts w:ascii="Times New Roman" w:hAnsi="Times New Roman" w:cs="Times New Roman"/>
          <w:b/>
          <w:color w:val="auto"/>
          <w:sz w:val="16"/>
          <w:szCs w:val="16"/>
          <w:lang w:val="en-US"/>
        </w:rPr>
        <w:t>a</w:t>
      </w:r>
      <w:r w:rsidRPr="00433D5C">
        <w:rPr>
          <w:rFonts w:ascii="Times New Roman" w:hAnsi="Times New Roman" w:cs="Times New Roman"/>
          <w:bCs/>
          <w:i w:val="0"/>
          <w:iCs w:val="0"/>
          <w:color w:val="auto"/>
          <w:sz w:val="16"/>
          <w:szCs w:val="16"/>
          <w:lang w:val="en-US"/>
        </w:rPr>
        <w:t>) Reversible exchange of parahydrogen and substrate molecules,</w:t>
      </w:r>
      <w:r w:rsidRPr="00433D5C">
        <w:rPr>
          <w:rFonts w:ascii="Times New Roman" w:hAnsi="Times New Roman" w:cs="Times New Roman"/>
          <w:bCs/>
          <w:i w:val="0"/>
          <w:iCs w:val="0"/>
          <w:color w:val="auto"/>
          <w:sz w:val="16"/>
          <w:szCs w:val="16"/>
          <w:vertAlign w:val="superscript"/>
          <w:lang w:val="en-US"/>
        </w:rPr>
        <w:t>15</w:t>
      </w:r>
      <w:r w:rsidRPr="00433D5C">
        <w:rPr>
          <w:rFonts w:ascii="Times New Roman" w:hAnsi="Times New Roman" w:cs="Times New Roman"/>
          <w:bCs/>
          <w:i w:val="0"/>
          <w:iCs w:val="0"/>
          <w:color w:val="auto"/>
          <w:sz w:val="16"/>
          <w:szCs w:val="16"/>
          <w:lang w:val="en-US"/>
        </w:rPr>
        <w:t xml:space="preserve">N-Sub, with </w:t>
      </w:r>
      <w:proofErr w:type="spellStart"/>
      <w:r w:rsidRPr="00433D5C">
        <w:rPr>
          <w:rFonts w:ascii="Times New Roman" w:hAnsi="Times New Roman" w:cs="Times New Roman"/>
          <w:bCs/>
          <w:i w:val="0"/>
          <w:iCs w:val="0"/>
          <w:color w:val="auto"/>
          <w:sz w:val="16"/>
          <w:szCs w:val="16"/>
          <w:lang w:val="en-US"/>
        </w:rPr>
        <w:t>Ir-Imes</w:t>
      </w:r>
      <w:proofErr w:type="spellEnd"/>
      <w:r w:rsidRPr="00433D5C">
        <w:rPr>
          <w:rFonts w:ascii="Times New Roman" w:hAnsi="Times New Roman" w:cs="Times New Roman"/>
          <w:bCs/>
          <w:i w:val="0"/>
          <w:iCs w:val="0"/>
          <w:color w:val="auto"/>
          <w:sz w:val="16"/>
          <w:szCs w:val="16"/>
          <w:lang w:val="en-US"/>
        </w:rPr>
        <w:t xml:space="preserve"> complex (left) and the structure of the substrate to-be-polarized, 3-methyl-[1,2,4]-</w:t>
      </w:r>
      <w:proofErr w:type="spellStart"/>
      <w:r w:rsidRPr="00433D5C">
        <w:rPr>
          <w:rFonts w:ascii="Times New Roman" w:hAnsi="Times New Roman" w:cs="Times New Roman"/>
          <w:bCs/>
          <w:i w:val="0"/>
          <w:iCs w:val="0"/>
          <w:color w:val="auto"/>
          <w:sz w:val="16"/>
          <w:szCs w:val="16"/>
          <w:lang w:val="en-US"/>
        </w:rPr>
        <w:t>selenadiazolo</w:t>
      </w:r>
      <w:proofErr w:type="spellEnd"/>
      <w:r w:rsidRPr="00433D5C">
        <w:rPr>
          <w:rFonts w:ascii="Times New Roman" w:hAnsi="Times New Roman" w:cs="Times New Roman"/>
          <w:bCs/>
          <w:i w:val="0"/>
          <w:iCs w:val="0"/>
          <w:color w:val="auto"/>
          <w:sz w:val="16"/>
          <w:szCs w:val="16"/>
          <w:lang w:val="en-US"/>
        </w:rPr>
        <w:t>-[4,5-a]-pyridin-4-ium bromide (</w:t>
      </w:r>
      <w:r w:rsidRPr="00433D5C">
        <w:rPr>
          <w:rFonts w:ascii="Times New Roman" w:hAnsi="Times New Roman" w:cs="Times New Roman"/>
          <w:bCs/>
          <w:i w:val="0"/>
          <w:iCs w:val="0"/>
          <w:color w:val="auto"/>
          <w:sz w:val="16"/>
          <w:szCs w:val="16"/>
          <w:vertAlign w:val="superscript"/>
          <w:lang w:val="en-US"/>
        </w:rPr>
        <w:t>15</w:t>
      </w:r>
      <w:r w:rsidRPr="00433D5C">
        <w:rPr>
          <w:rFonts w:ascii="Times New Roman" w:hAnsi="Times New Roman" w:cs="Times New Roman"/>
          <w:bCs/>
          <w:i w:val="0"/>
          <w:iCs w:val="0"/>
          <w:color w:val="auto"/>
          <w:sz w:val="16"/>
          <w:szCs w:val="16"/>
          <w:lang w:val="en-US"/>
        </w:rPr>
        <w:t>N-SDAP) (right). (</w:t>
      </w:r>
      <w:r w:rsidRPr="00080F7A">
        <w:rPr>
          <w:rFonts w:ascii="Times New Roman" w:hAnsi="Times New Roman" w:cs="Times New Roman"/>
          <w:b/>
          <w:color w:val="auto"/>
          <w:sz w:val="16"/>
          <w:szCs w:val="16"/>
          <w:lang w:val="en-US"/>
        </w:rPr>
        <w:t>b</w:t>
      </w:r>
      <w:r w:rsidRPr="00433D5C">
        <w:rPr>
          <w:rFonts w:ascii="Times New Roman" w:hAnsi="Times New Roman" w:cs="Times New Roman"/>
          <w:bCs/>
          <w:i w:val="0"/>
          <w:iCs w:val="0"/>
          <w:color w:val="auto"/>
          <w:sz w:val="16"/>
          <w:szCs w:val="16"/>
          <w:lang w:val="en-US"/>
        </w:rPr>
        <w:t xml:space="preserve">) Upper line: </w:t>
      </w:r>
      <w:r w:rsidR="00080F7A">
        <w:rPr>
          <w:rFonts w:ascii="Times New Roman" w:hAnsi="Times New Roman" w:cs="Times New Roman"/>
          <w:bCs/>
          <w:i w:val="0"/>
          <w:iCs w:val="0"/>
          <w:color w:val="auto"/>
          <w:sz w:val="16"/>
          <w:szCs w:val="16"/>
          <w:lang w:val="en-US"/>
        </w:rPr>
        <w:t xml:space="preserve">an </w:t>
      </w:r>
      <w:r w:rsidRPr="00433D5C">
        <w:rPr>
          <w:rFonts w:ascii="Times New Roman" w:hAnsi="Times New Roman" w:cs="Times New Roman"/>
          <w:bCs/>
          <w:i w:val="0"/>
          <w:iCs w:val="0"/>
          <w:color w:val="auto"/>
          <w:sz w:val="16"/>
          <w:szCs w:val="16"/>
          <w:lang w:val="en-US"/>
        </w:rPr>
        <w:t xml:space="preserve">experimental protocol for </w:t>
      </w:r>
      <w:r w:rsidR="00080F7A">
        <w:rPr>
          <w:rFonts w:ascii="Times New Roman" w:hAnsi="Times New Roman" w:cs="Times New Roman"/>
          <w:bCs/>
          <w:i w:val="0"/>
          <w:iCs w:val="0"/>
          <w:color w:val="auto"/>
          <w:sz w:val="16"/>
          <w:szCs w:val="16"/>
          <w:lang w:val="en-US"/>
        </w:rPr>
        <w:t xml:space="preserve">the </w:t>
      </w:r>
      <w:r w:rsidRPr="00433D5C">
        <w:rPr>
          <w:rFonts w:ascii="Times New Roman" w:hAnsi="Times New Roman" w:cs="Times New Roman"/>
          <w:bCs/>
          <w:i w:val="0"/>
          <w:iCs w:val="0"/>
          <w:color w:val="auto"/>
          <w:sz w:val="16"/>
          <w:szCs w:val="16"/>
          <w:lang w:val="en-US"/>
        </w:rPr>
        <w:t xml:space="preserve">polarization transfer; lower line: (left) SABRE-INEPT pulse sequence with non-selective high-power RF-pulses, (right) DRF-SABRE pulse sequence with selective low-power CW pulses applied simultaneously in double resonance with respect to the interacting </w:t>
      </w:r>
      <w:r w:rsidRPr="00433D5C">
        <w:rPr>
          <w:rFonts w:ascii="Times New Roman" w:hAnsi="Times New Roman" w:cs="Times New Roman"/>
          <w:bCs/>
          <w:i w:val="0"/>
          <w:iCs w:val="0"/>
          <w:color w:val="auto"/>
          <w:sz w:val="16"/>
          <w:szCs w:val="16"/>
          <w:vertAlign w:val="superscript"/>
          <w:lang w:val="en-US"/>
        </w:rPr>
        <w:t>1</w:t>
      </w:r>
      <w:r w:rsidRPr="00433D5C">
        <w:rPr>
          <w:rFonts w:ascii="Times New Roman" w:hAnsi="Times New Roman" w:cs="Times New Roman"/>
          <w:bCs/>
          <w:i w:val="0"/>
          <w:iCs w:val="0"/>
          <w:color w:val="auto"/>
          <w:sz w:val="16"/>
          <w:szCs w:val="16"/>
          <w:lang w:val="en-US"/>
        </w:rPr>
        <w:t xml:space="preserve">H and </w:t>
      </w:r>
      <w:r w:rsidRPr="00433D5C">
        <w:rPr>
          <w:rFonts w:ascii="Times New Roman" w:hAnsi="Times New Roman" w:cs="Times New Roman"/>
          <w:bCs/>
          <w:i w:val="0"/>
          <w:iCs w:val="0"/>
          <w:color w:val="auto"/>
          <w:sz w:val="16"/>
          <w:szCs w:val="16"/>
          <w:vertAlign w:val="superscript"/>
          <w:lang w:val="en-US"/>
        </w:rPr>
        <w:t>15</w:t>
      </w:r>
      <w:r w:rsidRPr="00433D5C">
        <w:rPr>
          <w:rFonts w:ascii="Times New Roman" w:hAnsi="Times New Roman" w:cs="Times New Roman"/>
          <w:bCs/>
          <w:i w:val="0"/>
          <w:iCs w:val="0"/>
          <w:color w:val="auto"/>
          <w:sz w:val="16"/>
          <w:szCs w:val="16"/>
          <w:lang w:val="en-US"/>
        </w:rPr>
        <w:t>N nuclei in the complex.</w:t>
      </w:r>
    </w:p>
    <w:p w:rsidR="00433D5C" w:rsidRPr="00433D5C" w:rsidRDefault="009816BA" w:rsidP="00433D5C">
      <w:pPr>
        <w:pStyle w:val="Header1"/>
        <w:spacing w:before="0" w:after="0"/>
        <w:ind w:firstLine="284"/>
        <w:jc w:val="both"/>
        <w:rPr>
          <w:rFonts w:ascii="Times New Roman" w:hAnsi="Times New Roman" w:cs="Times New Roman"/>
          <w:b w:val="0"/>
          <w:bCs/>
          <w:sz w:val="18"/>
          <w:szCs w:val="18"/>
        </w:rPr>
      </w:pPr>
      <w:r>
        <w:rPr>
          <w:rFonts w:ascii="Times New Roman" w:hAnsi="Times New Roman" w:cs="Times New Roman"/>
          <w:b w:val="0"/>
          <w:bCs/>
          <w:sz w:val="18"/>
          <w:szCs w:val="18"/>
        </w:rPr>
        <w:t>The p</w:t>
      </w:r>
      <w:r w:rsidR="00433D5C" w:rsidRPr="00433D5C">
        <w:rPr>
          <w:rFonts w:ascii="Times New Roman" w:hAnsi="Times New Roman" w:cs="Times New Roman"/>
          <w:b w:val="0"/>
          <w:bCs/>
          <w:sz w:val="18"/>
          <w:szCs w:val="18"/>
        </w:rPr>
        <w:t>olarization transfer from parahydrogen to the substrate then occurs during their transient bonding to the complex. More precisely, it is coherently driven by a scalar J-coupling interaction of the nuclear spins in the polarization transfer complex. As the substrate participates in the reversible exchange, it acquires polarization in a continuous manner without a chemical modification. This makes SABRE a highly p</w:t>
      </w:r>
      <w:r w:rsidR="001C2CDB">
        <w:rPr>
          <w:rFonts w:ascii="Times New Roman" w:hAnsi="Times New Roman" w:cs="Times New Roman"/>
          <w:b w:val="0"/>
          <w:bCs/>
          <w:sz w:val="18"/>
          <w:szCs w:val="18"/>
        </w:rPr>
        <w:t xml:space="preserve">romising </w:t>
      </w:r>
      <w:r w:rsidR="00433D5C"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candidate for the </w:t>
      </w:r>
      <w:proofErr w:type="spellStart"/>
      <w:r w:rsidR="00433D5C" w:rsidRPr="00433D5C">
        <w:rPr>
          <w:rFonts w:ascii="Times New Roman" w:hAnsi="Times New Roman" w:cs="Times New Roman"/>
          <w:b w:val="0"/>
          <w:bCs/>
          <w:sz w:val="18"/>
          <w:szCs w:val="18"/>
        </w:rPr>
        <w:t>hyperpolarization</w:t>
      </w:r>
      <w:proofErr w:type="spellEnd"/>
      <w:r w:rsidR="00433D5C"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 of nuclear spins in biomolecules. SABRE reveals its potential when applied to the </w:t>
      </w:r>
      <w:r w:rsidR="00433D5C" w:rsidRPr="00433D5C">
        <w:rPr>
          <w:rFonts w:ascii="Times New Roman" w:hAnsi="Times New Roman" w:cs="Times New Roman"/>
          <w:b w:val="0"/>
          <w:bCs/>
          <w:sz w:val="18"/>
          <w:szCs w:val="18"/>
        </w:rPr>
        <w:lastRenderedPageBreak/>
        <w:t xml:space="preserve">biologically relevant </w:t>
      </w:r>
      <w:proofErr w:type="spellStart"/>
      <w:r w:rsidR="00433D5C" w:rsidRPr="00433D5C">
        <w:rPr>
          <w:rFonts w:ascii="Times New Roman" w:hAnsi="Times New Roman" w:cs="Times New Roman"/>
          <w:b w:val="0"/>
          <w:bCs/>
          <w:sz w:val="18"/>
          <w:szCs w:val="18"/>
        </w:rPr>
        <w:t>heteronuclei</w:t>
      </w:r>
      <w:proofErr w:type="spellEnd"/>
      <w:r w:rsidR="00433D5C"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 with a spin </w:t>
      </w:r>
      <w:proofErr w:type="gramStart"/>
      <w:r w:rsidR="00433D5C"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of </w:t>
      </w:r>
      <m:oMath>
        <w:proofErr w:type="gramEnd"/>
        <m:f>
          <m:fPr>
            <m:ctrlPr>
              <w:rPr>
                <w:rFonts w:ascii="Cambria Math" w:hAnsi="Cambria Math" w:cs="Times New Roman"/>
                <w:b w:val="0"/>
                <w:bCs/>
                <w:sz w:val="18"/>
                <w:szCs w:val="1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18"/>
                <w:szCs w:val="18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18"/>
                <w:szCs w:val="18"/>
              </w:rPr>
              <m:t>2</m:t>
            </m:r>
          </m:den>
        </m:f>
      </m:oMath>
      <w:r w:rsidR="00433D5C" w:rsidRPr="001C2CDB">
        <w:rPr>
          <w:rFonts w:ascii="Times New Roman" w:hAnsi="Times New Roman" w:cs="Times New Roman"/>
          <w:b w:val="0"/>
          <w:bCs/>
          <w:sz w:val="18"/>
          <w:szCs w:val="18"/>
        </w:rPr>
        <w:t>,</w:t>
      </w:r>
      <w:r w:rsidR="00433D5C"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 </w:t>
      </w:r>
      <w:r w:rsidR="00433D5C" w:rsidRPr="00662A29">
        <w:rPr>
          <w:rFonts w:ascii="Times New Roman" w:hAnsi="Times New Roman" w:cs="Times New Roman"/>
          <w:b w:val="0"/>
          <w:bCs/>
          <w:i/>
          <w:iCs/>
          <w:sz w:val="18"/>
          <w:szCs w:val="18"/>
        </w:rPr>
        <w:t>e.g</w:t>
      </w:r>
      <w:r w:rsidR="00433D5C" w:rsidRPr="00433D5C">
        <w:rPr>
          <w:rFonts w:ascii="Times New Roman" w:hAnsi="Times New Roman" w:cs="Times New Roman"/>
          <w:b w:val="0"/>
          <w:bCs/>
          <w:sz w:val="18"/>
          <w:szCs w:val="18"/>
        </w:rPr>
        <w:t>.</w:t>
      </w:r>
      <w:r w:rsidR="00662A29">
        <w:rPr>
          <w:rFonts w:ascii="Times New Roman" w:hAnsi="Times New Roman" w:cs="Times New Roman"/>
          <w:b w:val="0"/>
          <w:bCs/>
          <w:sz w:val="18"/>
          <w:szCs w:val="18"/>
        </w:rPr>
        <w:t>,</w:t>
      </w:r>
      <w:r w:rsidR="00433D5C"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 </w:t>
      </w:r>
      <w:r w:rsidR="00433D5C" w:rsidRPr="00433D5C">
        <w:rPr>
          <w:rFonts w:ascii="Times New Roman" w:hAnsi="Times New Roman" w:cs="Times New Roman"/>
          <w:b w:val="0"/>
          <w:bCs/>
          <w:sz w:val="18"/>
          <w:szCs w:val="18"/>
          <w:vertAlign w:val="superscript"/>
        </w:rPr>
        <w:t>13</w:t>
      </w:r>
      <w:r w:rsidR="00433D5C"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C, </w:t>
      </w:r>
      <w:r w:rsidR="00433D5C" w:rsidRPr="00433D5C">
        <w:rPr>
          <w:rFonts w:ascii="Times New Roman" w:hAnsi="Times New Roman" w:cs="Times New Roman"/>
          <w:b w:val="0"/>
          <w:bCs/>
          <w:sz w:val="18"/>
          <w:szCs w:val="18"/>
          <w:vertAlign w:val="superscript"/>
        </w:rPr>
        <w:t>15</w:t>
      </w:r>
      <w:r w:rsidR="00433D5C"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N, </w:t>
      </w:r>
      <w:r w:rsidR="00433D5C" w:rsidRPr="00662A29">
        <w:rPr>
          <w:rFonts w:ascii="Times New Roman" w:hAnsi="Times New Roman" w:cs="Times New Roman"/>
          <w:b w:val="0"/>
          <w:bCs/>
          <w:i/>
          <w:iCs/>
          <w:sz w:val="18"/>
          <w:szCs w:val="18"/>
        </w:rPr>
        <w:t>etc</w:t>
      </w:r>
      <w:r w:rsidR="00433D5C"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. This is because these nuclei have long relaxation times and therefore are considered as reservoirs for the long-term storage of polarization </w:t>
      </w:r>
      <w:r w:rsidR="00DD4096">
        <w:rPr>
          <w:rFonts w:ascii="Times New Roman" w:hAnsi="Times New Roman" w:cs="Times New Roman"/>
          <w:b w:val="0"/>
          <w:bCs/>
          <w:sz w:val="18"/>
          <w:szCs w:val="18"/>
        </w:rPr>
        <w:t>[4]</w:t>
      </w:r>
      <w:r w:rsidR="00433D5C" w:rsidRPr="00433D5C">
        <w:rPr>
          <w:rFonts w:ascii="Times New Roman" w:hAnsi="Times New Roman" w:cs="Times New Roman"/>
          <w:b w:val="0"/>
          <w:bCs/>
          <w:sz w:val="18"/>
          <w:szCs w:val="18"/>
        </w:rPr>
        <w:t>. Hyperpolarized heteronuclear spins provide unique possibilities for studying metabolic processes</w:t>
      </w:r>
      <w:r w:rsidR="00433D5C" w:rsidRPr="00433D5C">
        <w:rPr>
          <w:rFonts w:ascii="Times New Roman" w:hAnsi="Times New Roman" w:cs="Times New Roman"/>
          <w:b w:val="0"/>
          <w:bCs/>
          <w:i/>
          <w:iCs/>
          <w:sz w:val="18"/>
          <w:szCs w:val="18"/>
        </w:rPr>
        <w:t xml:space="preserve"> in vivo</w:t>
      </w:r>
      <w:r w:rsidR="00433D5C"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 </w:t>
      </w:r>
      <w:r w:rsidR="001C2CDB">
        <w:rPr>
          <w:rFonts w:ascii="Times New Roman" w:hAnsi="Times New Roman" w:cs="Times New Roman"/>
          <w:b w:val="0"/>
          <w:bCs/>
          <w:sz w:val="18"/>
          <w:szCs w:val="18"/>
        </w:rPr>
        <w:t>[5]</w:t>
      </w:r>
      <w:r w:rsidR="00433D5C" w:rsidRPr="00433D5C">
        <w:rPr>
          <w:rFonts w:ascii="Times New Roman" w:hAnsi="Times New Roman" w:cs="Times New Roman"/>
          <w:b w:val="0"/>
          <w:bCs/>
          <w:sz w:val="18"/>
          <w:szCs w:val="18"/>
        </w:rPr>
        <w:t>.</w:t>
      </w:r>
    </w:p>
    <w:p w:rsidR="00433D5C" w:rsidRDefault="00433D5C" w:rsidP="00433D5C">
      <w:pPr>
        <w:pStyle w:val="Header1"/>
        <w:spacing w:before="0" w:after="0"/>
        <w:ind w:firstLine="284"/>
        <w:jc w:val="both"/>
        <w:rPr>
          <w:rFonts w:ascii="Times New Roman" w:hAnsi="Times New Roman" w:cs="Times New Roman"/>
          <w:b w:val="0"/>
          <w:bCs/>
          <w:sz w:val="18"/>
          <w:szCs w:val="18"/>
        </w:rPr>
      </w:pP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>However,</w:t>
      </w:r>
      <w:r w:rsidR="00DD4096">
        <w:rPr>
          <w:rFonts w:ascii="Times New Roman" w:hAnsi="Times New Roman" w:cs="Times New Roman"/>
          <w:b w:val="0"/>
          <w:bCs/>
          <w:sz w:val="18"/>
          <w:szCs w:val="18"/>
        </w:rPr>
        <w:t xml:space="preserve"> the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 heteronuclear SABRE polarization transfer occurs only if spin dynamics in the polarization transfer complex is correctly optimized. This</w:t>
      </w:r>
      <w:r w:rsidR="001C2CDB">
        <w:rPr>
          <w:rFonts w:ascii="Times New Roman" w:hAnsi="Times New Roman" w:cs="Times New Roman"/>
          <w:b w:val="0"/>
          <w:bCs/>
          <w:sz w:val="18"/>
          <w:szCs w:val="18"/>
        </w:rPr>
        <w:t>,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 in turn</w:t>
      </w:r>
      <w:r w:rsidR="001C2CDB">
        <w:rPr>
          <w:rFonts w:ascii="Times New Roman" w:hAnsi="Times New Roman" w:cs="Times New Roman"/>
          <w:b w:val="0"/>
          <w:bCs/>
          <w:sz w:val="18"/>
          <w:szCs w:val="18"/>
        </w:rPr>
        <w:t>,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 requires the usage of external polarizers: sophisticated devices providing optimal conditions for the polarization transfer. Typically, a polarizer contains multilayer magnetic shields compensating the magnetic field of the Earth and providing a zone with an ultralow magnetic field (&lt;1 </w:t>
      </w:r>
      <w:proofErr w:type="spellStart"/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>μT</w:t>
      </w:r>
      <w:proofErr w:type="spellEnd"/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). Demand for the external polarizers to hyperpolarize heteronuclear spins remains a challenge for the common experimental implementation of SABRE. Radiofrequency (RF) excitation of nuclear spins allows </w:t>
      </w:r>
      <w:r w:rsidR="001C2CDB">
        <w:rPr>
          <w:rFonts w:ascii="Times New Roman" w:hAnsi="Times New Roman" w:cs="Times New Roman"/>
          <w:b w:val="0"/>
          <w:bCs/>
          <w:sz w:val="18"/>
          <w:szCs w:val="18"/>
        </w:rPr>
        <w:t xml:space="preserve">for 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>avoiding this limitation and enabling the performance of SABRE inside a high magnetic field of the NMR</w:t>
      </w:r>
      <w:r w:rsidR="00AE2E09">
        <w:rPr>
          <w:rFonts w:ascii="Times New Roman" w:hAnsi="Times New Roman" w:cs="Times New Roman"/>
          <w:b w:val="0"/>
          <w:bCs/>
          <w:sz w:val="18"/>
          <w:szCs w:val="18"/>
        </w:rPr>
        <w:t xml:space="preserve"> 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spectrometer </w:t>
      </w:r>
      <w:r w:rsidR="00AE2E09">
        <w:rPr>
          <w:rFonts w:ascii="Times New Roman" w:hAnsi="Times New Roman" w:cs="Times New Roman"/>
          <w:b w:val="0"/>
          <w:bCs/>
          <w:sz w:val="18"/>
          <w:szCs w:val="18"/>
        </w:rPr>
        <w:t>[6]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>. The in-magnet SABRE hyperpolarization is complicated, because it requires a design of the RF excitation scheme and precise experimental optimization of the RF fields. For the in-magnet hyperpolarization, we used two different pulse sequences, as shown in Fig</w:t>
      </w:r>
      <w:r w:rsidR="00125BA2">
        <w:rPr>
          <w:rFonts w:ascii="Times New Roman" w:hAnsi="Times New Roman" w:cs="Times New Roman"/>
          <w:b w:val="0"/>
          <w:bCs/>
          <w:sz w:val="18"/>
          <w:szCs w:val="18"/>
        </w:rPr>
        <w:t>.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 1b. The first pulse sequence is termed SABRE-INEPT (</w:t>
      </w:r>
      <w:r w:rsidR="00125BA2">
        <w:rPr>
          <w:rFonts w:ascii="Times New Roman" w:hAnsi="Times New Roman" w:cs="Times New Roman"/>
          <w:b w:val="0"/>
          <w:bCs/>
          <w:sz w:val="18"/>
          <w:szCs w:val="18"/>
        </w:rPr>
        <w:t>INEPT, i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nsensitive </w:t>
      </w:r>
      <w:r w:rsidR="00125BA2">
        <w:rPr>
          <w:rFonts w:ascii="Times New Roman" w:hAnsi="Times New Roman" w:cs="Times New Roman"/>
          <w:b w:val="0"/>
          <w:bCs/>
          <w:sz w:val="18"/>
          <w:szCs w:val="18"/>
        </w:rPr>
        <w:t>n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uclei </w:t>
      </w:r>
      <w:r w:rsidR="00125BA2">
        <w:rPr>
          <w:rFonts w:ascii="Times New Roman" w:hAnsi="Times New Roman" w:cs="Times New Roman"/>
          <w:b w:val="0"/>
          <w:bCs/>
          <w:sz w:val="18"/>
          <w:szCs w:val="18"/>
        </w:rPr>
        <w:t>e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nhanced by </w:t>
      </w:r>
      <w:r w:rsidR="00125BA2">
        <w:rPr>
          <w:rFonts w:ascii="Times New Roman" w:hAnsi="Times New Roman" w:cs="Times New Roman"/>
          <w:b w:val="0"/>
          <w:bCs/>
          <w:sz w:val="18"/>
          <w:szCs w:val="18"/>
        </w:rPr>
        <w:t>p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olarization </w:t>
      </w:r>
      <w:r w:rsidR="00125BA2">
        <w:rPr>
          <w:rFonts w:ascii="Times New Roman" w:hAnsi="Times New Roman" w:cs="Times New Roman"/>
          <w:b w:val="0"/>
          <w:bCs/>
          <w:sz w:val="18"/>
          <w:szCs w:val="18"/>
        </w:rPr>
        <w:t>t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ransfer) </w:t>
      </w:r>
      <w:r w:rsidR="00125BA2">
        <w:rPr>
          <w:rFonts w:ascii="Times New Roman" w:hAnsi="Times New Roman" w:cs="Times New Roman"/>
          <w:b w:val="0"/>
          <w:bCs/>
          <w:sz w:val="18"/>
          <w:szCs w:val="18"/>
        </w:rPr>
        <w:t>[7]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>, which is considered as a standard approach for</w:t>
      </w:r>
      <w:r w:rsidR="00125BA2">
        <w:rPr>
          <w:rFonts w:ascii="Times New Roman" w:hAnsi="Times New Roman" w:cs="Times New Roman"/>
          <w:b w:val="0"/>
          <w:bCs/>
          <w:sz w:val="18"/>
          <w:szCs w:val="18"/>
        </w:rPr>
        <w:t xml:space="preserve"> the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 SABRE hyperpolarization. As an alternative approach for the in-magnet hyperpolarization, we used DRF-SABRE pulse sequence </w:t>
      </w:r>
      <w:r w:rsidR="00125BA2">
        <w:rPr>
          <w:rFonts w:ascii="Times New Roman" w:hAnsi="Times New Roman" w:cs="Times New Roman"/>
          <w:b w:val="0"/>
          <w:bCs/>
          <w:sz w:val="18"/>
          <w:szCs w:val="18"/>
        </w:rPr>
        <w:t>(DRF, d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ouble </w:t>
      </w:r>
      <w:r w:rsidR="00125BA2">
        <w:rPr>
          <w:rFonts w:ascii="Times New Roman" w:hAnsi="Times New Roman" w:cs="Times New Roman"/>
          <w:b w:val="0"/>
          <w:bCs/>
          <w:sz w:val="18"/>
          <w:szCs w:val="18"/>
        </w:rPr>
        <w:t>r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adiofrequency), which has been recently proposed by us [8]. In this work, we demonstrate </w:t>
      </w:r>
      <w:r w:rsidR="00BF3662">
        <w:rPr>
          <w:rFonts w:ascii="Times New Roman" w:hAnsi="Times New Roman" w:cs="Times New Roman"/>
          <w:b w:val="0"/>
          <w:bCs/>
          <w:sz w:val="18"/>
          <w:szCs w:val="18"/>
        </w:rPr>
        <w:t xml:space="preserve">the 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in-magnet SABRE hyperpolarization of 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  <w:vertAlign w:val="superscript"/>
        </w:rPr>
        <w:t>15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N nuclei in 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  <w:vertAlign w:val="superscript"/>
        </w:rPr>
        <w:t>15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>N-labelled 3-methyl-[1</w:t>
      </w:r>
      <w:proofErr w:type="gramStart"/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>,2,4</w:t>
      </w:r>
      <w:proofErr w:type="gramEnd"/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>]-</w:t>
      </w:r>
      <w:proofErr w:type="spellStart"/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>selenadiazolo</w:t>
      </w:r>
      <w:proofErr w:type="spellEnd"/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>-[4,5-a]-pyridin-4-ium bromide (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  <w:vertAlign w:val="superscript"/>
        </w:rPr>
        <w:t>15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N-SDAP), a compound belonging to the class of </w:t>
      </w:r>
      <w:proofErr w:type="spellStart"/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>selenadiazoles</w:t>
      </w:r>
      <w:proofErr w:type="spellEnd"/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 </w:t>
      </w:r>
      <w:r w:rsidR="001C2CDB">
        <w:rPr>
          <w:rFonts w:ascii="Times New Roman" w:hAnsi="Times New Roman" w:cs="Times New Roman"/>
          <w:b w:val="0"/>
          <w:bCs/>
          <w:sz w:val="18"/>
          <w:szCs w:val="18"/>
        </w:rPr>
        <w:t>which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 exhibit potential antimicrobial and antitumor activity </w:t>
      </w:r>
      <w:r w:rsidR="001C2CDB">
        <w:rPr>
          <w:rFonts w:ascii="Times New Roman" w:hAnsi="Times New Roman" w:cs="Times New Roman"/>
          <w:b w:val="0"/>
          <w:bCs/>
          <w:sz w:val="18"/>
          <w:szCs w:val="18"/>
        </w:rPr>
        <w:t>[9]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. To reveal the full potential of the in-magnet SABRE for biologically relevant molecules, we compare the efficiency of the hyperpolarization of 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  <w:vertAlign w:val="superscript"/>
        </w:rPr>
        <w:t>15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N-SDAP obtained by </w:t>
      </w:r>
      <w:r w:rsidR="00BF3662">
        <w:rPr>
          <w:rFonts w:ascii="Times New Roman" w:hAnsi="Times New Roman" w:cs="Times New Roman"/>
          <w:b w:val="0"/>
          <w:bCs/>
          <w:sz w:val="18"/>
          <w:szCs w:val="18"/>
        </w:rPr>
        <w:t>the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 standard (SABRE-INEPT) and novel </w:t>
      </w:r>
      <w:r w:rsidR="00BF3662" w:rsidRPr="00433D5C">
        <w:rPr>
          <w:rFonts w:ascii="Times New Roman" w:hAnsi="Times New Roman" w:cs="Times New Roman"/>
          <w:b w:val="0"/>
          <w:bCs/>
          <w:sz w:val="18"/>
          <w:szCs w:val="18"/>
        </w:rPr>
        <w:t>(DRF-SABRE)</w:t>
      </w:r>
      <w:r w:rsidR="00BF3662">
        <w:rPr>
          <w:rFonts w:ascii="Times New Roman" w:hAnsi="Times New Roman" w:cs="Times New Roman"/>
          <w:b w:val="0"/>
          <w:bCs/>
          <w:sz w:val="18"/>
          <w:szCs w:val="18"/>
        </w:rPr>
        <w:t xml:space="preserve"> 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>approach</w:t>
      </w:r>
      <w:r w:rsidR="00BF3662">
        <w:rPr>
          <w:rFonts w:ascii="Times New Roman" w:hAnsi="Times New Roman" w:cs="Times New Roman"/>
          <w:b w:val="0"/>
          <w:bCs/>
          <w:sz w:val="18"/>
          <w:szCs w:val="18"/>
        </w:rPr>
        <w:t>es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>.</w:t>
      </w:r>
    </w:p>
    <w:p w:rsidR="00433D5C" w:rsidRDefault="00FB4FD0" w:rsidP="00433D5C">
      <w:pPr>
        <w:pStyle w:val="Header1"/>
        <w:spacing w:before="240" w:after="240"/>
      </w:pPr>
      <w:r w:rsidRPr="00FB4FD0">
        <w:rPr>
          <w:highlight w:val="green"/>
        </w:rPr>
        <w:t>Experimental section</w:t>
      </w:r>
    </w:p>
    <w:p w:rsidR="00433D5C" w:rsidRPr="00433D5C" w:rsidRDefault="00433D5C" w:rsidP="00BE3121">
      <w:pPr>
        <w:pStyle w:val="Header1"/>
        <w:spacing w:before="0" w:after="120"/>
        <w:ind w:firstLine="284"/>
        <w:jc w:val="both"/>
        <w:rPr>
          <w:rFonts w:ascii="Times New Roman" w:hAnsi="Times New Roman" w:cs="Times New Roman"/>
          <w:b w:val="0"/>
          <w:bCs/>
          <w:sz w:val="18"/>
          <w:szCs w:val="18"/>
        </w:rPr>
      </w:pPr>
      <w:bookmarkStart w:id="1" w:name="_Hlk188018936"/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>We used [</w:t>
      </w:r>
      <w:proofErr w:type="spellStart"/>
      <w:proofErr w:type="gramStart"/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>IrCl</w:t>
      </w:r>
      <w:proofErr w:type="spellEnd"/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>(</w:t>
      </w:r>
      <w:proofErr w:type="gramEnd"/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>COD)(</w:t>
      </w:r>
      <w:proofErr w:type="spellStart"/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>IMes</w:t>
      </w:r>
      <w:proofErr w:type="spellEnd"/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)] as a </w:t>
      </w:r>
      <w:proofErr w:type="spellStart"/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>precatalyst</w:t>
      </w:r>
      <w:proofErr w:type="spellEnd"/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 for the polarization transfer complex (</w:t>
      </w:r>
      <w:proofErr w:type="spellStart"/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>IMes</w:t>
      </w:r>
      <w:proofErr w:type="spellEnd"/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 = 1,3-bis(2,4,6-trimethylphenyl)imidazol-2-ylidene, COD = cyclooctadiene), 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  <w:vertAlign w:val="superscript"/>
        </w:rPr>
        <w:t>15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N-SDAP as a substrate for hyperpolarization, and DMSO (dimethyl sulfoxide) as a stabilizing co-substrate [10]. The investigated sample consisted of 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  <w:vertAlign w:val="superscript"/>
        </w:rPr>
        <w:t>15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N-SDAP (18 </w:t>
      </w:r>
      <w:proofErr w:type="spellStart"/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>mM</w:t>
      </w:r>
      <w:proofErr w:type="spellEnd"/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), DMSO (650 </w:t>
      </w:r>
      <w:proofErr w:type="spellStart"/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>mM</w:t>
      </w:r>
      <w:proofErr w:type="spellEnd"/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>), and [</w:t>
      </w:r>
      <w:proofErr w:type="spellStart"/>
      <w:proofErr w:type="gramStart"/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>IrCl</w:t>
      </w:r>
      <w:proofErr w:type="spellEnd"/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>(</w:t>
      </w:r>
      <w:proofErr w:type="gramEnd"/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>COD)(</w:t>
      </w:r>
      <w:proofErr w:type="spellStart"/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>IMes</w:t>
      </w:r>
      <w:proofErr w:type="spellEnd"/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)] (4 </w:t>
      </w:r>
      <w:proofErr w:type="spellStart"/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>mM</w:t>
      </w:r>
      <w:proofErr w:type="spellEnd"/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>) dissolved in 600</w:t>
      </w:r>
      <w:r w:rsidR="00BF3662">
        <w:rPr>
          <w:rFonts w:ascii="Times New Roman" w:hAnsi="Times New Roman" w:cs="Times New Roman"/>
          <w:b w:val="0"/>
          <w:bCs/>
          <w:sz w:val="18"/>
          <w:szCs w:val="18"/>
        </w:rPr>
        <w:t xml:space="preserve"> </w:t>
      </w:r>
      <w:proofErr w:type="spellStart"/>
      <w:r w:rsidR="00BF3662">
        <w:rPr>
          <w:rFonts w:ascii="Times New Roman" w:hAnsi="Times New Roman" w:cs="Times New Roman"/>
          <w:b w:val="0"/>
          <w:bCs/>
          <w:sz w:val="18"/>
          <w:szCs w:val="18"/>
        </w:rPr>
        <w:t>μL</w:t>
      </w:r>
      <w:proofErr w:type="spellEnd"/>
      <w:r w:rsidR="00BF3662">
        <w:rPr>
          <w:rFonts w:ascii="Times New Roman" w:hAnsi="Times New Roman" w:cs="Times New Roman"/>
          <w:b w:val="0"/>
          <w:bCs/>
          <w:sz w:val="18"/>
          <w:szCs w:val="18"/>
        </w:rPr>
        <w:t xml:space="preserve"> </w:t>
      </w:r>
      <w:r w:rsidRPr="00433D5C">
        <w:rPr>
          <w:rFonts w:ascii="Times New Roman" w:eastAsiaTheme="minorEastAsia" w:hAnsi="Times New Roman" w:cs="Times New Roman"/>
          <w:b w:val="0"/>
          <w:bCs/>
          <w:sz w:val="18"/>
          <w:szCs w:val="18"/>
        </w:rPr>
        <w:t>of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 </w:t>
      </w:r>
      <w:r w:rsidR="00BF3662">
        <w:rPr>
          <w:rFonts w:ascii="Times New Roman" w:hAnsi="Times New Roman" w:cs="Times New Roman"/>
          <w:b w:val="0"/>
          <w:bCs/>
          <w:sz w:val="18"/>
          <w:szCs w:val="18"/>
        </w:rPr>
        <w:t>CD</w:t>
      </w:r>
      <w:r w:rsidR="00BF3662" w:rsidRPr="00BF3662">
        <w:rPr>
          <w:rFonts w:ascii="Times New Roman" w:hAnsi="Times New Roman" w:cs="Times New Roman"/>
          <w:b w:val="0"/>
          <w:bCs/>
          <w:sz w:val="18"/>
          <w:szCs w:val="18"/>
          <w:vertAlign w:val="subscript"/>
        </w:rPr>
        <w:t>3</w:t>
      </w:r>
      <w:r w:rsidR="00BF3662">
        <w:rPr>
          <w:rFonts w:ascii="Times New Roman" w:hAnsi="Times New Roman" w:cs="Times New Roman"/>
          <w:b w:val="0"/>
          <w:bCs/>
          <w:sz w:val="18"/>
          <w:szCs w:val="18"/>
        </w:rPr>
        <w:t>OD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>. [</w:t>
      </w:r>
      <w:proofErr w:type="spellStart"/>
      <w:proofErr w:type="gramStart"/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>IrCl</w:t>
      </w:r>
      <w:proofErr w:type="spellEnd"/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>(</w:t>
      </w:r>
      <w:proofErr w:type="gramEnd"/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>COD)(</w:t>
      </w:r>
      <w:proofErr w:type="spellStart"/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>IMes</w:t>
      </w:r>
      <w:proofErr w:type="spellEnd"/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)] was synthesized according to the standard procedure </w:t>
      </w:r>
      <w:r w:rsidR="00BE3121">
        <w:rPr>
          <w:rFonts w:ascii="Times New Roman" w:hAnsi="Times New Roman" w:cs="Times New Roman"/>
          <w:b w:val="0"/>
          <w:bCs/>
          <w:sz w:val="18"/>
          <w:szCs w:val="18"/>
        </w:rPr>
        <w:t>[11]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, 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  <w:vertAlign w:val="superscript"/>
        </w:rPr>
        <w:t>15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N-SDAP was synthesized according to the procedure described </w:t>
      </w:r>
      <w:r w:rsidR="00BE3121">
        <w:rPr>
          <w:rFonts w:ascii="Times New Roman" w:hAnsi="Times New Roman" w:cs="Times New Roman"/>
          <w:b w:val="0"/>
          <w:bCs/>
          <w:sz w:val="18"/>
          <w:szCs w:val="18"/>
        </w:rPr>
        <w:t>elsewhere [12]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, where, at the final stage, 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  <w:vertAlign w:val="superscript"/>
        </w:rPr>
        <w:t>15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>N-labeled acetonitrile (98% Atom, Sigma 487864) was used. Methanol-d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  <w:vertAlign w:val="subscript"/>
        </w:rPr>
        <w:t>4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 was purchased from Carl Roth, DMSO was purchased from Sigma-Aldrich. All experiments were conducted at a 400 MHz NMR spectrometer with a magnetic field of 9.4 T. For parahydrogen bubbling</w:t>
      </w:r>
      <w:r w:rsidR="00BE3121">
        <w:rPr>
          <w:rFonts w:ascii="Times New Roman" w:hAnsi="Times New Roman" w:cs="Times New Roman"/>
          <w:b w:val="0"/>
          <w:bCs/>
          <w:sz w:val="18"/>
          <w:szCs w:val="18"/>
        </w:rPr>
        <w:t>,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 we use</w:t>
      </w:r>
      <w:r w:rsidR="00BE3121">
        <w:rPr>
          <w:rFonts w:ascii="Times New Roman" w:hAnsi="Times New Roman" w:cs="Times New Roman"/>
          <w:b w:val="0"/>
          <w:bCs/>
          <w:sz w:val="18"/>
          <w:szCs w:val="18"/>
        </w:rPr>
        <w:t>d an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 automated gas-flow system </w:t>
      </w:r>
      <w:r w:rsidR="00BE3121">
        <w:rPr>
          <w:rFonts w:ascii="Times New Roman" w:hAnsi="Times New Roman" w:cs="Times New Roman"/>
          <w:b w:val="0"/>
          <w:bCs/>
          <w:sz w:val="18"/>
          <w:szCs w:val="18"/>
        </w:rPr>
        <w:t>[13]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>. Parahydrogen bubbling pressure was equal to 4 atm.</w:t>
      </w:r>
      <w:bookmarkEnd w:id="1"/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 To determine the enhancement of the 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  <w:vertAlign w:val="superscript"/>
        </w:rPr>
        <w:t>15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>N NMR signal quantitively, we use</w:t>
      </w:r>
      <w:r w:rsidR="00BE3121">
        <w:rPr>
          <w:rFonts w:ascii="Times New Roman" w:hAnsi="Times New Roman" w:cs="Times New Roman"/>
          <w:b w:val="0"/>
          <w:bCs/>
          <w:sz w:val="18"/>
          <w:szCs w:val="18"/>
        </w:rPr>
        <w:t>d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 the following </w:t>
      </w:r>
      <w:r w:rsidR="00BE3121">
        <w:rPr>
          <w:rFonts w:ascii="Times New Roman" w:hAnsi="Times New Roman" w:cs="Times New Roman"/>
          <w:b w:val="0"/>
          <w:bCs/>
          <w:sz w:val="18"/>
          <w:szCs w:val="18"/>
        </w:rPr>
        <w:t>formula</w:t>
      </w:r>
    </w:p>
    <w:p w:rsidR="00433D5C" w:rsidRPr="00433D5C" w:rsidRDefault="00BE3121" w:rsidP="00433D5C">
      <w:pPr>
        <w:pStyle w:val="Header1"/>
        <w:tabs>
          <w:tab w:val="left" w:pos="4395"/>
        </w:tabs>
        <w:spacing w:before="0" w:after="0"/>
        <w:ind w:firstLine="1701"/>
        <w:jc w:val="center"/>
        <w:rPr>
          <w:rFonts w:ascii="Times New Roman" w:eastAsiaTheme="minorEastAsia" w:hAnsi="Times New Roman" w:cs="Times New Roman"/>
          <w:b w:val="0"/>
          <w:bCs/>
          <w:sz w:val="18"/>
          <w:szCs w:val="18"/>
        </w:rPr>
      </w:pPr>
      <m:oMath>
        <m:r>
          <m:rPr>
            <m:sty m:val="bi"/>
          </m:rPr>
          <w:rPr>
            <w:rFonts w:ascii="Cambria Math" w:hAnsi="Cambria Math" w:cs="Times New Roman"/>
            <w:sz w:val="18"/>
            <w:szCs w:val="18"/>
          </w:rPr>
          <w:lastRenderedPageBreak/>
          <m:t>ε=</m:t>
        </m:r>
        <m:f>
          <m:fPr>
            <m:ctrlPr>
              <w:rPr>
                <w:rFonts w:ascii="Cambria Math" w:hAnsi="Cambria Math" w:cs="Times New Roman"/>
                <w:b w:val="0"/>
                <w:bCs/>
                <w:i/>
                <w:sz w:val="18"/>
                <w:szCs w:val="18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b w:val="0"/>
                    <w:bCs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 w:val="0"/>
                        <w:bCs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ref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I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b w:val="0"/>
                    <w:bCs/>
                    <w:i/>
                    <w:sz w:val="18"/>
                    <w:szCs w:val="1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S</m:t>
                </m:r>
              </m:e>
            </m:d>
            <m:sSubSup>
              <m:sSubSupPr>
                <m:ctrlPr>
                  <w:rPr>
                    <w:rFonts w:ascii="Cambria Math" w:hAnsi="Cambria Math" w:cs="Times New Roman"/>
                    <w:b w:val="0"/>
                    <w:bCs/>
                    <w:i/>
                    <w:sz w:val="18"/>
                    <w:szCs w:val="1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ref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th</m:t>
                </m:r>
              </m:sup>
            </m:sSubSup>
          </m:den>
        </m:f>
      </m:oMath>
      <w:r w:rsidR="00433D5C" w:rsidRPr="00BE3121">
        <w:rPr>
          <w:rFonts w:ascii="Times New Roman" w:eastAsiaTheme="minorEastAsia" w:hAnsi="Times New Roman" w:cs="Times New Roman"/>
          <w:b w:val="0"/>
          <w:bCs/>
          <w:sz w:val="18"/>
          <w:szCs w:val="18"/>
        </w:rPr>
        <w:t>,</w:t>
      </w:r>
      <w:r w:rsidR="00433D5C" w:rsidRPr="00433D5C">
        <w:rPr>
          <w:rFonts w:ascii="Times New Roman" w:eastAsiaTheme="minorEastAsia" w:hAnsi="Times New Roman" w:cs="Times New Roman"/>
          <w:b w:val="0"/>
          <w:bCs/>
          <w:sz w:val="18"/>
          <w:szCs w:val="18"/>
        </w:rPr>
        <w:tab/>
        <w:t>(1)</w:t>
      </w:r>
    </w:p>
    <w:p w:rsidR="00433D5C" w:rsidRDefault="00433D5C" w:rsidP="00BE3121">
      <w:pPr>
        <w:pStyle w:val="Header1"/>
        <w:tabs>
          <w:tab w:val="left" w:pos="4395"/>
        </w:tabs>
        <w:spacing w:before="120" w:after="0"/>
        <w:jc w:val="both"/>
        <w:rPr>
          <w:rFonts w:ascii="Times New Roman" w:eastAsiaTheme="minorEastAsia" w:hAnsi="Times New Roman" w:cs="Times New Roman"/>
          <w:b w:val="0"/>
          <w:bCs/>
          <w:sz w:val="18"/>
          <w:szCs w:val="18"/>
        </w:rPr>
      </w:pP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where </w:t>
      </w:r>
      <m:oMath>
        <m:r>
          <m:rPr>
            <m:sty m:val="bi"/>
          </m:rPr>
          <w:rPr>
            <w:rFonts w:ascii="Cambria Math" w:hAnsi="Cambria Math" w:cs="Times New Roman"/>
            <w:sz w:val="18"/>
            <w:szCs w:val="18"/>
          </w:rPr>
          <m:t>ε</m:t>
        </m:r>
      </m:oMath>
      <w:r w:rsidRPr="00433D5C">
        <w:rPr>
          <w:rFonts w:ascii="Times New Roman" w:eastAsiaTheme="minorEastAsia" w:hAnsi="Times New Roman" w:cs="Times New Roman"/>
          <w:b w:val="0"/>
          <w:bCs/>
          <w:sz w:val="18"/>
          <w:szCs w:val="18"/>
        </w:rPr>
        <w:t xml:space="preserve"> is the </w:t>
      </w:r>
      <w:r w:rsidRPr="00433D5C">
        <w:rPr>
          <w:rFonts w:ascii="Times New Roman" w:eastAsiaTheme="minorEastAsia" w:hAnsi="Times New Roman" w:cs="Times New Roman"/>
          <w:b w:val="0"/>
          <w:bCs/>
          <w:sz w:val="18"/>
          <w:szCs w:val="18"/>
          <w:vertAlign w:val="superscript"/>
        </w:rPr>
        <w:t>15</w:t>
      </w:r>
      <w:r w:rsidRPr="00433D5C">
        <w:rPr>
          <w:rFonts w:ascii="Times New Roman" w:eastAsiaTheme="minorEastAsia" w:hAnsi="Times New Roman" w:cs="Times New Roman"/>
          <w:b w:val="0"/>
          <w:bCs/>
          <w:sz w:val="18"/>
          <w:szCs w:val="18"/>
        </w:rPr>
        <w:t>N signal enhancement,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18"/>
            <w:szCs w:val="18"/>
          </w:rPr>
          <m:t>I</m:t>
        </m:r>
      </m:oMath>
      <w:r w:rsidRPr="00433D5C">
        <w:rPr>
          <w:rFonts w:ascii="Times New Roman" w:eastAsiaTheme="minorEastAsia" w:hAnsi="Times New Roman" w:cs="Times New Roman"/>
          <w:b w:val="0"/>
          <w:bCs/>
          <w:sz w:val="18"/>
          <w:szCs w:val="18"/>
        </w:rPr>
        <w:t xml:space="preserve"> is the integral intensity of the hyperpolarized </w:t>
      </w:r>
      <w:r w:rsidRPr="00433D5C">
        <w:rPr>
          <w:rFonts w:ascii="Times New Roman" w:eastAsiaTheme="minorEastAsia" w:hAnsi="Times New Roman" w:cs="Times New Roman"/>
          <w:b w:val="0"/>
          <w:bCs/>
          <w:sz w:val="18"/>
          <w:szCs w:val="18"/>
          <w:vertAlign w:val="superscript"/>
        </w:rPr>
        <w:t>15</w:t>
      </w:r>
      <w:r w:rsidRPr="00433D5C">
        <w:rPr>
          <w:rFonts w:ascii="Times New Roman" w:eastAsiaTheme="minorEastAsia" w:hAnsi="Times New Roman" w:cs="Times New Roman"/>
          <w:b w:val="0"/>
          <w:bCs/>
          <w:sz w:val="18"/>
          <w:szCs w:val="18"/>
        </w:rPr>
        <w:t xml:space="preserve">N NMR signal,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 w:val="0"/>
                <w:bCs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S</m:t>
            </m:r>
          </m:e>
        </m:d>
      </m:oMath>
      <w:r w:rsidRPr="00433D5C">
        <w:rPr>
          <w:rFonts w:ascii="Times New Roman" w:eastAsiaTheme="minorEastAsia" w:hAnsi="Times New Roman" w:cs="Times New Roman"/>
          <w:b w:val="0"/>
          <w:bCs/>
          <w:sz w:val="18"/>
          <w:szCs w:val="18"/>
        </w:rPr>
        <w:t xml:space="preserve"> is a concentration of the </w:t>
      </w:r>
      <w:r w:rsidRPr="00433D5C">
        <w:rPr>
          <w:rFonts w:ascii="Times New Roman" w:eastAsiaTheme="minorEastAsia" w:hAnsi="Times New Roman" w:cs="Times New Roman"/>
          <w:b w:val="0"/>
          <w:bCs/>
          <w:sz w:val="18"/>
          <w:szCs w:val="18"/>
          <w:vertAlign w:val="superscript"/>
        </w:rPr>
        <w:t>15</w:t>
      </w:r>
      <w:r w:rsidRPr="00433D5C">
        <w:rPr>
          <w:rFonts w:ascii="Times New Roman" w:eastAsiaTheme="minorEastAsia" w:hAnsi="Times New Roman" w:cs="Times New Roman"/>
          <w:b w:val="0"/>
          <w:bCs/>
          <w:sz w:val="18"/>
          <w:szCs w:val="18"/>
        </w:rPr>
        <w:t>N substrate to-be-polarized</w:t>
      </w:r>
      <w:r w:rsidR="004008F6">
        <w:rPr>
          <w:rFonts w:ascii="Times New Roman" w:eastAsiaTheme="minorEastAsia" w:hAnsi="Times New Roman" w:cs="Times New Roman"/>
          <w:b w:val="0"/>
          <w:bCs/>
          <w:sz w:val="18"/>
          <w:szCs w:val="18"/>
        </w:rPr>
        <w:t>,</w:t>
      </w:r>
      <w:r w:rsidRPr="00433D5C">
        <w:rPr>
          <w:rFonts w:ascii="Times New Roman" w:eastAsiaTheme="minorEastAsia" w:hAnsi="Times New Roman" w:cs="Times New Roman"/>
          <w:b w:val="0"/>
          <w:bCs/>
          <w:sz w:val="18"/>
          <w:szCs w:val="1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b w:val="0"/>
                <w:bCs/>
                <w:i/>
                <w:sz w:val="18"/>
                <w:szCs w:val="1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ref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18"/>
                <w:szCs w:val="18"/>
              </w:rPr>
              <m:t>th</m:t>
            </m:r>
          </m:sup>
        </m:sSubSup>
      </m:oMath>
      <w:r w:rsidRPr="00433D5C">
        <w:rPr>
          <w:rFonts w:ascii="Times New Roman" w:eastAsiaTheme="minorEastAsia" w:hAnsi="Times New Roman" w:cs="Times New Roman"/>
          <w:b w:val="0"/>
          <w:bCs/>
          <w:sz w:val="18"/>
          <w:szCs w:val="18"/>
        </w:rPr>
        <w:t xml:space="preserve"> is the integral intensity of the </w:t>
      </w:r>
      <w:r w:rsidRPr="00433D5C">
        <w:rPr>
          <w:rFonts w:ascii="Times New Roman" w:eastAsiaTheme="minorEastAsia" w:hAnsi="Times New Roman" w:cs="Times New Roman"/>
          <w:b w:val="0"/>
          <w:bCs/>
          <w:sz w:val="18"/>
          <w:szCs w:val="18"/>
          <w:vertAlign w:val="superscript"/>
        </w:rPr>
        <w:t>15</w:t>
      </w:r>
      <w:r w:rsidRPr="00433D5C">
        <w:rPr>
          <w:rFonts w:ascii="Times New Roman" w:eastAsiaTheme="minorEastAsia" w:hAnsi="Times New Roman" w:cs="Times New Roman"/>
          <w:b w:val="0"/>
          <w:bCs/>
          <w:sz w:val="18"/>
          <w:szCs w:val="18"/>
        </w:rPr>
        <w:t xml:space="preserve">N NMR signal of the thermal reference,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 w:val="0"/>
                <w:bCs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 w:val="0"/>
                    <w:bCs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ref</m:t>
                </m:r>
              </m:sub>
            </m:sSub>
          </m:e>
        </m:d>
      </m:oMath>
      <w:r w:rsidRPr="00433D5C">
        <w:rPr>
          <w:rFonts w:ascii="Times New Roman" w:eastAsiaTheme="minorEastAsia" w:hAnsi="Times New Roman" w:cs="Times New Roman"/>
          <w:b w:val="0"/>
          <w:bCs/>
          <w:sz w:val="18"/>
          <w:szCs w:val="18"/>
        </w:rPr>
        <w:t xml:space="preserve"> is </w:t>
      </w:r>
      <w:r w:rsidR="0040603D">
        <w:rPr>
          <w:rFonts w:ascii="Times New Roman" w:eastAsiaTheme="minorEastAsia" w:hAnsi="Times New Roman" w:cs="Times New Roman"/>
          <w:b w:val="0"/>
          <w:bCs/>
          <w:sz w:val="18"/>
          <w:szCs w:val="18"/>
        </w:rPr>
        <w:t>the</w:t>
      </w:r>
      <w:r w:rsidRPr="00433D5C">
        <w:rPr>
          <w:rFonts w:ascii="Times New Roman" w:eastAsiaTheme="minorEastAsia" w:hAnsi="Times New Roman" w:cs="Times New Roman"/>
          <w:b w:val="0"/>
          <w:bCs/>
          <w:sz w:val="18"/>
          <w:szCs w:val="18"/>
        </w:rPr>
        <w:t xml:space="preserve"> concentration of the </w:t>
      </w:r>
      <w:r w:rsidRPr="00433D5C">
        <w:rPr>
          <w:rFonts w:ascii="Times New Roman" w:eastAsiaTheme="minorEastAsia" w:hAnsi="Times New Roman" w:cs="Times New Roman"/>
          <w:b w:val="0"/>
          <w:bCs/>
          <w:sz w:val="18"/>
          <w:szCs w:val="18"/>
          <w:vertAlign w:val="superscript"/>
        </w:rPr>
        <w:t>15</w:t>
      </w:r>
      <w:r w:rsidRPr="00433D5C">
        <w:rPr>
          <w:rFonts w:ascii="Times New Roman" w:eastAsiaTheme="minorEastAsia" w:hAnsi="Times New Roman" w:cs="Times New Roman"/>
          <w:b w:val="0"/>
          <w:bCs/>
          <w:sz w:val="18"/>
          <w:szCs w:val="18"/>
        </w:rPr>
        <w:t>N substrate in the thermal reference sample.</w:t>
      </w:r>
    </w:p>
    <w:p w:rsidR="004008F6" w:rsidRDefault="004008F6" w:rsidP="004008F6">
      <w:pPr>
        <w:pStyle w:val="Header1"/>
        <w:spacing w:before="240" w:after="240"/>
      </w:pPr>
      <w:r w:rsidRPr="00B163BD">
        <w:rPr>
          <w:highlight w:val="green"/>
        </w:rPr>
        <w:t>Results and discussion</w:t>
      </w:r>
    </w:p>
    <w:p w:rsidR="00433D5C" w:rsidRDefault="00433D5C" w:rsidP="00433D5C">
      <w:pPr>
        <w:pStyle w:val="Header1"/>
        <w:tabs>
          <w:tab w:val="left" w:pos="4395"/>
        </w:tabs>
        <w:spacing w:before="0" w:after="0"/>
        <w:ind w:firstLine="284"/>
        <w:jc w:val="both"/>
        <w:rPr>
          <w:rFonts w:ascii="Times New Roman" w:hAnsi="Times New Roman" w:cs="Times New Roman"/>
          <w:b w:val="0"/>
          <w:bCs/>
          <w:sz w:val="18"/>
          <w:szCs w:val="18"/>
        </w:rPr>
      </w:pP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The first step of our experiments </w:t>
      </w:r>
      <w:r w:rsidR="0044504A">
        <w:rPr>
          <w:rFonts w:ascii="Times New Roman" w:hAnsi="Times New Roman" w:cs="Times New Roman"/>
          <w:b w:val="0"/>
          <w:bCs/>
          <w:sz w:val="18"/>
          <w:szCs w:val="18"/>
        </w:rPr>
        <w:t>wa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s </w:t>
      </w:r>
      <w:r w:rsidR="0044504A">
        <w:rPr>
          <w:rFonts w:ascii="Times New Roman" w:hAnsi="Times New Roman" w:cs="Times New Roman"/>
          <w:b w:val="0"/>
          <w:bCs/>
          <w:sz w:val="18"/>
          <w:szCs w:val="18"/>
        </w:rPr>
        <w:t xml:space="preserve">the 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precatalyst activation </w:t>
      </w:r>
      <w:r w:rsidR="005D16D8">
        <w:rPr>
          <w:rFonts w:ascii="Times New Roman" w:hAnsi="Times New Roman" w:cs="Times New Roman"/>
          <w:b w:val="0"/>
          <w:bCs/>
          <w:sz w:val="18"/>
          <w:szCs w:val="18"/>
        </w:rPr>
        <w:t>[14]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>. It consist</w:t>
      </w:r>
      <w:r w:rsidR="005D16D8">
        <w:rPr>
          <w:rFonts w:ascii="Times New Roman" w:hAnsi="Times New Roman" w:cs="Times New Roman"/>
          <w:b w:val="0"/>
          <w:bCs/>
          <w:sz w:val="18"/>
          <w:szCs w:val="18"/>
        </w:rPr>
        <w:t>ed in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 bubbling the sample containing the precatalyst with parahydrogen. During this process, an active polarization transfer complex </w:t>
      </w:r>
      <w:r w:rsidR="005D16D8">
        <w:rPr>
          <w:rFonts w:ascii="Times New Roman" w:hAnsi="Times New Roman" w:cs="Times New Roman"/>
          <w:b w:val="0"/>
          <w:bCs/>
          <w:sz w:val="18"/>
          <w:szCs w:val="18"/>
        </w:rPr>
        <w:t>wa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>s formed from [</w:t>
      </w:r>
      <w:proofErr w:type="spellStart"/>
      <w:proofErr w:type="gramStart"/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>IrCl</w:t>
      </w:r>
      <w:proofErr w:type="spellEnd"/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>(</w:t>
      </w:r>
      <w:proofErr w:type="gramEnd"/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>COD)(</w:t>
      </w:r>
      <w:proofErr w:type="spellStart"/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>IMes</w:t>
      </w:r>
      <w:proofErr w:type="spellEnd"/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)], which </w:t>
      </w:r>
      <w:r w:rsidR="005D16D8">
        <w:rPr>
          <w:rFonts w:ascii="Times New Roman" w:hAnsi="Times New Roman" w:cs="Times New Roman"/>
          <w:b w:val="0"/>
          <w:bCs/>
          <w:sz w:val="18"/>
          <w:szCs w:val="18"/>
        </w:rPr>
        <w:t xml:space="preserve">was manifested in the appearance 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of signals in the hydride region of the 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  <w:vertAlign w:val="superscript"/>
        </w:rPr>
        <w:t>1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>H NMR spectrum. After this, the high-field SABRE pulse sequences can be applied to hyperpolarize the nuclear spins</w:t>
      </w:r>
      <w:r w:rsidR="005D16D8">
        <w:rPr>
          <w:rFonts w:ascii="Times New Roman" w:hAnsi="Times New Roman" w:cs="Times New Roman"/>
          <w:b w:val="0"/>
          <w:bCs/>
          <w:sz w:val="18"/>
          <w:szCs w:val="18"/>
        </w:rPr>
        <w:t xml:space="preserve"> (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>see Fig</w:t>
      </w:r>
      <w:r w:rsidR="005D16D8">
        <w:rPr>
          <w:rFonts w:ascii="Times New Roman" w:hAnsi="Times New Roman" w:cs="Times New Roman"/>
          <w:b w:val="0"/>
          <w:bCs/>
          <w:sz w:val="18"/>
          <w:szCs w:val="18"/>
        </w:rPr>
        <w:t xml:space="preserve">. 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>1b</w:t>
      </w:r>
      <w:r w:rsidR="005D16D8">
        <w:rPr>
          <w:rFonts w:ascii="Times New Roman" w:hAnsi="Times New Roman" w:cs="Times New Roman"/>
          <w:b w:val="0"/>
          <w:bCs/>
          <w:sz w:val="18"/>
          <w:szCs w:val="18"/>
        </w:rPr>
        <w:t>)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>. The protocol of the experiments consist</w:t>
      </w:r>
      <w:r w:rsidR="005D16D8">
        <w:rPr>
          <w:rFonts w:ascii="Times New Roman" w:hAnsi="Times New Roman" w:cs="Times New Roman"/>
          <w:b w:val="0"/>
          <w:bCs/>
          <w:sz w:val="18"/>
          <w:szCs w:val="18"/>
        </w:rPr>
        <w:t>ed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 of </w:t>
      </w:r>
      <w:r w:rsidR="005D16D8">
        <w:rPr>
          <w:rFonts w:ascii="Times New Roman" w:hAnsi="Times New Roman" w:cs="Times New Roman"/>
          <w:b w:val="0"/>
          <w:bCs/>
          <w:sz w:val="18"/>
          <w:szCs w:val="18"/>
        </w:rPr>
        <w:t xml:space="preserve">the 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polarization transfer cycles from parahydrogen to the substrate repeated consequently </w:t>
      </w:r>
      <w:r w:rsidRPr="004008F6">
        <w:rPr>
          <w:rFonts w:ascii="Times New Roman" w:hAnsi="Times New Roman" w:cs="Times New Roman"/>
          <w:b w:val="0"/>
          <w:bCs/>
          <w:i/>
          <w:sz w:val="18"/>
          <w:szCs w:val="18"/>
        </w:rPr>
        <w:t>n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 times (in our experiments </w:t>
      </w:r>
      <w:r w:rsidRPr="004008F6">
        <w:rPr>
          <w:rFonts w:ascii="Times New Roman" w:hAnsi="Times New Roman" w:cs="Times New Roman"/>
          <w:b w:val="0"/>
          <w:bCs/>
          <w:i/>
          <w:sz w:val="18"/>
          <w:szCs w:val="18"/>
        </w:rPr>
        <w:t>n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 = 30). Each cycle consis</w:t>
      </w:r>
      <w:r w:rsidR="005D16D8">
        <w:rPr>
          <w:rFonts w:ascii="Times New Roman" w:hAnsi="Times New Roman" w:cs="Times New Roman"/>
          <w:b w:val="0"/>
          <w:bCs/>
          <w:sz w:val="18"/>
          <w:szCs w:val="18"/>
        </w:rPr>
        <w:t>ts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 of fast bubbling the sample with parahydrogen (within 0.5 s) followed by a time delay introduced to remove the bubbles from the sample (0.5 s), and RF excitation of the nuclear spins aimed </w:t>
      </w:r>
      <w:r w:rsidR="005D16D8">
        <w:rPr>
          <w:rFonts w:ascii="Times New Roman" w:hAnsi="Times New Roman" w:cs="Times New Roman"/>
          <w:b w:val="0"/>
          <w:bCs/>
          <w:sz w:val="18"/>
          <w:szCs w:val="18"/>
        </w:rPr>
        <w:t>at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 induc</w:t>
      </w:r>
      <w:r w:rsidR="005D16D8">
        <w:rPr>
          <w:rFonts w:ascii="Times New Roman" w:hAnsi="Times New Roman" w:cs="Times New Roman"/>
          <w:b w:val="0"/>
          <w:bCs/>
          <w:sz w:val="18"/>
          <w:szCs w:val="18"/>
        </w:rPr>
        <w:t>ing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 the longitudinal component of the 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  <w:vertAlign w:val="superscript"/>
        </w:rPr>
        <w:t>15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>N polarization. This method of bubbling in a burst mode, on the one hand, allows</w:t>
      </w:r>
      <w:r w:rsidR="005D16D8">
        <w:rPr>
          <w:rFonts w:ascii="Times New Roman" w:hAnsi="Times New Roman" w:cs="Times New Roman"/>
          <w:b w:val="0"/>
          <w:bCs/>
          <w:sz w:val="18"/>
          <w:szCs w:val="18"/>
        </w:rPr>
        <w:t xml:space="preserve"> for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 saturating the solution with fresh parahydrogen. On the other hand, it allows applying RF pulses in conditions of high magnetic field homogeneity. The 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  <w:vertAlign w:val="superscript"/>
        </w:rPr>
        <w:t>15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N polarization of the substrate is generated in the SABRE complex and then transferred to the free substrate in bulk </w:t>
      </w:r>
      <w:r w:rsidRPr="005D16D8">
        <w:rPr>
          <w:rFonts w:ascii="Times New Roman" w:hAnsi="Times New Roman" w:cs="Times New Roman"/>
          <w:b w:val="0"/>
          <w:bCs/>
          <w:i/>
          <w:iCs/>
          <w:sz w:val="18"/>
          <w:szCs w:val="18"/>
        </w:rPr>
        <w:t>via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 </w:t>
      </w:r>
      <w:r w:rsidR="005D16D8">
        <w:rPr>
          <w:rFonts w:ascii="Times New Roman" w:hAnsi="Times New Roman" w:cs="Times New Roman"/>
          <w:b w:val="0"/>
          <w:bCs/>
          <w:sz w:val="18"/>
          <w:szCs w:val="18"/>
        </w:rPr>
        <w:t xml:space="preserve">the 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reversible chemical exchange. As the final step, the non-equilibrium longitudinal component of the substrate magnetization </w:t>
      </w:r>
      <w:r w:rsidR="005D16D8">
        <w:rPr>
          <w:rFonts w:ascii="Times New Roman" w:hAnsi="Times New Roman" w:cs="Times New Roman"/>
          <w:b w:val="0"/>
          <w:bCs/>
          <w:sz w:val="18"/>
          <w:szCs w:val="18"/>
        </w:rPr>
        <w:t>wa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s detected by 90-pulse followed by the </w:t>
      </w:r>
      <w:r w:rsidR="005D16D8">
        <w:rPr>
          <w:rFonts w:ascii="Times New Roman" w:hAnsi="Times New Roman" w:cs="Times New Roman"/>
          <w:b w:val="0"/>
          <w:bCs/>
          <w:sz w:val="18"/>
          <w:szCs w:val="18"/>
        </w:rPr>
        <w:t>f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ree </w:t>
      </w:r>
      <w:r w:rsidR="005D16D8">
        <w:rPr>
          <w:rFonts w:ascii="Times New Roman" w:hAnsi="Times New Roman" w:cs="Times New Roman"/>
          <w:b w:val="0"/>
          <w:bCs/>
          <w:sz w:val="18"/>
          <w:szCs w:val="18"/>
        </w:rPr>
        <w:t>i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nduction </w:t>
      </w:r>
      <w:r w:rsidR="005D16D8">
        <w:rPr>
          <w:rFonts w:ascii="Times New Roman" w:hAnsi="Times New Roman" w:cs="Times New Roman"/>
          <w:b w:val="0"/>
          <w:bCs/>
          <w:sz w:val="18"/>
          <w:szCs w:val="18"/>
        </w:rPr>
        <w:t>d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ecay (FID) recording. The optimal choice of the RF excitation scheme is the most important for the hyperpolarization. Thus, SABRE-INEPT pulse sequence generates 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  <w:vertAlign w:val="superscript"/>
        </w:rPr>
        <w:t>15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N magnetization of the substrate </w:t>
      </w:r>
      <w:r w:rsidRPr="004008F6">
        <w:rPr>
          <w:rFonts w:ascii="Times New Roman" w:hAnsi="Times New Roman" w:cs="Times New Roman"/>
          <w:b w:val="0"/>
          <w:bCs/>
          <w:i/>
          <w:sz w:val="18"/>
          <w:szCs w:val="18"/>
        </w:rPr>
        <w:t>via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 a certain combination of the 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  <w:vertAlign w:val="superscript"/>
        </w:rPr>
        <w:t>1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H and 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  <w:vertAlign w:val="superscript"/>
        </w:rPr>
        <w:t>15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>N RF pulses separated by the time delays: τ and τ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  <w:vertAlign w:val="subscript"/>
        </w:rPr>
        <w:t>1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. For the 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  <w:vertAlign w:val="superscript"/>
        </w:rPr>
        <w:t>15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>N polarization transfer, τ and τ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  <w:vertAlign w:val="subscript"/>
        </w:rPr>
        <w:t xml:space="preserve">1 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>have to be correctly adjusted (we used τ = 8.5 ms and τ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  <w:vertAlign w:val="subscript"/>
        </w:rPr>
        <w:t>1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 = 10 ms). In turn, DRF-SABRE is based on </w:t>
      </w:r>
      <w:r w:rsidR="005D16D8">
        <w:rPr>
          <w:rFonts w:ascii="Times New Roman" w:hAnsi="Times New Roman" w:cs="Times New Roman"/>
          <w:b w:val="0"/>
          <w:bCs/>
          <w:sz w:val="18"/>
          <w:szCs w:val="18"/>
        </w:rPr>
        <w:t xml:space="preserve">the 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selective RF excitation of the complex-bound nuclei with weak continuous-wave (CW) 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  <w:vertAlign w:val="superscript"/>
        </w:rPr>
        <w:t>1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H and 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  <w:vertAlign w:val="superscript"/>
        </w:rPr>
        <w:t>15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N fields (we used the CW field amplitudes of 8 Hz). The 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  <w:vertAlign w:val="superscript"/>
        </w:rPr>
        <w:t>1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H CW field selectively excites the hydride proton in its trans-position with respect to the complex-bound substrate, where the strongest </w:t>
      </w:r>
      <w:r w:rsidRPr="004008F6">
        <w:rPr>
          <w:rFonts w:ascii="Times New Roman" w:hAnsi="Times New Roman" w:cs="Times New Roman"/>
          <w:b w:val="0"/>
          <w:bCs/>
          <w:i/>
          <w:sz w:val="18"/>
          <w:szCs w:val="18"/>
        </w:rPr>
        <w:t>J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>-coupling is present</w:t>
      </w:r>
      <w:r w:rsidR="00F74AD8">
        <w:rPr>
          <w:rFonts w:ascii="Times New Roman" w:hAnsi="Times New Roman" w:cs="Times New Roman"/>
          <w:b w:val="0"/>
          <w:bCs/>
          <w:sz w:val="18"/>
          <w:szCs w:val="18"/>
        </w:rPr>
        <w:t xml:space="preserve"> (se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>e Fig</w:t>
      </w:r>
      <w:r w:rsidR="00F74AD8">
        <w:rPr>
          <w:rFonts w:ascii="Times New Roman" w:hAnsi="Times New Roman" w:cs="Times New Roman"/>
          <w:b w:val="0"/>
          <w:bCs/>
          <w:sz w:val="18"/>
          <w:szCs w:val="18"/>
        </w:rPr>
        <w:t>.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 1a</w:t>
      </w:r>
      <w:r w:rsidR="00F74AD8">
        <w:rPr>
          <w:rFonts w:ascii="Times New Roman" w:hAnsi="Times New Roman" w:cs="Times New Roman"/>
          <w:b w:val="0"/>
          <w:bCs/>
          <w:sz w:val="18"/>
          <w:szCs w:val="18"/>
        </w:rPr>
        <w:t>)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. For efficient DRF-SABRE </w:t>
      </w:r>
      <w:proofErr w:type="gramStart"/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>performance, the frequencies of the CW fields have</w:t>
      </w:r>
      <w:proofErr w:type="gramEnd"/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 to be accurately optimized (we used 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  <w:vertAlign w:val="superscript"/>
        </w:rPr>
        <w:t>1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H CW with </w:t>
      </w:r>
      <w:r w:rsidR="004008F6">
        <w:rPr>
          <w:rFonts w:ascii="Times New Roman" w:hAnsi="Times New Roman" w:cs="Times New Roman"/>
          <w:b w:val="0"/>
          <w:bCs/>
          <w:sz w:val="18"/>
          <w:szCs w:val="18"/>
        </w:rPr>
        <w:t>–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23.72 </w:t>
      </w:r>
      <w:proofErr w:type="spellStart"/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>ppm</w:t>
      </w:r>
      <w:proofErr w:type="spellEnd"/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 and 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  <w:vertAlign w:val="superscript"/>
        </w:rPr>
        <w:t>15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N CW with 241.87 </w:t>
      </w:r>
      <w:proofErr w:type="spellStart"/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>ppm</w:t>
      </w:r>
      <w:proofErr w:type="spellEnd"/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 frequencies).</w:t>
      </w:r>
    </w:p>
    <w:p w:rsidR="00433D5C" w:rsidRPr="00433D5C" w:rsidRDefault="00433D5C" w:rsidP="00433D5C">
      <w:pPr>
        <w:pStyle w:val="Header1"/>
        <w:tabs>
          <w:tab w:val="left" w:pos="4395"/>
        </w:tabs>
        <w:spacing w:before="0" w:after="240"/>
        <w:ind w:firstLine="284"/>
        <w:jc w:val="both"/>
        <w:rPr>
          <w:rFonts w:ascii="Times New Roman" w:hAnsi="Times New Roman" w:cs="Times New Roman"/>
          <w:b w:val="0"/>
          <w:bCs/>
          <w:sz w:val="18"/>
          <w:szCs w:val="18"/>
        </w:rPr>
      </w:pP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Figure 2 demonstrates the single-scan 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  <w:vertAlign w:val="superscript"/>
        </w:rPr>
        <w:t>15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>N (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  <w:vertAlign w:val="superscript"/>
        </w:rPr>
        <w:t>1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H decoupled) NMR spectra of 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  <w:vertAlign w:val="superscript"/>
        </w:rPr>
        <w:t>15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N-SDAP hyperpolarized by the in-magnet SABRE pulse-sequences: </w:t>
      </w:r>
      <w:r w:rsidR="009B3388">
        <w:rPr>
          <w:rFonts w:ascii="Times New Roman" w:hAnsi="Times New Roman" w:cs="Times New Roman"/>
          <w:b w:val="0"/>
          <w:bCs/>
          <w:sz w:val="18"/>
          <w:szCs w:val="18"/>
        </w:rPr>
        <w:t>(</w:t>
      </w:r>
      <w:r w:rsidRPr="009B3388">
        <w:rPr>
          <w:rFonts w:ascii="Times New Roman" w:hAnsi="Times New Roman" w:cs="Times New Roman"/>
          <w:i/>
          <w:iCs/>
          <w:sz w:val="18"/>
          <w:szCs w:val="18"/>
        </w:rPr>
        <w:t>a</w:t>
      </w:r>
      <w:r w:rsidRPr="009B3388">
        <w:rPr>
          <w:rFonts w:ascii="Times New Roman" w:hAnsi="Times New Roman" w:cs="Times New Roman"/>
          <w:b w:val="0"/>
          <w:bCs/>
          <w:sz w:val="18"/>
          <w:szCs w:val="18"/>
        </w:rPr>
        <w:t>)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 SABRE-INEPT</w:t>
      </w:r>
      <w:r w:rsidR="009B3388">
        <w:rPr>
          <w:rFonts w:ascii="Times New Roman" w:hAnsi="Times New Roman" w:cs="Times New Roman"/>
          <w:b w:val="0"/>
          <w:bCs/>
          <w:sz w:val="18"/>
          <w:szCs w:val="18"/>
        </w:rPr>
        <w:t>, (</w:t>
      </w:r>
      <w:r w:rsidRPr="009B3388">
        <w:rPr>
          <w:rFonts w:ascii="Times New Roman" w:hAnsi="Times New Roman" w:cs="Times New Roman"/>
          <w:i/>
          <w:iCs/>
          <w:sz w:val="18"/>
          <w:szCs w:val="18"/>
        </w:rPr>
        <w:t>b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) DRF-SABRE. Figure 2c demonstrates the thermal signal of the reference sample, 500 mM of 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  <w:vertAlign w:val="superscript"/>
        </w:rPr>
        <w:t>15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N-labelled pyridine. Enhancements, </w:t>
      </w:r>
      <m:oMath>
        <m:r>
          <m:rPr>
            <m:sty m:val="bi"/>
          </m:rPr>
          <w:rPr>
            <w:rFonts w:ascii="Cambria Math" w:hAnsi="Cambria Math" w:cs="Times New Roman"/>
            <w:sz w:val="18"/>
            <w:szCs w:val="18"/>
          </w:rPr>
          <m:t>ε</m:t>
        </m:r>
      </m:oMath>
      <w:r w:rsidRPr="00433D5C">
        <w:rPr>
          <w:rFonts w:ascii="Times New Roman" w:eastAsiaTheme="minorEastAsia" w:hAnsi="Times New Roman" w:cs="Times New Roman"/>
          <w:b w:val="0"/>
          <w:bCs/>
          <w:sz w:val="18"/>
          <w:szCs w:val="18"/>
        </w:rPr>
        <w:t>,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 of the hyperpolarized 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  <w:vertAlign w:val="superscript"/>
        </w:rPr>
        <w:t>15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N NMR signals relative to the thermal reference signal were calculated using </w:t>
      </w:r>
      <w:r w:rsidR="009B3388">
        <w:rPr>
          <w:rFonts w:ascii="Times New Roman" w:hAnsi="Times New Roman" w:cs="Times New Roman"/>
          <w:b w:val="0"/>
          <w:bCs/>
          <w:sz w:val="18"/>
          <w:szCs w:val="18"/>
        </w:rPr>
        <w:t>equation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 1 and are demonstrated in each subplot. It should be noted that hyperpolarized 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  <w:vertAlign w:val="superscript"/>
        </w:rPr>
        <w:t>77</w:t>
      </w:r>
      <w:r w:rsidR="004008F6">
        <w:rPr>
          <w:rFonts w:ascii="Times New Roman" w:hAnsi="Times New Roman" w:cs="Times New Roman"/>
          <w:b w:val="0"/>
          <w:bCs/>
          <w:sz w:val="18"/>
          <w:szCs w:val="18"/>
        </w:rPr>
        <w:t>Se satellites (7.6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% of the natural abundance) 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lastRenderedPageBreak/>
        <w:t xml:space="preserve">with the splitting of 87 Hz are also observed in the 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  <w:vertAlign w:val="superscript"/>
        </w:rPr>
        <w:t>15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N spectra. It is noteworthy that that DRF-SABRE </w:t>
      </w:r>
      <w:r w:rsidRPr="009B3388">
        <w:rPr>
          <w:rFonts w:ascii="Times New Roman" w:hAnsi="Times New Roman" w:cs="Times New Roman"/>
          <w:b w:val="0"/>
          <w:bCs/>
          <w:sz w:val="18"/>
          <w:szCs w:val="18"/>
        </w:rPr>
        <w:t>(</w:t>
      </w:r>
      <m:oMath>
        <m:r>
          <m:rPr>
            <m:sty m:val="bi"/>
          </m:rPr>
          <w:rPr>
            <w:rFonts w:ascii="Cambria Math" w:hAnsi="Cambria Math" w:cs="Times New Roman"/>
            <w:sz w:val="18"/>
            <w:szCs w:val="18"/>
          </w:rPr>
          <m:t>ε=-1400</m:t>
        </m:r>
      </m:oMath>
      <w:r w:rsidRPr="009B3388">
        <w:rPr>
          <w:rFonts w:ascii="Times New Roman" w:hAnsi="Times New Roman" w:cs="Times New Roman"/>
          <w:b w:val="0"/>
          <w:bCs/>
          <w:sz w:val="18"/>
          <w:szCs w:val="18"/>
        </w:rPr>
        <w:t>)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 is 4.7 </w:t>
      </w:r>
      <w:r w:rsidR="004008F6">
        <w:rPr>
          <w:rFonts w:ascii="Times New Roman" w:hAnsi="Times New Roman" w:cs="Times New Roman"/>
          <w:b w:val="0"/>
          <w:bCs/>
          <w:sz w:val="18"/>
          <w:szCs w:val="18"/>
        </w:rPr>
        <w:t xml:space="preserve">times 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>more efficient than SABRE-INEPT (</w:t>
      </w:r>
      <m:oMath>
        <m:r>
          <m:rPr>
            <m:sty m:val="bi"/>
          </m:rPr>
          <w:rPr>
            <w:rFonts w:ascii="Cambria Math" w:hAnsi="Cambria Math" w:cs="Times New Roman"/>
            <w:sz w:val="18"/>
            <w:szCs w:val="18"/>
          </w:rPr>
          <m:t>ε=-300</m:t>
        </m:r>
      </m:oMath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) for the 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  <w:vertAlign w:val="superscript"/>
        </w:rPr>
        <w:t>15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N hyperpolarization of 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  <w:vertAlign w:val="superscript"/>
        </w:rPr>
        <w:t>15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N-SDAP and 2.5 </w:t>
      </w:r>
      <w:r w:rsidR="004008F6">
        <w:rPr>
          <w:rFonts w:ascii="Times New Roman" w:hAnsi="Times New Roman" w:cs="Times New Roman"/>
          <w:b w:val="0"/>
          <w:bCs/>
          <w:sz w:val="18"/>
          <w:szCs w:val="18"/>
        </w:rPr>
        <w:t xml:space="preserve">times 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more efficient for the 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  <w:vertAlign w:val="superscript"/>
        </w:rPr>
        <w:t>15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N hyperpolarization of its 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  <w:vertAlign w:val="superscript"/>
        </w:rPr>
        <w:t>77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>Se satellites (</w:t>
      </w:r>
      <m:oMath>
        <m:r>
          <m:rPr>
            <m:sty m:val="bi"/>
          </m:rPr>
          <w:rPr>
            <w:rFonts w:ascii="Cambria Math" w:hAnsi="Cambria Math" w:cs="Times New Roman"/>
            <w:sz w:val="18"/>
            <w:szCs w:val="18"/>
          </w:rPr>
          <m:t>ε=290</m:t>
        </m:r>
      </m:oMath>
      <w:r w:rsidRPr="00433D5C">
        <w:rPr>
          <w:rFonts w:ascii="Times New Roman" w:eastAsiaTheme="minorEastAsia" w:hAnsi="Times New Roman" w:cs="Times New Roman"/>
          <w:b w:val="0"/>
          <w:bCs/>
          <w:sz w:val="18"/>
          <w:szCs w:val="18"/>
        </w:rPr>
        <w:t xml:space="preserve"> and </w:t>
      </w:r>
      <m:oMath>
        <m:r>
          <m:rPr>
            <m:sty m:val="bi"/>
          </m:rPr>
          <w:rPr>
            <w:rFonts w:ascii="Cambria Math" w:hAnsi="Cambria Math" w:cs="Times New Roman"/>
            <w:sz w:val="18"/>
            <w:szCs w:val="18"/>
          </w:rPr>
          <m:t>ε=-115</m:t>
        </m:r>
      </m:oMath>
      <w:r w:rsidRPr="00433D5C">
        <w:rPr>
          <w:rFonts w:ascii="Times New Roman" w:eastAsiaTheme="minorEastAsia" w:hAnsi="Times New Roman" w:cs="Times New Roman"/>
          <w:b w:val="0"/>
          <w:bCs/>
          <w:sz w:val="18"/>
          <w:szCs w:val="18"/>
        </w:rPr>
        <w:t xml:space="preserve"> for DRF-SABRE and SABRE-INEPT respectively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>).</w:t>
      </w:r>
    </w:p>
    <w:p w:rsidR="00433D5C" w:rsidRPr="001812AA" w:rsidRDefault="00433D5C" w:rsidP="00433D5C">
      <w:pPr>
        <w:pStyle w:val="Header1"/>
        <w:widowControl w:val="0"/>
        <w:spacing w:after="120"/>
        <w:jc w:val="center"/>
        <w:rPr>
          <w:rFonts w:ascii="Times New Roman" w:hAnsi="Times New Roman" w:cs="Times New Roman"/>
          <w:sz w:val="18"/>
          <w:szCs w:val="18"/>
        </w:rPr>
      </w:pPr>
      <w:r w:rsidRPr="00433D5C">
        <w:rPr>
          <w:noProof/>
          <w:lang w:val="ru-RU" w:eastAsia="ru-RU"/>
        </w:rPr>
        <w:drawing>
          <wp:inline distT="0" distB="0" distL="0" distR="0">
            <wp:extent cx="1851660" cy="2257914"/>
            <wp:effectExtent l="0" t="0" r="0" b="9525"/>
            <wp:docPr id="32611185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111853" name="Рисунок 326111853"/>
                    <pic:cNvPicPr/>
                  </pic:nvPicPr>
                  <pic:blipFill rotWithShape="1">
                    <a:blip r:embed="rId13" cstate="print"/>
                    <a:srcRect r="7419" b="2885"/>
                    <a:stretch/>
                  </pic:blipFill>
                  <pic:spPr bwMode="auto">
                    <a:xfrm>
                      <a:off x="0" y="0"/>
                      <a:ext cx="1857748" cy="2265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41A3" w:rsidRPr="00B8387B" w:rsidRDefault="00433D5C" w:rsidP="00B841A3">
      <w:pPr>
        <w:pStyle w:val="af4"/>
        <w:spacing w:before="120" w:line="276" w:lineRule="auto"/>
        <w:jc w:val="both"/>
        <w:rPr>
          <w:rFonts w:ascii="Times New Roman" w:hAnsi="Times New Roman" w:cs="Times New Roman"/>
          <w:i w:val="0"/>
          <w:iCs w:val="0"/>
          <w:color w:val="000000"/>
          <w:sz w:val="16"/>
          <w:szCs w:val="16"/>
          <w:lang w:val="en-US"/>
        </w:rPr>
      </w:pPr>
      <w:proofErr w:type="gramStart"/>
      <w:r w:rsidRPr="00B8387B">
        <w:rPr>
          <w:rFonts w:ascii="Times New Roman" w:hAnsi="Times New Roman" w:cs="Times New Roman"/>
          <w:b/>
          <w:bCs/>
          <w:i w:val="0"/>
          <w:iCs w:val="0"/>
          <w:color w:val="000000"/>
          <w:sz w:val="16"/>
          <w:szCs w:val="16"/>
          <w:lang w:val="en-US"/>
        </w:rPr>
        <w:t>Figure 2.</w:t>
      </w:r>
      <w:proofErr w:type="gramEnd"/>
      <w:r w:rsidRPr="00B8387B">
        <w:rPr>
          <w:rFonts w:ascii="Times New Roman" w:hAnsi="Times New Roman" w:cs="Times New Roman"/>
          <w:i w:val="0"/>
          <w:iCs w:val="0"/>
          <w:color w:val="000000"/>
          <w:sz w:val="16"/>
          <w:szCs w:val="16"/>
          <w:lang w:val="en-US"/>
        </w:rPr>
        <w:t xml:space="preserve"> Hyperpolarized </w:t>
      </w:r>
      <w:r w:rsidRPr="00B8387B">
        <w:rPr>
          <w:rFonts w:ascii="Times New Roman" w:hAnsi="Times New Roman" w:cs="Times New Roman"/>
          <w:i w:val="0"/>
          <w:iCs w:val="0"/>
          <w:color w:val="000000"/>
          <w:sz w:val="16"/>
          <w:szCs w:val="16"/>
          <w:vertAlign w:val="superscript"/>
          <w:lang w:val="en-US"/>
        </w:rPr>
        <w:t>15</w:t>
      </w:r>
      <w:r w:rsidRPr="00B8387B">
        <w:rPr>
          <w:rFonts w:ascii="Times New Roman" w:hAnsi="Times New Roman" w:cs="Times New Roman"/>
          <w:i w:val="0"/>
          <w:iCs w:val="0"/>
          <w:color w:val="000000"/>
          <w:sz w:val="16"/>
          <w:szCs w:val="16"/>
          <w:lang w:val="en-US"/>
        </w:rPr>
        <w:t>N (</w:t>
      </w:r>
      <w:r w:rsidRPr="00B8387B">
        <w:rPr>
          <w:rFonts w:ascii="Times New Roman" w:hAnsi="Times New Roman" w:cs="Times New Roman"/>
          <w:i w:val="0"/>
          <w:iCs w:val="0"/>
          <w:color w:val="000000"/>
          <w:sz w:val="16"/>
          <w:szCs w:val="16"/>
          <w:vertAlign w:val="superscript"/>
          <w:lang w:val="en-US"/>
        </w:rPr>
        <w:t>1</w:t>
      </w:r>
      <w:r w:rsidRPr="00B8387B">
        <w:rPr>
          <w:rFonts w:ascii="Times New Roman" w:hAnsi="Times New Roman" w:cs="Times New Roman"/>
          <w:i w:val="0"/>
          <w:iCs w:val="0"/>
          <w:color w:val="000000"/>
          <w:sz w:val="16"/>
          <w:szCs w:val="16"/>
          <w:lang w:val="en-US"/>
        </w:rPr>
        <w:t xml:space="preserve">H decoupled) spectra of </w:t>
      </w:r>
      <w:r w:rsidRPr="00B8387B">
        <w:rPr>
          <w:rFonts w:ascii="Times New Roman" w:hAnsi="Times New Roman" w:cs="Times New Roman"/>
          <w:i w:val="0"/>
          <w:iCs w:val="0"/>
          <w:color w:val="000000"/>
          <w:sz w:val="16"/>
          <w:szCs w:val="16"/>
          <w:vertAlign w:val="superscript"/>
          <w:lang w:val="en-US"/>
        </w:rPr>
        <w:t>15</w:t>
      </w:r>
      <w:r w:rsidRPr="00B8387B">
        <w:rPr>
          <w:rFonts w:ascii="Times New Roman" w:hAnsi="Times New Roman" w:cs="Times New Roman"/>
          <w:i w:val="0"/>
          <w:iCs w:val="0"/>
          <w:color w:val="000000"/>
          <w:sz w:val="16"/>
          <w:szCs w:val="16"/>
          <w:lang w:val="en-US"/>
        </w:rPr>
        <w:t>N-SDAP</w:t>
      </w:r>
      <w:r w:rsidR="00B841A3" w:rsidRPr="00B8387B">
        <w:rPr>
          <w:rFonts w:ascii="Times New Roman" w:hAnsi="Times New Roman" w:cs="Times New Roman"/>
          <w:i w:val="0"/>
          <w:iCs w:val="0"/>
          <w:color w:val="000000"/>
          <w:sz w:val="16"/>
          <w:szCs w:val="16"/>
          <w:lang w:val="en-US"/>
        </w:rPr>
        <w:t xml:space="preserve"> </w:t>
      </w:r>
      <w:r w:rsidRPr="00B8387B">
        <w:rPr>
          <w:rFonts w:ascii="Times New Roman" w:hAnsi="Times New Roman" w:cs="Times New Roman"/>
          <w:i w:val="0"/>
          <w:iCs w:val="0"/>
          <w:color w:val="000000"/>
          <w:sz w:val="16"/>
          <w:szCs w:val="16"/>
          <w:lang w:val="en-US"/>
        </w:rPr>
        <w:t>(18</w:t>
      </w:r>
      <w:r w:rsidR="00B841A3" w:rsidRPr="00B8387B">
        <w:rPr>
          <w:rFonts w:ascii="Times New Roman" w:hAnsi="Times New Roman" w:cs="Times New Roman"/>
          <w:i w:val="0"/>
          <w:iCs w:val="0"/>
          <w:color w:val="000000"/>
          <w:sz w:val="16"/>
          <w:szCs w:val="16"/>
          <w:lang w:val="en-US"/>
        </w:rPr>
        <w:t> </w:t>
      </w:r>
      <w:r w:rsidRPr="00B8387B">
        <w:rPr>
          <w:rFonts w:ascii="Times New Roman" w:hAnsi="Times New Roman" w:cs="Times New Roman"/>
          <w:i w:val="0"/>
          <w:iCs w:val="0"/>
          <w:color w:val="000000"/>
          <w:sz w:val="16"/>
          <w:szCs w:val="16"/>
          <w:lang w:val="en-US"/>
        </w:rPr>
        <w:t>mM) obtained with two pulse sequences: SABRE-INEPT</w:t>
      </w:r>
      <w:r w:rsidR="004008F6">
        <w:rPr>
          <w:rFonts w:ascii="Times New Roman" w:hAnsi="Times New Roman" w:cs="Times New Roman"/>
          <w:i w:val="0"/>
          <w:iCs w:val="0"/>
          <w:color w:val="000000"/>
          <w:sz w:val="16"/>
          <w:szCs w:val="16"/>
          <w:lang w:val="en-US"/>
        </w:rPr>
        <w:t xml:space="preserve"> </w:t>
      </w:r>
      <w:r w:rsidR="004008F6" w:rsidRPr="00B8387B">
        <w:rPr>
          <w:rFonts w:ascii="Times New Roman" w:hAnsi="Times New Roman" w:cs="Times New Roman"/>
          <w:i w:val="0"/>
          <w:iCs w:val="0"/>
          <w:color w:val="000000"/>
          <w:sz w:val="16"/>
          <w:szCs w:val="16"/>
          <w:lang w:val="en-US"/>
        </w:rPr>
        <w:t>(</w:t>
      </w:r>
      <w:r w:rsidR="004008F6" w:rsidRPr="00B8387B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a</w:t>
      </w:r>
      <w:r w:rsidR="004008F6" w:rsidRPr="00B8387B">
        <w:rPr>
          <w:rFonts w:ascii="Times New Roman" w:hAnsi="Times New Roman" w:cs="Times New Roman"/>
          <w:i w:val="0"/>
          <w:iCs w:val="0"/>
          <w:color w:val="000000"/>
          <w:sz w:val="16"/>
          <w:szCs w:val="16"/>
          <w:lang w:val="en-US"/>
        </w:rPr>
        <w:t>)</w:t>
      </w:r>
      <w:r w:rsidR="000574C8" w:rsidRPr="00B8387B">
        <w:rPr>
          <w:rFonts w:ascii="Times New Roman" w:hAnsi="Times New Roman" w:cs="Times New Roman"/>
          <w:i w:val="0"/>
          <w:iCs w:val="0"/>
          <w:color w:val="000000"/>
          <w:sz w:val="16"/>
          <w:szCs w:val="16"/>
          <w:lang w:val="en-US"/>
        </w:rPr>
        <w:t xml:space="preserve">, </w:t>
      </w:r>
      <w:r w:rsidRPr="00B8387B">
        <w:rPr>
          <w:rFonts w:ascii="Times New Roman" w:hAnsi="Times New Roman" w:cs="Times New Roman"/>
          <w:i w:val="0"/>
          <w:iCs w:val="0"/>
          <w:color w:val="000000"/>
          <w:sz w:val="16"/>
          <w:szCs w:val="16"/>
          <w:lang w:val="en-US"/>
        </w:rPr>
        <w:t>DRF-SABRE</w:t>
      </w:r>
      <w:r w:rsidR="004008F6">
        <w:rPr>
          <w:rFonts w:ascii="Times New Roman" w:hAnsi="Times New Roman" w:cs="Times New Roman"/>
          <w:i w:val="0"/>
          <w:iCs w:val="0"/>
          <w:color w:val="000000"/>
          <w:sz w:val="16"/>
          <w:szCs w:val="16"/>
          <w:lang w:val="en-US"/>
        </w:rPr>
        <w:t xml:space="preserve"> </w:t>
      </w:r>
      <w:r w:rsidR="004008F6" w:rsidRPr="00B8387B">
        <w:rPr>
          <w:rFonts w:ascii="Times New Roman" w:hAnsi="Times New Roman" w:cs="Times New Roman"/>
          <w:i w:val="0"/>
          <w:iCs w:val="0"/>
          <w:color w:val="000000"/>
          <w:sz w:val="16"/>
          <w:szCs w:val="16"/>
          <w:lang w:val="en-US"/>
        </w:rPr>
        <w:t>(</w:t>
      </w:r>
      <w:r w:rsidR="004008F6" w:rsidRPr="00B8387B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b</w:t>
      </w:r>
      <w:r w:rsidR="004008F6" w:rsidRPr="00B8387B">
        <w:rPr>
          <w:rFonts w:ascii="Times New Roman" w:hAnsi="Times New Roman" w:cs="Times New Roman"/>
          <w:i w:val="0"/>
          <w:iCs w:val="0"/>
          <w:color w:val="000000"/>
          <w:sz w:val="16"/>
          <w:szCs w:val="16"/>
          <w:lang w:val="en-US"/>
        </w:rPr>
        <w:t>)</w:t>
      </w:r>
      <w:r w:rsidRPr="00B8387B">
        <w:rPr>
          <w:rFonts w:ascii="Times New Roman" w:hAnsi="Times New Roman" w:cs="Times New Roman"/>
          <w:i w:val="0"/>
          <w:iCs w:val="0"/>
          <w:color w:val="000000"/>
          <w:sz w:val="16"/>
          <w:szCs w:val="16"/>
          <w:lang w:val="en-US"/>
        </w:rPr>
        <w:t xml:space="preserve">. </w:t>
      </w:r>
      <w:r w:rsidRPr="00B8387B">
        <w:rPr>
          <w:rFonts w:ascii="Times New Roman" w:hAnsi="Times New Roman" w:cs="Times New Roman"/>
          <w:i w:val="0"/>
          <w:iCs w:val="0"/>
          <w:color w:val="000000"/>
          <w:sz w:val="16"/>
          <w:szCs w:val="16"/>
          <w:vertAlign w:val="superscript"/>
          <w:lang w:val="en-US"/>
        </w:rPr>
        <w:t>15</w:t>
      </w:r>
      <w:r w:rsidRPr="00B8387B">
        <w:rPr>
          <w:rFonts w:ascii="Times New Roman" w:hAnsi="Times New Roman" w:cs="Times New Roman"/>
          <w:i w:val="0"/>
          <w:iCs w:val="0"/>
          <w:color w:val="000000"/>
          <w:sz w:val="16"/>
          <w:szCs w:val="16"/>
          <w:lang w:val="en-US"/>
        </w:rPr>
        <w:t xml:space="preserve">N NMR spectrum of </w:t>
      </w:r>
      <w:r w:rsidRPr="00B8387B">
        <w:rPr>
          <w:rFonts w:ascii="Times New Roman" w:hAnsi="Times New Roman" w:cs="Times New Roman"/>
          <w:i w:val="0"/>
          <w:iCs w:val="0"/>
          <w:color w:val="000000"/>
          <w:sz w:val="16"/>
          <w:szCs w:val="16"/>
          <w:vertAlign w:val="superscript"/>
          <w:lang w:val="en-US"/>
        </w:rPr>
        <w:t>15</w:t>
      </w:r>
      <w:r w:rsidRPr="00B8387B">
        <w:rPr>
          <w:rFonts w:ascii="Times New Roman" w:hAnsi="Times New Roman" w:cs="Times New Roman"/>
          <w:i w:val="0"/>
          <w:iCs w:val="0"/>
          <w:color w:val="000000"/>
          <w:sz w:val="16"/>
          <w:szCs w:val="16"/>
          <w:lang w:val="en-US"/>
        </w:rPr>
        <w:t>N-pyridine (500 mM) in methanol-d</w:t>
      </w:r>
      <w:r w:rsidRPr="00B8387B">
        <w:rPr>
          <w:rFonts w:ascii="Times New Roman" w:hAnsi="Times New Roman" w:cs="Times New Roman"/>
          <w:i w:val="0"/>
          <w:iCs w:val="0"/>
          <w:color w:val="000000"/>
          <w:sz w:val="16"/>
          <w:szCs w:val="16"/>
          <w:vertAlign w:val="subscript"/>
          <w:lang w:val="en-US"/>
        </w:rPr>
        <w:t>4</w:t>
      </w:r>
      <w:r w:rsidRPr="00B8387B">
        <w:rPr>
          <w:rFonts w:ascii="Times New Roman" w:hAnsi="Times New Roman" w:cs="Times New Roman"/>
          <w:i w:val="0"/>
          <w:iCs w:val="0"/>
          <w:color w:val="000000"/>
          <w:sz w:val="16"/>
          <w:szCs w:val="16"/>
          <w:lang w:val="en-US"/>
        </w:rPr>
        <w:t xml:space="preserve"> at thermal equilibrium detected at 9.4 T (multiplied by the factor of 50 on the vertical axis)</w:t>
      </w:r>
      <w:r w:rsidR="004008F6" w:rsidRPr="004008F6">
        <w:rPr>
          <w:rFonts w:ascii="Times New Roman" w:hAnsi="Times New Roman" w:cs="Times New Roman"/>
          <w:i w:val="0"/>
          <w:iCs w:val="0"/>
          <w:color w:val="000000"/>
          <w:sz w:val="16"/>
          <w:szCs w:val="16"/>
          <w:lang w:val="en-US"/>
        </w:rPr>
        <w:t xml:space="preserve"> </w:t>
      </w:r>
      <w:r w:rsidR="004008F6" w:rsidRPr="00B8387B">
        <w:rPr>
          <w:rFonts w:ascii="Times New Roman" w:hAnsi="Times New Roman" w:cs="Times New Roman"/>
          <w:i w:val="0"/>
          <w:iCs w:val="0"/>
          <w:color w:val="000000"/>
          <w:sz w:val="16"/>
          <w:szCs w:val="16"/>
          <w:lang w:val="en-US"/>
        </w:rPr>
        <w:t>(</w:t>
      </w:r>
      <w:r w:rsidR="004008F6" w:rsidRPr="00B8387B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c</w:t>
      </w:r>
      <w:r w:rsidR="004008F6" w:rsidRPr="00B8387B">
        <w:rPr>
          <w:rFonts w:ascii="Times New Roman" w:hAnsi="Times New Roman" w:cs="Times New Roman"/>
          <w:i w:val="0"/>
          <w:iCs w:val="0"/>
          <w:color w:val="000000"/>
          <w:sz w:val="16"/>
          <w:szCs w:val="16"/>
          <w:lang w:val="en-US"/>
        </w:rPr>
        <w:t>)</w:t>
      </w:r>
      <w:r w:rsidRPr="00B8387B">
        <w:rPr>
          <w:rFonts w:ascii="Times New Roman" w:hAnsi="Times New Roman" w:cs="Times New Roman"/>
          <w:i w:val="0"/>
          <w:iCs w:val="0"/>
          <w:color w:val="000000"/>
          <w:sz w:val="16"/>
          <w:szCs w:val="16"/>
          <w:lang w:val="en-US"/>
        </w:rPr>
        <w:t xml:space="preserve">. This signal was used as a reference for the calculation of the NMR enhancement of the </w:t>
      </w:r>
      <w:r w:rsidRPr="00B8387B">
        <w:rPr>
          <w:rFonts w:ascii="Times New Roman" w:hAnsi="Times New Roman" w:cs="Times New Roman"/>
          <w:i w:val="0"/>
          <w:iCs w:val="0"/>
          <w:color w:val="000000"/>
          <w:sz w:val="16"/>
          <w:szCs w:val="16"/>
          <w:vertAlign w:val="superscript"/>
          <w:lang w:val="en-US"/>
        </w:rPr>
        <w:t>15</w:t>
      </w:r>
      <w:r w:rsidRPr="00B8387B">
        <w:rPr>
          <w:rFonts w:ascii="Times New Roman" w:hAnsi="Times New Roman" w:cs="Times New Roman"/>
          <w:i w:val="0"/>
          <w:iCs w:val="0"/>
          <w:color w:val="000000"/>
          <w:sz w:val="16"/>
          <w:szCs w:val="16"/>
          <w:lang w:val="en-US"/>
        </w:rPr>
        <w:t xml:space="preserve">N signals, denoted by </w:t>
      </w:r>
      <w:r w:rsidR="00B841A3" w:rsidRPr="00B8387B">
        <w:rPr>
          <w:rFonts w:ascii="Times New Roman" w:eastAsiaTheme="minorEastAsia" w:hAnsi="Times New Roman" w:cs="Times New Roman"/>
          <w:iCs w:val="0"/>
          <w:color w:val="000000"/>
          <w:sz w:val="16"/>
          <w:szCs w:val="16"/>
          <w:lang w:val="en-US"/>
        </w:rPr>
        <w:t>ε</w:t>
      </w:r>
      <w:r w:rsidR="00B841A3" w:rsidRPr="00B8387B">
        <w:rPr>
          <w:rFonts w:ascii="Times New Roman" w:eastAsiaTheme="minorEastAsia" w:hAnsi="Times New Roman" w:cs="Times New Roman"/>
          <w:i w:val="0"/>
          <w:color w:val="000000"/>
          <w:sz w:val="16"/>
          <w:szCs w:val="16"/>
          <w:lang w:val="en-US"/>
        </w:rPr>
        <w:t>.</w:t>
      </w:r>
      <w:r w:rsidRPr="00B8387B">
        <w:rPr>
          <w:rFonts w:ascii="Times New Roman" w:hAnsi="Times New Roman" w:cs="Times New Roman"/>
          <w:i w:val="0"/>
          <w:iCs w:val="0"/>
          <w:color w:val="000000"/>
          <w:sz w:val="16"/>
          <w:szCs w:val="16"/>
          <w:lang w:val="en-US"/>
        </w:rPr>
        <w:t xml:space="preserve"> The hyperpolarized </w:t>
      </w:r>
      <w:r w:rsidRPr="00B8387B">
        <w:rPr>
          <w:rFonts w:ascii="Times New Roman" w:hAnsi="Times New Roman" w:cs="Times New Roman"/>
          <w:i w:val="0"/>
          <w:iCs w:val="0"/>
          <w:color w:val="000000"/>
          <w:sz w:val="16"/>
          <w:szCs w:val="16"/>
          <w:vertAlign w:val="superscript"/>
          <w:lang w:val="en-US"/>
        </w:rPr>
        <w:t>77</w:t>
      </w:r>
      <w:r w:rsidRPr="00B8387B">
        <w:rPr>
          <w:rFonts w:ascii="Times New Roman" w:hAnsi="Times New Roman" w:cs="Times New Roman"/>
          <w:i w:val="0"/>
          <w:iCs w:val="0"/>
          <w:color w:val="000000"/>
          <w:sz w:val="16"/>
          <w:szCs w:val="16"/>
          <w:lang w:val="en-US"/>
        </w:rPr>
        <w:t xml:space="preserve">Se satellites in </w:t>
      </w:r>
      <w:r w:rsidR="00B841A3" w:rsidRPr="00B8387B">
        <w:rPr>
          <w:rFonts w:ascii="Times New Roman" w:hAnsi="Times New Roman" w:cs="Times New Roman"/>
          <w:i w:val="0"/>
          <w:iCs w:val="0"/>
          <w:color w:val="000000"/>
          <w:sz w:val="16"/>
          <w:szCs w:val="16"/>
          <w:lang w:val="en-US"/>
        </w:rPr>
        <w:t>(</w:t>
      </w:r>
      <w:r w:rsidRPr="00B8387B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a</w:t>
      </w:r>
      <w:r w:rsidRPr="00B8387B">
        <w:rPr>
          <w:rFonts w:ascii="Times New Roman" w:hAnsi="Times New Roman" w:cs="Times New Roman"/>
          <w:i w:val="0"/>
          <w:iCs w:val="0"/>
          <w:color w:val="000000"/>
          <w:sz w:val="16"/>
          <w:szCs w:val="16"/>
          <w:lang w:val="en-US"/>
        </w:rPr>
        <w:t xml:space="preserve">) and </w:t>
      </w:r>
      <w:r w:rsidR="00B841A3" w:rsidRPr="00B8387B">
        <w:rPr>
          <w:rFonts w:ascii="Times New Roman" w:hAnsi="Times New Roman" w:cs="Times New Roman"/>
          <w:i w:val="0"/>
          <w:iCs w:val="0"/>
          <w:color w:val="000000"/>
          <w:sz w:val="16"/>
          <w:szCs w:val="16"/>
          <w:lang w:val="en-US"/>
        </w:rPr>
        <w:t>(</w:t>
      </w:r>
      <w:r w:rsidRPr="00B8387B">
        <w:rPr>
          <w:rFonts w:ascii="Times New Roman" w:hAnsi="Times New Roman" w:cs="Times New Roman"/>
          <w:b/>
          <w:bCs/>
          <w:color w:val="000000"/>
          <w:sz w:val="16"/>
          <w:szCs w:val="16"/>
          <w:lang w:val="en-US"/>
        </w:rPr>
        <w:t>b</w:t>
      </w:r>
      <w:r w:rsidRPr="00B8387B">
        <w:rPr>
          <w:rFonts w:ascii="Times New Roman" w:hAnsi="Times New Roman" w:cs="Times New Roman"/>
          <w:i w:val="0"/>
          <w:iCs w:val="0"/>
          <w:color w:val="000000"/>
          <w:sz w:val="16"/>
          <w:szCs w:val="16"/>
          <w:lang w:val="en-US"/>
        </w:rPr>
        <w:t xml:space="preserve">) are shown enlarged in the circles above the corresponding signals. The temperature of the samples was reduced to </w:t>
      </w:r>
      <w:r w:rsidR="00B841A3" w:rsidRPr="00B8387B">
        <w:rPr>
          <w:rFonts w:ascii="Times New Roman" w:hAnsi="Times New Roman" w:cs="Times New Roman"/>
          <w:i w:val="0"/>
          <w:iCs w:val="0"/>
          <w:color w:val="000000"/>
          <w:sz w:val="16"/>
          <w:szCs w:val="16"/>
          <w:lang w:val="en-US"/>
        </w:rPr>
        <w:t>15 °C.</w:t>
      </w:r>
    </w:p>
    <w:p w:rsidR="00427E5A" w:rsidRPr="00433D5C" w:rsidRDefault="00433D5C" w:rsidP="00433D5C">
      <w:pPr>
        <w:pStyle w:val="Header1"/>
        <w:spacing w:before="0" w:after="0"/>
        <w:ind w:firstLine="284"/>
        <w:jc w:val="both"/>
        <w:rPr>
          <w:rFonts w:ascii="Times New Roman" w:hAnsi="Times New Roman" w:cs="Times New Roman"/>
          <w:b w:val="0"/>
          <w:sz w:val="18"/>
          <w:szCs w:val="18"/>
        </w:rPr>
      </w:pPr>
      <w:bookmarkStart w:id="2" w:name="_Hlk188018618"/>
      <w:bookmarkStart w:id="3" w:name="_Hlk188018770"/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Thus, the highest value of the 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  <w:vertAlign w:val="superscript"/>
        </w:rPr>
        <w:t>15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N signal enhancement for 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  <w:vertAlign w:val="superscript"/>
        </w:rPr>
        <w:t>15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>N-SDAP was obtained by the DRF-SABRE pulse sequence (</w:t>
      </w:r>
      <m:oMath>
        <m:r>
          <m:rPr>
            <m:sty m:val="bi"/>
          </m:rPr>
          <w:rPr>
            <w:rFonts w:ascii="Cambria Math" w:hAnsi="Cambria Math" w:cs="Times New Roman"/>
            <w:sz w:val="18"/>
            <w:szCs w:val="18"/>
          </w:rPr>
          <m:t>ε=-1400</m:t>
        </m:r>
      </m:oMath>
      <w:r w:rsidRPr="00433D5C">
        <w:rPr>
          <w:rFonts w:ascii="Times New Roman" w:eastAsiaTheme="minorEastAsia" w:hAnsi="Times New Roman" w:cs="Times New Roman"/>
          <w:b w:val="0"/>
          <w:bCs/>
          <w:sz w:val="18"/>
          <w:szCs w:val="18"/>
        </w:rPr>
        <w:t xml:space="preserve">, which corresponds to 0.47% of the </w:t>
      </w:r>
      <w:r w:rsidRPr="00433D5C">
        <w:rPr>
          <w:rFonts w:ascii="Times New Roman" w:eastAsiaTheme="minorEastAsia" w:hAnsi="Times New Roman" w:cs="Times New Roman"/>
          <w:b w:val="0"/>
          <w:bCs/>
          <w:sz w:val="18"/>
          <w:szCs w:val="18"/>
          <w:vertAlign w:val="superscript"/>
        </w:rPr>
        <w:t>15</w:t>
      </w:r>
      <w:r w:rsidRPr="00433D5C">
        <w:rPr>
          <w:rFonts w:ascii="Times New Roman" w:eastAsiaTheme="minorEastAsia" w:hAnsi="Times New Roman" w:cs="Times New Roman"/>
          <w:b w:val="0"/>
          <w:bCs/>
          <w:sz w:val="18"/>
          <w:szCs w:val="18"/>
        </w:rPr>
        <w:t>N polarization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). This is in </w:t>
      </w:r>
      <w:r w:rsidR="00617D16">
        <w:rPr>
          <w:rFonts w:ascii="Times New Roman" w:hAnsi="Times New Roman" w:cs="Times New Roman"/>
          <w:b w:val="0"/>
          <w:bCs/>
          <w:sz w:val="18"/>
          <w:szCs w:val="18"/>
        </w:rPr>
        <w:t xml:space="preserve">good 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agreement with our recent work, where DRF-SABRE </w:t>
      </w:r>
      <w:r w:rsidR="00617D16">
        <w:rPr>
          <w:rFonts w:ascii="Times New Roman" w:hAnsi="Times New Roman" w:cs="Times New Roman"/>
          <w:b w:val="0"/>
          <w:bCs/>
          <w:sz w:val="18"/>
          <w:szCs w:val="18"/>
        </w:rPr>
        <w:t>was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 demonstrated to be more efficient than other pulse sequences [8]. Such levels of heteronuclear polarization are comparable with the largest </w:t>
      </w:r>
      <w:r w:rsidR="00617D16">
        <w:rPr>
          <w:rFonts w:ascii="Times New Roman" w:hAnsi="Times New Roman" w:cs="Times New Roman"/>
          <w:b w:val="0"/>
          <w:bCs/>
          <w:sz w:val="18"/>
          <w:szCs w:val="18"/>
        </w:rPr>
        <w:t xml:space="preserve">ones 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>that can be potentially achieved by the high-field SABRE methods (</w:t>
      </w:r>
      <m:oMath>
        <m:r>
          <m:rPr>
            <m:sty m:val="bi"/>
          </m:rPr>
          <w:rPr>
            <w:rFonts w:ascii="Cambria Math" w:hAnsi="Cambria Math" w:cs="Times New Roman"/>
            <w:sz w:val="18"/>
            <w:szCs w:val="18"/>
          </w:rPr>
          <m:t>ε≈2500</m:t>
        </m:r>
      </m:oMath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) </w:t>
      </w:r>
      <w:r w:rsidR="00617D16">
        <w:rPr>
          <w:rFonts w:ascii="Times New Roman" w:hAnsi="Times New Roman" w:cs="Times New Roman"/>
          <w:b w:val="0"/>
          <w:bCs/>
          <w:sz w:val="18"/>
          <w:szCs w:val="18"/>
        </w:rPr>
        <w:t>[7, 8]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. </w:t>
      </w:r>
      <w:bookmarkEnd w:id="2"/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Moreover, in our work we demonstrated that DRF-SABRE can be exploited to hyperpolarize the nuclear spins in a complex spin systems containing several types of heteronuclei, in our case, 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  <w:vertAlign w:val="superscript"/>
        </w:rPr>
        <w:t>15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 xml:space="preserve">N and 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  <w:vertAlign w:val="superscript"/>
        </w:rPr>
        <w:t>77</w:t>
      </w:r>
      <w:r w:rsidRPr="00433D5C">
        <w:rPr>
          <w:rFonts w:ascii="Times New Roman" w:hAnsi="Times New Roman" w:cs="Times New Roman"/>
          <w:b w:val="0"/>
          <w:bCs/>
          <w:sz w:val="18"/>
          <w:szCs w:val="18"/>
        </w:rPr>
        <w:t>Se, paving the road for the high-field hyperpolarization of a broader range of magnetic nuclear isotopes and molecules.</w:t>
      </w:r>
      <w:bookmarkEnd w:id="3"/>
    </w:p>
    <w:p w:rsidR="00F376FB" w:rsidRDefault="00875175" w:rsidP="00B23601">
      <w:pPr>
        <w:spacing w:before="240" w:after="240"/>
        <w:rPr>
          <w:rFonts w:ascii="Arial" w:hAnsi="Arial" w:cs="Arial"/>
          <w:b/>
          <w:lang w:val="en-US"/>
        </w:rPr>
      </w:pPr>
      <w:r w:rsidRPr="00877AEB">
        <w:rPr>
          <w:rFonts w:ascii="Arial" w:hAnsi="Arial" w:cs="Arial"/>
          <w:b/>
          <w:highlight w:val="green"/>
          <w:lang w:val="en-US"/>
        </w:rPr>
        <w:t>Conclusions</w:t>
      </w:r>
    </w:p>
    <w:p w:rsidR="00F94740" w:rsidRPr="00F94740" w:rsidRDefault="00F94740" w:rsidP="00F94740">
      <w:pPr>
        <w:pStyle w:val="Header1"/>
        <w:spacing w:before="240" w:after="240"/>
      </w:pPr>
      <w:r w:rsidRPr="00F94740">
        <w:t>Acknowledgements</w:t>
      </w:r>
    </w:p>
    <w:p w:rsidR="00F94740" w:rsidRPr="006070A2" w:rsidRDefault="00877AEB" w:rsidP="00F94740">
      <w:pPr>
        <w:pStyle w:val="MainText"/>
        <w:ind w:firstLine="284"/>
      </w:pPr>
      <w:r w:rsidRPr="00F7511F">
        <w:t>This work was supported by the Russian Science Foundation (</w:t>
      </w:r>
      <w:r>
        <w:t>project no.</w:t>
      </w:r>
      <w:r w:rsidRPr="00F7511F">
        <w:t xml:space="preserve"> 23-73-10103)</w:t>
      </w:r>
      <w:r>
        <w:t>.</w:t>
      </w:r>
    </w:p>
    <w:p w:rsidR="00F86864" w:rsidRPr="00F86864" w:rsidRDefault="00321D1D" w:rsidP="00321D1D">
      <w:pPr>
        <w:pStyle w:val="Header1"/>
        <w:spacing w:before="0" w:after="240"/>
      </w:pPr>
      <w:r>
        <w:br w:type="column"/>
      </w:r>
      <w:r w:rsidR="00F86864" w:rsidRPr="00F86864">
        <w:lastRenderedPageBreak/>
        <w:t xml:space="preserve">Corresponding </w:t>
      </w:r>
      <w:r w:rsidR="005C7369">
        <w:t>a</w:t>
      </w:r>
      <w:r w:rsidR="00F86864" w:rsidRPr="00F86864">
        <w:t>uthor</w:t>
      </w:r>
    </w:p>
    <w:p w:rsidR="00F86864" w:rsidRPr="0025582B" w:rsidRDefault="00F86864" w:rsidP="00071D12">
      <w:pPr>
        <w:pStyle w:val="MainText"/>
        <w:ind w:firstLine="284"/>
      </w:pPr>
      <w:r w:rsidRPr="00F86864">
        <w:rPr>
          <w:rFonts w:ascii="AdvOT8608a8d1" w:hAnsi="AdvOT8608a8d1" w:cs="AdvOT8608a8d1"/>
        </w:rPr>
        <w:t xml:space="preserve">* </w:t>
      </w:r>
      <w:r w:rsidRPr="00F86864">
        <w:t xml:space="preserve">E-mail: </w:t>
      </w:r>
      <w:r w:rsidR="0025582B" w:rsidRPr="0025582B">
        <w:t>d.markelov@tomo.nsc.ru</w:t>
      </w:r>
      <w:r w:rsidR="0025582B">
        <w:t xml:space="preserve"> (D. A. </w:t>
      </w:r>
      <w:proofErr w:type="spellStart"/>
      <w:r w:rsidR="0025582B">
        <w:t>Markelov</w:t>
      </w:r>
      <w:proofErr w:type="spellEnd"/>
      <w:r w:rsidR="0025582B">
        <w:t>).</w:t>
      </w:r>
    </w:p>
    <w:p w:rsidR="00161894" w:rsidRPr="00161894" w:rsidRDefault="00161894" w:rsidP="00161894">
      <w:pPr>
        <w:pStyle w:val="Header1"/>
        <w:spacing w:before="240" w:after="240"/>
      </w:pPr>
      <w:r w:rsidRPr="00161894">
        <w:t>Electronic supplementary information</w:t>
      </w:r>
    </w:p>
    <w:p w:rsidR="00161894" w:rsidRPr="00C77670" w:rsidRDefault="00D41CDE" w:rsidP="00161894">
      <w:pPr>
        <w:pStyle w:val="Header1"/>
        <w:spacing w:before="0" w:after="0"/>
        <w:ind w:firstLine="284"/>
        <w:jc w:val="both"/>
        <w:rPr>
          <w:rFonts w:ascii="Times New Roman" w:hAnsi="Times New Roman" w:cs="Times New Roman"/>
          <w:b w:val="0"/>
          <w:bCs/>
          <w:sz w:val="18"/>
          <w:szCs w:val="18"/>
        </w:rPr>
      </w:pPr>
      <w:r w:rsidRPr="00F44026">
        <w:rPr>
          <w:rFonts w:ascii="Times New Roman" w:hAnsi="Times New Roman" w:cs="Times New Roman"/>
          <w:b w:val="0"/>
          <w:sz w:val="18"/>
          <w:szCs w:val="18"/>
        </w:rPr>
        <w:t xml:space="preserve">Electronic supplementary information (ESI) available online: </w:t>
      </w:r>
      <w:r w:rsidR="00CF75EC">
        <w:rPr>
          <w:rFonts w:ascii="Times New Roman" w:hAnsi="Times New Roman" w:cs="Times New Roman"/>
          <w:b w:val="0"/>
          <w:sz w:val="18"/>
          <w:szCs w:val="18"/>
        </w:rPr>
        <w:t xml:space="preserve">the </w:t>
      </w:r>
      <w:r w:rsidR="00CF75EC" w:rsidRPr="00C77670">
        <w:rPr>
          <w:rFonts w:ascii="Times New Roman" w:hAnsi="Times New Roman" w:cs="Times New Roman"/>
          <w:b w:val="0"/>
          <w:bCs/>
          <w:sz w:val="18"/>
          <w:szCs w:val="18"/>
        </w:rPr>
        <w:t xml:space="preserve">optimization </w:t>
      </w:r>
      <w:r>
        <w:rPr>
          <w:rFonts w:ascii="Times New Roman" w:hAnsi="Times New Roman" w:cs="Times New Roman"/>
          <w:b w:val="0"/>
          <w:sz w:val="18"/>
          <w:szCs w:val="18"/>
        </w:rPr>
        <w:t>d</w:t>
      </w:r>
      <w:r w:rsidR="00C77670">
        <w:rPr>
          <w:rFonts w:ascii="Times New Roman" w:hAnsi="Times New Roman" w:cs="Times New Roman"/>
          <w:b w:val="0"/>
          <w:sz w:val="18"/>
          <w:szCs w:val="18"/>
        </w:rPr>
        <w:t xml:space="preserve">ata </w:t>
      </w:r>
      <w:r w:rsidR="00C77670" w:rsidRPr="00C77670">
        <w:rPr>
          <w:rFonts w:ascii="Times New Roman" w:hAnsi="Times New Roman" w:cs="Times New Roman"/>
          <w:b w:val="0"/>
          <w:bCs/>
          <w:sz w:val="18"/>
          <w:szCs w:val="18"/>
        </w:rPr>
        <w:t xml:space="preserve">of </w:t>
      </w:r>
      <w:r w:rsidR="00C77670">
        <w:rPr>
          <w:rFonts w:ascii="Times New Roman" w:hAnsi="Times New Roman" w:cs="Times New Roman"/>
          <w:b w:val="0"/>
          <w:bCs/>
          <w:sz w:val="18"/>
          <w:szCs w:val="18"/>
        </w:rPr>
        <w:t xml:space="preserve">the </w:t>
      </w:r>
      <w:r w:rsidR="00C77670" w:rsidRPr="00C77670">
        <w:rPr>
          <w:rFonts w:ascii="Times New Roman" w:hAnsi="Times New Roman" w:cs="Times New Roman"/>
          <w:b w:val="0"/>
          <w:bCs/>
          <w:sz w:val="18"/>
          <w:szCs w:val="18"/>
        </w:rPr>
        <w:t xml:space="preserve">SABRE pulse sequences and </w:t>
      </w:r>
      <w:r w:rsidR="00C77670" w:rsidRPr="00C77670">
        <w:rPr>
          <w:rFonts w:ascii="Times New Roman" w:hAnsi="Times New Roman" w:cs="Times New Roman"/>
          <w:b w:val="0"/>
          <w:bCs/>
          <w:sz w:val="18"/>
          <w:szCs w:val="18"/>
          <w:vertAlign w:val="superscript"/>
        </w:rPr>
        <w:t>1</w:t>
      </w:r>
      <w:r w:rsidR="00C77670" w:rsidRPr="00C77670">
        <w:rPr>
          <w:rFonts w:ascii="Times New Roman" w:hAnsi="Times New Roman" w:cs="Times New Roman"/>
          <w:b w:val="0"/>
          <w:bCs/>
          <w:sz w:val="18"/>
          <w:szCs w:val="18"/>
        </w:rPr>
        <w:t>H NMR spectra of the catalyst activation</w:t>
      </w:r>
      <w:r w:rsidR="00C77670">
        <w:rPr>
          <w:rFonts w:ascii="Times New Roman" w:hAnsi="Times New Roman" w:cs="Times New Roman"/>
          <w:b w:val="0"/>
          <w:bCs/>
          <w:sz w:val="18"/>
          <w:szCs w:val="18"/>
        </w:rPr>
        <w:t>. For ESI, see DOI: 10.32931/</w:t>
      </w:r>
      <w:proofErr w:type="spellStart"/>
      <w:r w:rsidR="00C77670">
        <w:rPr>
          <w:rFonts w:ascii="Times New Roman" w:hAnsi="Times New Roman" w:cs="Times New Roman"/>
          <w:b w:val="0"/>
          <w:bCs/>
          <w:sz w:val="18"/>
          <w:szCs w:val="18"/>
        </w:rPr>
        <w:t>ioXXXXx</w:t>
      </w:r>
      <w:proofErr w:type="spellEnd"/>
      <w:r w:rsidR="00C77670">
        <w:rPr>
          <w:rFonts w:ascii="Times New Roman" w:hAnsi="Times New Roman" w:cs="Times New Roman"/>
          <w:b w:val="0"/>
          <w:bCs/>
          <w:sz w:val="18"/>
          <w:szCs w:val="18"/>
        </w:rPr>
        <w:t>.</w:t>
      </w:r>
    </w:p>
    <w:p w:rsidR="00F94740" w:rsidRPr="00F94740" w:rsidRDefault="00F94740" w:rsidP="00161894">
      <w:pPr>
        <w:pStyle w:val="Header1"/>
        <w:spacing w:before="240" w:after="240"/>
      </w:pPr>
      <w:r w:rsidRPr="00F94740">
        <w:t>References</w:t>
      </w:r>
    </w:p>
    <w:p w:rsidR="00785724" w:rsidRPr="00FF3392" w:rsidRDefault="00C53C60" w:rsidP="00C53C60">
      <w:pPr>
        <w:pStyle w:val="EndNoteBibliography"/>
        <w:spacing w:after="0" w:line="264" w:lineRule="auto"/>
        <w:ind w:left="454" w:hanging="454"/>
        <w:rPr>
          <w:sz w:val="16"/>
          <w:szCs w:val="16"/>
        </w:rPr>
      </w:pPr>
      <w:r w:rsidRPr="00FF3392">
        <w:rPr>
          <w:sz w:val="16"/>
          <w:szCs w:val="16"/>
        </w:rPr>
        <w:t>1.</w:t>
      </w:r>
      <w:r w:rsidRPr="00FF3392">
        <w:rPr>
          <w:sz w:val="16"/>
          <w:szCs w:val="16"/>
        </w:rPr>
        <w:tab/>
      </w:r>
      <w:r w:rsidR="00785724" w:rsidRPr="00FF3392">
        <w:rPr>
          <w:sz w:val="16"/>
          <w:szCs w:val="16"/>
        </w:rPr>
        <w:t xml:space="preserve">C. R. Bowers, D. P. Weitekamp, </w:t>
      </w:r>
      <w:r w:rsidR="00785724" w:rsidRPr="00FF3392">
        <w:rPr>
          <w:i/>
          <w:sz w:val="16"/>
          <w:szCs w:val="16"/>
        </w:rPr>
        <w:t>J</w:t>
      </w:r>
      <w:r w:rsidR="00FF3392">
        <w:rPr>
          <w:i/>
          <w:sz w:val="16"/>
          <w:szCs w:val="16"/>
        </w:rPr>
        <w:t>.</w:t>
      </w:r>
      <w:r w:rsidR="00785724" w:rsidRPr="00FF3392">
        <w:rPr>
          <w:i/>
          <w:sz w:val="16"/>
          <w:szCs w:val="16"/>
        </w:rPr>
        <w:t xml:space="preserve"> Am</w:t>
      </w:r>
      <w:r w:rsidR="00FF3392">
        <w:rPr>
          <w:i/>
          <w:sz w:val="16"/>
          <w:szCs w:val="16"/>
        </w:rPr>
        <w:t>.</w:t>
      </w:r>
      <w:r w:rsidR="00785724" w:rsidRPr="00FF3392">
        <w:rPr>
          <w:i/>
          <w:sz w:val="16"/>
          <w:szCs w:val="16"/>
        </w:rPr>
        <w:t xml:space="preserve"> Chem</w:t>
      </w:r>
      <w:r w:rsidR="00FF3392">
        <w:rPr>
          <w:i/>
          <w:sz w:val="16"/>
          <w:szCs w:val="16"/>
        </w:rPr>
        <w:t>.</w:t>
      </w:r>
      <w:r w:rsidR="00785724" w:rsidRPr="00FF3392">
        <w:rPr>
          <w:i/>
          <w:sz w:val="16"/>
          <w:szCs w:val="16"/>
        </w:rPr>
        <w:t xml:space="preserve"> Soc</w:t>
      </w:r>
      <w:r w:rsidR="00FF3392">
        <w:rPr>
          <w:i/>
          <w:sz w:val="16"/>
          <w:szCs w:val="16"/>
        </w:rPr>
        <w:t>.</w:t>
      </w:r>
      <w:r w:rsidR="00785724" w:rsidRPr="00FF3392">
        <w:rPr>
          <w:iCs/>
          <w:sz w:val="16"/>
          <w:szCs w:val="16"/>
        </w:rPr>
        <w:t>,</w:t>
      </w:r>
      <w:r w:rsidR="00785724" w:rsidRPr="00FF3392">
        <w:rPr>
          <w:i/>
          <w:sz w:val="16"/>
          <w:szCs w:val="16"/>
        </w:rPr>
        <w:t xml:space="preserve"> </w:t>
      </w:r>
      <w:r w:rsidR="00785724" w:rsidRPr="00FF3392">
        <w:rPr>
          <w:b/>
          <w:sz w:val="16"/>
          <w:szCs w:val="16"/>
        </w:rPr>
        <w:t>1987</w:t>
      </w:r>
      <w:r w:rsidR="00785724" w:rsidRPr="00FF3392">
        <w:rPr>
          <w:sz w:val="16"/>
          <w:szCs w:val="16"/>
        </w:rPr>
        <w:t xml:space="preserve">, </w:t>
      </w:r>
      <w:r w:rsidR="00785724" w:rsidRPr="00FF3392">
        <w:rPr>
          <w:i/>
          <w:sz w:val="16"/>
          <w:szCs w:val="16"/>
        </w:rPr>
        <w:t>109</w:t>
      </w:r>
      <w:r w:rsidR="00785724" w:rsidRPr="00FF3392">
        <w:rPr>
          <w:sz w:val="16"/>
          <w:szCs w:val="16"/>
        </w:rPr>
        <w:t>, 5541</w:t>
      </w:r>
      <w:r w:rsidR="001812AA">
        <w:rPr>
          <w:sz w:val="16"/>
          <w:szCs w:val="16"/>
        </w:rPr>
        <w:t>–</w:t>
      </w:r>
      <w:r w:rsidR="00785724" w:rsidRPr="00FF3392">
        <w:rPr>
          <w:sz w:val="16"/>
          <w:szCs w:val="16"/>
        </w:rPr>
        <w:t>5542. DOI: 10.1021/ja00252a049</w:t>
      </w:r>
    </w:p>
    <w:p w:rsidR="00785724" w:rsidRPr="00FF3392" w:rsidRDefault="00C53C60" w:rsidP="00790475">
      <w:pPr>
        <w:pStyle w:val="EndNoteBibliography"/>
        <w:spacing w:after="0" w:line="264" w:lineRule="auto"/>
        <w:ind w:left="454" w:hanging="454"/>
        <w:rPr>
          <w:sz w:val="16"/>
          <w:szCs w:val="16"/>
        </w:rPr>
      </w:pPr>
      <w:r w:rsidRPr="00FF3392">
        <w:rPr>
          <w:sz w:val="16"/>
          <w:szCs w:val="16"/>
        </w:rPr>
        <w:t>2.</w:t>
      </w:r>
      <w:r w:rsidRPr="00FF3392">
        <w:rPr>
          <w:sz w:val="16"/>
          <w:szCs w:val="16"/>
        </w:rPr>
        <w:tab/>
      </w:r>
      <w:r w:rsidR="00785724" w:rsidRPr="00FF3392">
        <w:rPr>
          <w:sz w:val="16"/>
          <w:szCs w:val="16"/>
        </w:rPr>
        <w:t xml:space="preserve">G. Buntkowsky, F. Theiss, J. Lins, Y. A. Miloslavina, L. Wienands, A. Kiryutin, A. Yurkovskaya, </w:t>
      </w:r>
      <w:r w:rsidR="00785724" w:rsidRPr="00FF3392">
        <w:rPr>
          <w:i/>
          <w:sz w:val="16"/>
          <w:szCs w:val="16"/>
        </w:rPr>
        <w:t>RSC Adv</w:t>
      </w:r>
      <w:r w:rsidR="00FF3392">
        <w:rPr>
          <w:i/>
          <w:sz w:val="16"/>
          <w:szCs w:val="16"/>
        </w:rPr>
        <w:t>.</w:t>
      </w:r>
      <w:r w:rsidR="00785724" w:rsidRPr="00FF3392">
        <w:rPr>
          <w:iCs/>
          <w:sz w:val="16"/>
          <w:szCs w:val="16"/>
        </w:rPr>
        <w:t xml:space="preserve">, </w:t>
      </w:r>
      <w:r w:rsidR="00785724" w:rsidRPr="00FF3392">
        <w:rPr>
          <w:b/>
          <w:sz w:val="16"/>
          <w:szCs w:val="16"/>
        </w:rPr>
        <w:t>2022</w:t>
      </w:r>
      <w:r w:rsidR="00785724" w:rsidRPr="00FF3392">
        <w:rPr>
          <w:sz w:val="16"/>
          <w:szCs w:val="16"/>
        </w:rPr>
        <w:t xml:space="preserve">, </w:t>
      </w:r>
      <w:r w:rsidR="00785724" w:rsidRPr="00FF3392">
        <w:rPr>
          <w:i/>
          <w:sz w:val="16"/>
          <w:szCs w:val="16"/>
        </w:rPr>
        <w:t>12</w:t>
      </w:r>
      <w:r w:rsidR="00785724" w:rsidRPr="00FF3392">
        <w:rPr>
          <w:sz w:val="16"/>
          <w:szCs w:val="16"/>
        </w:rPr>
        <w:t>, 12477</w:t>
      </w:r>
      <w:r w:rsidR="001812AA">
        <w:rPr>
          <w:sz w:val="16"/>
          <w:szCs w:val="16"/>
        </w:rPr>
        <w:t>–</w:t>
      </w:r>
      <w:r w:rsidR="00785724" w:rsidRPr="00FF3392">
        <w:rPr>
          <w:sz w:val="16"/>
          <w:szCs w:val="16"/>
        </w:rPr>
        <w:t>12506. DOI: 10.1039/D2RA01346K</w:t>
      </w:r>
    </w:p>
    <w:p w:rsidR="00785724" w:rsidRPr="00FF3392" w:rsidRDefault="00C53C60" w:rsidP="00790475">
      <w:pPr>
        <w:pStyle w:val="EndNoteBibliography"/>
        <w:spacing w:after="0" w:line="264" w:lineRule="auto"/>
        <w:ind w:left="454" w:hanging="454"/>
        <w:rPr>
          <w:sz w:val="16"/>
          <w:szCs w:val="16"/>
        </w:rPr>
      </w:pPr>
      <w:r w:rsidRPr="00FF3392">
        <w:rPr>
          <w:sz w:val="16"/>
          <w:szCs w:val="16"/>
        </w:rPr>
        <w:t>3.</w:t>
      </w:r>
      <w:r w:rsidRPr="00FF3392">
        <w:rPr>
          <w:sz w:val="16"/>
          <w:szCs w:val="16"/>
        </w:rPr>
        <w:tab/>
      </w:r>
      <w:r w:rsidR="00785724" w:rsidRPr="00FF3392">
        <w:rPr>
          <w:sz w:val="16"/>
          <w:szCs w:val="16"/>
        </w:rPr>
        <w:t xml:space="preserve">R. W. Adams, J. A. Aguilar, K. D. Atkinson, M. J. Cowley, P. I. P. Elliott, S. B. Duckett, G. G. R. Green, I. G. Khazal, J. López-Serrano, D. C. Williamson, </w:t>
      </w:r>
      <w:r w:rsidR="00785724" w:rsidRPr="00FF3392">
        <w:rPr>
          <w:i/>
          <w:sz w:val="16"/>
          <w:szCs w:val="16"/>
        </w:rPr>
        <w:t>Science</w:t>
      </w:r>
      <w:r w:rsidR="00785724" w:rsidRPr="00E12DAF">
        <w:rPr>
          <w:iCs/>
          <w:sz w:val="16"/>
          <w:szCs w:val="16"/>
        </w:rPr>
        <w:t xml:space="preserve">, </w:t>
      </w:r>
      <w:r w:rsidR="00785724" w:rsidRPr="00FF3392">
        <w:rPr>
          <w:b/>
          <w:sz w:val="16"/>
          <w:szCs w:val="16"/>
        </w:rPr>
        <w:t>2009</w:t>
      </w:r>
      <w:r w:rsidR="00785724" w:rsidRPr="00FF3392">
        <w:rPr>
          <w:sz w:val="16"/>
          <w:szCs w:val="16"/>
        </w:rPr>
        <w:t xml:space="preserve">, </w:t>
      </w:r>
      <w:r w:rsidR="00785724" w:rsidRPr="00FF3392">
        <w:rPr>
          <w:i/>
          <w:sz w:val="16"/>
          <w:szCs w:val="16"/>
        </w:rPr>
        <w:t>323</w:t>
      </w:r>
      <w:r w:rsidR="00785724" w:rsidRPr="00FF3392">
        <w:rPr>
          <w:sz w:val="16"/>
          <w:szCs w:val="16"/>
        </w:rPr>
        <w:t>, 1708</w:t>
      </w:r>
      <w:r w:rsidR="00E12DAF">
        <w:rPr>
          <w:sz w:val="16"/>
          <w:szCs w:val="16"/>
        </w:rPr>
        <w:t>–</w:t>
      </w:r>
      <w:r w:rsidR="00785724" w:rsidRPr="00FF3392">
        <w:rPr>
          <w:sz w:val="16"/>
          <w:szCs w:val="16"/>
        </w:rPr>
        <w:t>1711</w:t>
      </w:r>
      <w:r w:rsidR="00E12DAF">
        <w:rPr>
          <w:sz w:val="16"/>
          <w:szCs w:val="16"/>
        </w:rPr>
        <w:t xml:space="preserve">. </w:t>
      </w:r>
      <w:r w:rsidR="00785724" w:rsidRPr="00FF3392">
        <w:rPr>
          <w:sz w:val="16"/>
          <w:szCs w:val="16"/>
        </w:rPr>
        <w:t xml:space="preserve">DOI: </w:t>
      </w:r>
      <w:r w:rsidR="003A6DBB">
        <w:rPr>
          <w:sz w:val="16"/>
          <w:szCs w:val="16"/>
        </w:rPr>
        <w:t>10.</w:t>
      </w:r>
      <w:r w:rsidR="00785724" w:rsidRPr="00FF3392">
        <w:rPr>
          <w:sz w:val="16"/>
          <w:szCs w:val="16"/>
        </w:rPr>
        <w:t>1126/science.1168877</w:t>
      </w:r>
    </w:p>
    <w:p w:rsidR="00785724" w:rsidRPr="00FF3392" w:rsidRDefault="00C53C60" w:rsidP="00AE4179">
      <w:pPr>
        <w:pStyle w:val="EndNoteBibliography"/>
        <w:spacing w:after="0" w:line="264" w:lineRule="auto"/>
        <w:ind w:left="454" w:hanging="454"/>
        <w:rPr>
          <w:sz w:val="16"/>
          <w:szCs w:val="16"/>
        </w:rPr>
      </w:pPr>
      <w:r w:rsidRPr="00FF3392">
        <w:rPr>
          <w:sz w:val="16"/>
          <w:szCs w:val="16"/>
        </w:rPr>
        <w:t>4.</w:t>
      </w:r>
      <w:r w:rsidRPr="00FF3392">
        <w:rPr>
          <w:sz w:val="16"/>
          <w:szCs w:val="16"/>
        </w:rPr>
        <w:tab/>
      </w:r>
      <w:r w:rsidR="00785724" w:rsidRPr="00FF3392">
        <w:rPr>
          <w:sz w:val="16"/>
          <w:szCs w:val="16"/>
        </w:rPr>
        <w:t xml:space="preserve">A. S. Kiryutin, V. P. Kozinenko, A. V. Yurkovskaya, </w:t>
      </w:r>
      <w:r w:rsidR="00785724" w:rsidRPr="00FF3392">
        <w:rPr>
          <w:i/>
          <w:sz w:val="16"/>
          <w:szCs w:val="16"/>
        </w:rPr>
        <w:t>ChemPhotoChem</w:t>
      </w:r>
      <w:r w:rsidR="00785724" w:rsidRPr="003A6DBB">
        <w:rPr>
          <w:iCs/>
          <w:sz w:val="16"/>
          <w:szCs w:val="16"/>
        </w:rPr>
        <w:t>,</w:t>
      </w:r>
      <w:r w:rsidR="00785724" w:rsidRPr="00FF3392">
        <w:rPr>
          <w:i/>
          <w:sz w:val="16"/>
          <w:szCs w:val="16"/>
        </w:rPr>
        <w:t xml:space="preserve"> </w:t>
      </w:r>
      <w:r w:rsidR="00785724" w:rsidRPr="00FF3392">
        <w:rPr>
          <w:b/>
          <w:sz w:val="16"/>
          <w:szCs w:val="16"/>
        </w:rPr>
        <w:t>2024</w:t>
      </w:r>
      <w:r w:rsidR="00785724" w:rsidRPr="00FF3392">
        <w:rPr>
          <w:sz w:val="16"/>
          <w:szCs w:val="16"/>
        </w:rPr>
        <w:t xml:space="preserve">, </w:t>
      </w:r>
      <w:r w:rsidR="00785724" w:rsidRPr="00FF3392">
        <w:rPr>
          <w:i/>
          <w:sz w:val="16"/>
          <w:szCs w:val="16"/>
        </w:rPr>
        <w:t>8</w:t>
      </w:r>
      <w:r w:rsidR="00785724" w:rsidRPr="00FF3392">
        <w:rPr>
          <w:sz w:val="16"/>
          <w:szCs w:val="16"/>
        </w:rPr>
        <w:t xml:space="preserve">, e202300151 DOI: </w:t>
      </w:r>
      <w:r w:rsidR="00785724" w:rsidRPr="003A6DBB">
        <w:rPr>
          <w:sz w:val="16"/>
          <w:szCs w:val="16"/>
        </w:rPr>
        <w:t>10.1002/cptc.202300151</w:t>
      </w:r>
    </w:p>
    <w:p w:rsidR="00785724" w:rsidRPr="00FF3392" w:rsidRDefault="00C53C60" w:rsidP="00AE4179">
      <w:pPr>
        <w:pStyle w:val="EndNoteBibliography"/>
        <w:spacing w:after="0" w:line="264" w:lineRule="auto"/>
        <w:ind w:left="454" w:hanging="454"/>
        <w:rPr>
          <w:sz w:val="16"/>
          <w:szCs w:val="16"/>
        </w:rPr>
      </w:pPr>
      <w:r w:rsidRPr="00FF3392">
        <w:rPr>
          <w:sz w:val="16"/>
          <w:szCs w:val="16"/>
        </w:rPr>
        <w:t>5.</w:t>
      </w:r>
      <w:r w:rsidRPr="00FF3392">
        <w:rPr>
          <w:sz w:val="16"/>
          <w:szCs w:val="16"/>
        </w:rPr>
        <w:tab/>
      </w:r>
      <w:r w:rsidR="00785724" w:rsidRPr="00FF3392">
        <w:rPr>
          <w:sz w:val="16"/>
          <w:szCs w:val="16"/>
        </w:rPr>
        <w:t>A. B. Schmidt, E. Y. Chekmenev, H. de Maissin, P. R. Groß, S. Petersen, L. Nagel, F. Schilling, I. Schwartz, T. Reinheckel, J.</w:t>
      </w:r>
      <w:r w:rsidR="004A5523">
        <w:rPr>
          <w:sz w:val="16"/>
          <w:szCs w:val="16"/>
        </w:rPr>
        <w:t>-</w:t>
      </w:r>
      <w:r w:rsidR="00785724" w:rsidRPr="00FF3392">
        <w:rPr>
          <w:sz w:val="16"/>
          <w:szCs w:val="16"/>
        </w:rPr>
        <w:t xml:space="preserve">B. Hövener, S. Knecht, </w:t>
      </w:r>
      <w:r w:rsidR="00785724" w:rsidRPr="00FF3392">
        <w:rPr>
          <w:i/>
          <w:sz w:val="16"/>
          <w:szCs w:val="16"/>
        </w:rPr>
        <w:t>Anal</w:t>
      </w:r>
      <w:r w:rsidR="004A5523">
        <w:rPr>
          <w:i/>
          <w:sz w:val="16"/>
          <w:szCs w:val="16"/>
        </w:rPr>
        <w:t>ysis</w:t>
      </w:r>
      <w:r w:rsidR="00785724" w:rsidRPr="00FF3392">
        <w:rPr>
          <w:i/>
          <w:sz w:val="16"/>
          <w:szCs w:val="16"/>
        </w:rPr>
        <w:t xml:space="preserve"> Sensing</w:t>
      </w:r>
      <w:r w:rsidR="00785724" w:rsidRPr="003A6DBB">
        <w:rPr>
          <w:iCs/>
          <w:sz w:val="16"/>
          <w:szCs w:val="16"/>
        </w:rPr>
        <w:t xml:space="preserve">, </w:t>
      </w:r>
      <w:r w:rsidR="00785724" w:rsidRPr="00FF3392">
        <w:rPr>
          <w:b/>
          <w:sz w:val="16"/>
          <w:szCs w:val="16"/>
        </w:rPr>
        <w:t>2024</w:t>
      </w:r>
      <w:r w:rsidR="00785724" w:rsidRPr="00FF3392">
        <w:rPr>
          <w:bCs/>
          <w:sz w:val="16"/>
          <w:szCs w:val="16"/>
        </w:rPr>
        <w:t>, e202400039</w:t>
      </w:r>
      <w:r w:rsidR="00785724" w:rsidRPr="00FF3392">
        <w:rPr>
          <w:sz w:val="16"/>
          <w:szCs w:val="16"/>
        </w:rPr>
        <w:t>. DOI: 10.1002/anse.202400039</w:t>
      </w:r>
    </w:p>
    <w:p w:rsidR="00785724" w:rsidRPr="00FF3392" w:rsidRDefault="00C53C60" w:rsidP="00AE4179">
      <w:pPr>
        <w:pStyle w:val="EndNoteBibliography"/>
        <w:spacing w:after="0" w:line="264" w:lineRule="auto"/>
        <w:ind w:left="454" w:hanging="454"/>
        <w:rPr>
          <w:sz w:val="16"/>
          <w:szCs w:val="16"/>
        </w:rPr>
      </w:pPr>
      <w:r w:rsidRPr="00FF3392">
        <w:rPr>
          <w:sz w:val="16"/>
          <w:szCs w:val="16"/>
        </w:rPr>
        <w:t>6.</w:t>
      </w:r>
      <w:r w:rsidRPr="00FF3392">
        <w:rPr>
          <w:sz w:val="16"/>
          <w:szCs w:val="16"/>
        </w:rPr>
        <w:tab/>
      </w:r>
      <w:r w:rsidR="00785724" w:rsidRPr="00FF3392">
        <w:rPr>
          <w:sz w:val="16"/>
          <w:szCs w:val="16"/>
        </w:rPr>
        <w:t xml:space="preserve">T. Theis, M. Truong, A. M. Coffey, E. Y. Chekmenev, W. S. Warren, </w:t>
      </w:r>
      <w:r w:rsidR="00785724" w:rsidRPr="00FF3392">
        <w:rPr>
          <w:i/>
          <w:sz w:val="16"/>
          <w:szCs w:val="16"/>
        </w:rPr>
        <w:t>J</w:t>
      </w:r>
      <w:r w:rsidR="004A5523">
        <w:rPr>
          <w:i/>
          <w:sz w:val="16"/>
          <w:szCs w:val="16"/>
        </w:rPr>
        <w:t>.</w:t>
      </w:r>
      <w:r w:rsidR="00785724" w:rsidRPr="00FF3392">
        <w:rPr>
          <w:i/>
          <w:sz w:val="16"/>
          <w:szCs w:val="16"/>
        </w:rPr>
        <w:t xml:space="preserve"> Magn</w:t>
      </w:r>
      <w:r w:rsidR="007A5656">
        <w:rPr>
          <w:i/>
          <w:sz w:val="16"/>
          <w:szCs w:val="16"/>
        </w:rPr>
        <w:t>.</w:t>
      </w:r>
      <w:r w:rsidR="00785724" w:rsidRPr="00FF3392">
        <w:rPr>
          <w:i/>
          <w:sz w:val="16"/>
          <w:szCs w:val="16"/>
        </w:rPr>
        <w:t xml:space="preserve"> Reson</w:t>
      </w:r>
      <w:r w:rsidR="007A5656">
        <w:rPr>
          <w:i/>
          <w:sz w:val="16"/>
          <w:szCs w:val="16"/>
        </w:rPr>
        <w:t>.</w:t>
      </w:r>
      <w:r w:rsidR="00785724" w:rsidRPr="007A5656">
        <w:rPr>
          <w:iCs/>
          <w:sz w:val="16"/>
          <w:szCs w:val="16"/>
        </w:rPr>
        <w:t xml:space="preserve">, </w:t>
      </w:r>
      <w:r w:rsidR="00785724" w:rsidRPr="00FF3392">
        <w:rPr>
          <w:b/>
          <w:sz w:val="16"/>
          <w:szCs w:val="16"/>
        </w:rPr>
        <w:t>2014</w:t>
      </w:r>
      <w:r w:rsidR="00785724" w:rsidRPr="00FF3392">
        <w:rPr>
          <w:sz w:val="16"/>
          <w:szCs w:val="16"/>
        </w:rPr>
        <w:t xml:space="preserve">, </w:t>
      </w:r>
      <w:r w:rsidR="00785724" w:rsidRPr="00FF3392">
        <w:rPr>
          <w:i/>
          <w:sz w:val="16"/>
          <w:szCs w:val="16"/>
        </w:rPr>
        <w:t>248</w:t>
      </w:r>
      <w:r w:rsidR="00785724" w:rsidRPr="00FF3392">
        <w:rPr>
          <w:sz w:val="16"/>
          <w:szCs w:val="16"/>
        </w:rPr>
        <w:t>, 23</w:t>
      </w:r>
      <w:r w:rsidR="00C425F1">
        <w:rPr>
          <w:sz w:val="16"/>
          <w:szCs w:val="16"/>
        </w:rPr>
        <w:t>–</w:t>
      </w:r>
      <w:r w:rsidR="00785724" w:rsidRPr="00FF3392">
        <w:rPr>
          <w:sz w:val="16"/>
          <w:szCs w:val="16"/>
        </w:rPr>
        <w:t>26. DOI: 10.1016/j.jmr.2014.09.005</w:t>
      </w:r>
    </w:p>
    <w:p w:rsidR="00785724" w:rsidRPr="00FF3392" w:rsidRDefault="00C53C60" w:rsidP="00AE4179">
      <w:pPr>
        <w:pStyle w:val="EndNoteBibliography"/>
        <w:spacing w:after="0" w:line="264" w:lineRule="auto"/>
        <w:ind w:left="454" w:hanging="454"/>
        <w:rPr>
          <w:sz w:val="16"/>
          <w:szCs w:val="16"/>
        </w:rPr>
      </w:pPr>
      <w:r w:rsidRPr="00FF3392">
        <w:rPr>
          <w:sz w:val="16"/>
          <w:szCs w:val="16"/>
        </w:rPr>
        <w:t>7.</w:t>
      </w:r>
      <w:r w:rsidRPr="00FF3392">
        <w:rPr>
          <w:sz w:val="16"/>
          <w:szCs w:val="16"/>
        </w:rPr>
        <w:tab/>
      </w:r>
      <w:r w:rsidR="00785724" w:rsidRPr="00FF3392">
        <w:rPr>
          <w:sz w:val="16"/>
          <w:szCs w:val="16"/>
        </w:rPr>
        <w:t xml:space="preserve">S. Knecht, A. S. Kiryutin, A. V. Yurkovskaya, K. L. Ivanov, </w:t>
      </w:r>
      <w:r w:rsidR="00785724" w:rsidRPr="00FF3392">
        <w:rPr>
          <w:i/>
          <w:sz w:val="16"/>
          <w:szCs w:val="16"/>
        </w:rPr>
        <w:t>J</w:t>
      </w:r>
      <w:r w:rsidR="007A5656">
        <w:rPr>
          <w:i/>
          <w:sz w:val="16"/>
          <w:szCs w:val="16"/>
        </w:rPr>
        <w:t>.</w:t>
      </w:r>
      <w:r w:rsidR="00785724" w:rsidRPr="00FF3392">
        <w:rPr>
          <w:i/>
          <w:sz w:val="16"/>
          <w:szCs w:val="16"/>
        </w:rPr>
        <w:t xml:space="preserve"> Magn</w:t>
      </w:r>
      <w:r w:rsidR="007A5656">
        <w:rPr>
          <w:i/>
          <w:sz w:val="16"/>
          <w:szCs w:val="16"/>
        </w:rPr>
        <w:t>.</w:t>
      </w:r>
      <w:r w:rsidR="00785724" w:rsidRPr="00FF3392">
        <w:rPr>
          <w:i/>
          <w:sz w:val="16"/>
          <w:szCs w:val="16"/>
        </w:rPr>
        <w:t xml:space="preserve"> Reson</w:t>
      </w:r>
      <w:r w:rsidR="007A5656">
        <w:rPr>
          <w:i/>
          <w:sz w:val="16"/>
          <w:szCs w:val="16"/>
        </w:rPr>
        <w:t>.</w:t>
      </w:r>
      <w:r w:rsidR="00785724" w:rsidRPr="007A5656">
        <w:rPr>
          <w:iCs/>
          <w:sz w:val="16"/>
          <w:szCs w:val="16"/>
        </w:rPr>
        <w:t xml:space="preserve">, </w:t>
      </w:r>
      <w:r w:rsidR="00785724" w:rsidRPr="00FF3392">
        <w:rPr>
          <w:b/>
          <w:sz w:val="16"/>
          <w:szCs w:val="16"/>
        </w:rPr>
        <w:t>2018</w:t>
      </w:r>
      <w:r w:rsidR="00785724" w:rsidRPr="00FF3392">
        <w:rPr>
          <w:sz w:val="16"/>
          <w:szCs w:val="16"/>
        </w:rPr>
        <w:t xml:space="preserve">, </w:t>
      </w:r>
      <w:r w:rsidR="00785724" w:rsidRPr="00FF3392">
        <w:rPr>
          <w:i/>
          <w:sz w:val="16"/>
          <w:szCs w:val="16"/>
        </w:rPr>
        <w:t>287</w:t>
      </w:r>
      <w:r w:rsidR="00785724" w:rsidRPr="00FF3392">
        <w:rPr>
          <w:sz w:val="16"/>
          <w:szCs w:val="16"/>
        </w:rPr>
        <w:t>, 10</w:t>
      </w:r>
      <w:r w:rsidR="007A5656">
        <w:rPr>
          <w:sz w:val="16"/>
          <w:szCs w:val="16"/>
        </w:rPr>
        <w:t>–</w:t>
      </w:r>
      <w:r w:rsidR="00785724" w:rsidRPr="00FF3392">
        <w:rPr>
          <w:sz w:val="16"/>
          <w:szCs w:val="16"/>
        </w:rPr>
        <w:t>14. DOI: 10.1016/j.jmr.2017.12.010</w:t>
      </w:r>
    </w:p>
    <w:p w:rsidR="00785724" w:rsidRPr="00FF3392" w:rsidRDefault="00C53C60" w:rsidP="00C53C60">
      <w:pPr>
        <w:pStyle w:val="EndNoteBibliography"/>
        <w:spacing w:after="0" w:line="264" w:lineRule="auto"/>
        <w:ind w:left="454" w:hanging="454"/>
        <w:rPr>
          <w:sz w:val="16"/>
          <w:szCs w:val="16"/>
        </w:rPr>
      </w:pPr>
      <w:r w:rsidRPr="00FF3392">
        <w:rPr>
          <w:sz w:val="16"/>
          <w:szCs w:val="16"/>
        </w:rPr>
        <w:t>8.</w:t>
      </w:r>
      <w:r w:rsidRPr="00FF3392">
        <w:rPr>
          <w:sz w:val="16"/>
          <w:szCs w:val="16"/>
        </w:rPr>
        <w:tab/>
      </w:r>
      <w:r w:rsidR="00785724" w:rsidRPr="00FF3392">
        <w:rPr>
          <w:sz w:val="16"/>
          <w:szCs w:val="16"/>
        </w:rPr>
        <w:t xml:space="preserve">D. A. Markelov, V. P. Kozinenko, A. S. Kiryutin, A. V. Yurkovskaya, </w:t>
      </w:r>
      <w:r w:rsidR="00785724" w:rsidRPr="00FF3392">
        <w:rPr>
          <w:i/>
          <w:sz w:val="16"/>
          <w:szCs w:val="16"/>
        </w:rPr>
        <w:t>J</w:t>
      </w:r>
      <w:r w:rsidR="005D2AAA">
        <w:rPr>
          <w:i/>
          <w:sz w:val="16"/>
          <w:szCs w:val="16"/>
        </w:rPr>
        <w:t>.</w:t>
      </w:r>
      <w:r w:rsidR="00785724" w:rsidRPr="00FF3392">
        <w:rPr>
          <w:i/>
          <w:sz w:val="16"/>
          <w:szCs w:val="16"/>
        </w:rPr>
        <w:t xml:space="preserve"> Chem</w:t>
      </w:r>
      <w:r w:rsidR="005D2AAA">
        <w:rPr>
          <w:i/>
          <w:sz w:val="16"/>
          <w:szCs w:val="16"/>
        </w:rPr>
        <w:t>.</w:t>
      </w:r>
      <w:r w:rsidR="00785724" w:rsidRPr="00FF3392">
        <w:rPr>
          <w:i/>
          <w:sz w:val="16"/>
          <w:szCs w:val="16"/>
        </w:rPr>
        <w:t xml:space="preserve"> Phys</w:t>
      </w:r>
      <w:r w:rsidR="005D2AAA">
        <w:rPr>
          <w:i/>
          <w:sz w:val="16"/>
          <w:szCs w:val="16"/>
        </w:rPr>
        <w:t>.</w:t>
      </w:r>
      <w:r w:rsidR="00785724" w:rsidRPr="005D2AAA">
        <w:rPr>
          <w:iCs/>
          <w:sz w:val="16"/>
          <w:szCs w:val="16"/>
        </w:rPr>
        <w:t xml:space="preserve">, </w:t>
      </w:r>
      <w:r w:rsidR="00785724" w:rsidRPr="00FF3392">
        <w:rPr>
          <w:b/>
          <w:sz w:val="16"/>
          <w:szCs w:val="16"/>
        </w:rPr>
        <w:t>2024</w:t>
      </w:r>
      <w:r w:rsidR="00785724" w:rsidRPr="00FF3392">
        <w:rPr>
          <w:sz w:val="16"/>
          <w:szCs w:val="16"/>
        </w:rPr>
        <w:t xml:space="preserve">, </w:t>
      </w:r>
      <w:r w:rsidR="00785724" w:rsidRPr="00FF3392">
        <w:rPr>
          <w:i/>
          <w:sz w:val="16"/>
          <w:szCs w:val="16"/>
        </w:rPr>
        <w:t>161</w:t>
      </w:r>
      <w:r w:rsidR="005D2AAA">
        <w:rPr>
          <w:sz w:val="16"/>
          <w:szCs w:val="16"/>
        </w:rPr>
        <w:t>, 214203.</w:t>
      </w:r>
      <w:r w:rsidR="00785724" w:rsidRPr="00FF3392">
        <w:rPr>
          <w:sz w:val="16"/>
          <w:szCs w:val="16"/>
        </w:rPr>
        <w:t xml:space="preserve"> DOI: 10.1063/5.0236841</w:t>
      </w:r>
    </w:p>
    <w:p w:rsidR="00785724" w:rsidRPr="00FF3392" w:rsidRDefault="00C53C60" w:rsidP="00C53C60">
      <w:pPr>
        <w:pStyle w:val="EndNoteBibliography"/>
        <w:spacing w:after="0" w:line="264" w:lineRule="auto"/>
        <w:ind w:left="454" w:hanging="454"/>
        <w:rPr>
          <w:sz w:val="16"/>
          <w:szCs w:val="16"/>
        </w:rPr>
      </w:pPr>
      <w:r w:rsidRPr="00FF3392">
        <w:rPr>
          <w:sz w:val="16"/>
          <w:szCs w:val="16"/>
        </w:rPr>
        <w:t>9.</w:t>
      </w:r>
      <w:r w:rsidRPr="00FF3392">
        <w:rPr>
          <w:sz w:val="16"/>
          <w:szCs w:val="16"/>
        </w:rPr>
        <w:tab/>
      </w:r>
      <w:r w:rsidR="00785724" w:rsidRPr="00FF3392">
        <w:rPr>
          <w:sz w:val="16"/>
          <w:szCs w:val="16"/>
        </w:rPr>
        <w:t xml:space="preserve">A. C. Ruberte, C. Sanmartin, C. Aydillo, A. K. Sharma, D. Plano, </w:t>
      </w:r>
      <w:r w:rsidR="00785724" w:rsidRPr="00FF3392">
        <w:rPr>
          <w:i/>
          <w:sz w:val="16"/>
          <w:szCs w:val="16"/>
        </w:rPr>
        <w:t>J</w:t>
      </w:r>
      <w:r w:rsidR="005D2AAA">
        <w:rPr>
          <w:i/>
          <w:sz w:val="16"/>
          <w:szCs w:val="16"/>
        </w:rPr>
        <w:t>.</w:t>
      </w:r>
      <w:r w:rsidR="00785724" w:rsidRPr="00FF3392">
        <w:rPr>
          <w:i/>
          <w:sz w:val="16"/>
          <w:szCs w:val="16"/>
        </w:rPr>
        <w:t xml:space="preserve"> Med</w:t>
      </w:r>
      <w:r w:rsidR="005D2AAA">
        <w:rPr>
          <w:i/>
          <w:sz w:val="16"/>
          <w:szCs w:val="16"/>
        </w:rPr>
        <w:t>.</w:t>
      </w:r>
      <w:r w:rsidR="00785724" w:rsidRPr="00FF3392">
        <w:rPr>
          <w:i/>
          <w:sz w:val="16"/>
          <w:szCs w:val="16"/>
        </w:rPr>
        <w:t xml:space="preserve"> Chem</w:t>
      </w:r>
      <w:r w:rsidR="005D2AAA">
        <w:rPr>
          <w:i/>
          <w:sz w:val="16"/>
          <w:szCs w:val="16"/>
        </w:rPr>
        <w:t>.</w:t>
      </w:r>
      <w:r w:rsidR="00785724" w:rsidRPr="005D2AAA">
        <w:rPr>
          <w:iCs/>
          <w:sz w:val="16"/>
          <w:szCs w:val="16"/>
        </w:rPr>
        <w:t xml:space="preserve">, </w:t>
      </w:r>
      <w:r w:rsidR="00785724" w:rsidRPr="00FF3392">
        <w:rPr>
          <w:b/>
          <w:sz w:val="16"/>
          <w:szCs w:val="16"/>
        </w:rPr>
        <w:t>2020</w:t>
      </w:r>
      <w:r w:rsidR="00785724" w:rsidRPr="00FF3392">
        <w:rPr>
          <w:sz w:val="16"/>
          <w:szCs w:val="16"/>
        </w:rPr>
        <w:t xml:space="preserve">, </w:t>
      </w:r>
      <w:r w:rsidR="00785724" w:rsidRPr="00FF3392">
        <w:rPr>
          <w:i/>
          <w:sz w:val="16"/>
          <w:szCs w:val="16"/>
        </w:rPr>
        <w:t>63</w:t>
      </w:r>
      <w:r w:rsidR="00785724" w:rsidRPr="00FF3392">
        <w:rPr>
          <w:sz w:val="16"/>
          <w:szCs w:val="16"/>
        </w:rPr>
        <w:t>, 1473</w:t>
      </w:r>
      <w:r w:rsidR="00C425F1">
        <w:rPr>
          <w:sz w:val="16"/>
          <w:szCs w:val="16"/>
        </w:rPr>
        <w:t>–</w:t>
      </w:r>
      <w:r w:rsidR="00785724" w:rsidRPr="00FF3392">
        <w:rPr>
          <w:sz w:val="16"/>
          <w:szCs w:val="16"/>
        </w:rPr>
        <w:t>1489. DOI: 10.1021/acs.jmedchem.9b01152</w:t>
      </w:r>
    </w:p>
    <w:p w:rsidR="00785724" w:rsidRPr="00FF3392" w:rsidRDefault="00C53C60" w:rsidP="00C53C60">
      <w:pPr>
        <w:pStyle w:val="EndNoteBibliography"/>
        <w:spacing w:after="0" w:line="264" w:lineRule="auto"/>
        <w:ind w:left="454" w:hanging="454"/>
        <w:rPr>
          <w:sz w:val="16"/>
          <w:szCs w:val="16"/>
        </w:rPr>
      </w:pPr>
      <w:r w:rsidRPr="00FF3392">
        <w:rPr>
          <w:sz w:val="16"/>
          <w:szCs w:val="16"/>
        </w:rPr>
        <w:t>10.</w:t>
      </w:r>
      <w:r w:rsidRPr="00FF3392">
        <w:rPr>
          <w:sz w:val="16"/>
          <w:szCs w:val="16"/>
        </w:rPr>
        <w:tab/>
      </w:r>
      <w:r w:rsidR="00785724" w:rsidRPr="00FF3392">
        <w:rPr>
          <w:sz w:val="16"/>
          <w:szCs w:val="16"/>
        </w:rPr>
        <w:t xml:space="preserve">W. Iali, S. S. Roy, B. J. Tickner, F. Ahwal, A. J. Kennerley, S. B. Duckett, </w:t>
      </w:r>
      <w:r w:rsidR="00785724" w:rsidRPr="00FF3392">
        <w:rPr>
          <w:i/>
          <w:sz w:val="16"/>
          <w:szCs w:val="16"/>
        </w:rPr>
        <w:t>Angew</w:t>
      </w:r>
      <w:r w:rsidR="00C76D38">
        <w:rPr>
          <w:i/>
          <w:sz w:val="16"/>
          <w:szCs w:val="16"/>
        </w:rPr>
        <w:t>.</w:t>
      </w:r>
      <w:r w:rsidR="00785724" w:rsidRPr="00FF3392">
        <w:rPr>
          <w:i/>
          <w:sz w:val="16"/>
          <w:szCs w:val="16"/>
        </w:rPr>
        <w:t xml:space="preserve"> Chem</w:t>
      </w:r>
      <w:r w:rsidR="00C76D38">
        <w:rPr>
          <w:i/>
          <w:sz w:val="16"/>
          <w:szCs w:val="16"/>
        </w:rPr>
        <w:t>.</w:t>
      </w:r>
      <w:r w:rsidR="00C76D38">
        <w:rPr>
          <w:iCs/>
          <w:sz w:val="16"/>
          <w:szCs w:val="16"/>
        </w:rPr>
        <w:t>,</w:t>
      </w:r>
      <w:r w:rsidR="00785724" w:rsidRPr="00FF3392">
        <w:rPr>
          <w:i/>
          <w:sz w:val="16"/>
          <w:szCs w:val="16"/>
        </w:rPr>
        <w:t xml:space="preserve"> Int</w:t>
      </w:r>
      <w:r w:rsidR="00C76D38">
        <w:rPr>
          <w:i/>
          <w:sz w:val="16"/>
          <w:szCs w:val="16"/>
        </w:rPr>
        <w:t>.</w:t>
      </w:r>
      <w:r w:rsidR="00785724" w:rsidRPr="00FF3392">
        <w:rPr>
          <w:i/>
          <w:sz w:val="16"/>
          <w:szCs w:val="16"/>
        </w:rPr>
        <w:t xml:space="preserve"> Ed</w:t>
      </w:r>
      <w:r w:rsidR="00C76D38">
        <w:rPr>
          <w:i/>
          <w:sz w:val="16"/>
          <w:szCs w:val="16"/>
        </w:rPr>
        <w:t>.</w:t>
      </w:r>
      <w:r w:rsidR="00785724" w:rsidRPr="00C76D38">
        <w:rPr>
          <w:iCs/>
          <w:sz w:val="16"/>
          <w:szCs w:val="16"/>
        </w:rPr>
        <w:t xml:space="preserve">, </w:t>
      </w:r>
      <w:r w:rsidR="00785724" w:rsidRPr="00FF3392">
        <w:rPr>
          <w:b/>
          <w:sz w:val="16"/>
          <w:szCs w:val="16"/>
        </w:rPr>
        <w:t>2019</w:t>
      </w:r>
      <w:r w:rsidR="00785724" w:rsidRPr="00FF3392">
        <w:rPr>
          <w:sz w:val="16"/>
          <w:szCs w:val="16"/>
        </w:rPr>
        <w:t xml:space="preserve">, </w:t>
      </w:r>
      <w:r w:rsidR="00785724" w:rsidRPr="00FF3392">
        <w:rPr>
          <w:i/>
          <w:sz w:val="16"/>
          <w:szCs w:val="16"/>
        </w:rPr>
        <w:t>58</w:t>
      </w:r>
      <w:r w:rsidR="00785724" w:rsidRPr="00FF3392">
        <w:rPr>
          <w:sz w:val="16"/>
          <w:szCs w:val="16"/>
        </w:rPr>
        <w:t>, 10271</w:t>
      </w:r>
      <w:r w:rsidR="00C76D38">
        <w:rPr>
          <w:sz w:val="16"/>
          <w:szCs w:val="16"/>
        </w:rPr>
        <w:t>–</w:t>
      </w:r>
      <w:r w:rsidR="00785724" w:rsidRPr="00FF3392">
        <w:rPr>
          <w:sz w:val="16"/>
          <w:szCs w:val="16"/>
        </w:rPr>
        <w:t>10275. DOI: 10.1002/anie.201905483</w:t>
      </w:r>
    </w:p>
    <w:p w:rsidR="00785724" w:rsidRPr="00FF3392" w:rsidRDefault="00AE4179" w:rsidP="00AE4179">
      <w:pPr>
        <w:pStyle w:val="EndNoteBibliography"/>
        <w:spacing w:after="0" w:line="264" w:lineRule="auto"/>
        <w:ind w:left="454" w:hanging="454"/>
        <w:rPr>
          <w:sz w:val="16"/>
          <w:szCs w:val="16"/>
        </w:rPr>
      </w:pPr>
      <w:r w:rsidRPr="00FF3392">
        <w:rPr>
          <w:sz w:val="16"/>
          <w:szCs w:val="16"/>
        </w:rPr>
        <w:t>11.</w:t>
      </w:r>
      <w:r w:rsidRPr="00FF3392">
        <w:rPr>
          <w:sz w:val="16"/>
          <w:szCs w:val="16"/>
        </w:rPr>
        <w:tab/>
      </w:r>
      <w:r w:rsidR="00785724" w:rsidRPr="00FF3392">
        <w:rPr>
          <w:sz w:val="16"/>
          <w:szCs w:val="16"/>
        </w:rPr>
        <w:t xml:space="preserve">I. Kownacki, M. Kubicki, K. Szubert, B. Marciniec, </w:t>
      </w:r>
      <w:r w:rsidR="00785724" w:rsidRPr="00FF3392">
        <w:rPr>
          <w:i/>
          <w:sz w:val="16"/>
          <w:szCs w:val="16"/>
        </w:rPr>
        <w:t>J</w:t>
      </w:r>
      <w:r w:rsidR="009C7638">
        <w:rPr>
          <w:i/>
          <w:sz w:val="16"/>
          <w:szCs w:val="16"/>
        </w:rPr>
        <w:t>.</w:t>
      </w:r>
      <w:r w:rsidR="00785724" w:rsidRPr="00FF3392">
        <w:rPr>
          <w:i/>
          <w:sz w:val="16"/>
          <w:szCs w:val="16"/>
        </w:rPr>
        <w:t xml:space="preserve"> Organomet</w:t>
      </w:r>
      <w:r w:rsidR="009C7638">
        <w:rPr>
          <w:i/>
          <w:sz w:val="16"/>
          <w:szCs w:val="16"/>
        </w:rPr>
        <w:t>.</w:t>
      </w:r>
      <w:r w:rsidR="00785724" w:rsidRPr="00FF3392">
        <w:rPr>
          <w:i/>
          <w:sz w:val="16"/>
          <w:szCs w:val="16"/>
        </w:rPr>
        <w:t xml:space="preserve"> Chem</w:t>
      </w:r>
      <w:r w:rsidR="009C7638">
        <w:rPr>
          <w:i/>
          <w:sz w:val="16"/>
          <w:szCs w:val="16"/>
        </w:rPr>
        <w:t>.</w:t>
      </w:r>
      <w:r w:rsidR="00785724" w:rsidRPr="009C7638">
        <w:rPr>
          <w:iCs/>
          <w:sz w:val="16"/>
          <w:szCs w:val="16"/>
        </w:rPr>
        <w:t xml:space="preserve">, </w:t>
      </w:r>
      <w:r w:rsidR="00785724" w:rsidRPr="00FF3392">
        <w:rPr>
          <w:b/>
          <w:sz w:val="16"/>
          <w:szCs w:val="16"/>
        </w:rPr>
        <w:t>2008</w:t>
      </w:r>
      <w:r w:rsidR="00785724" w:rsidRPr="00FF3392">
        <w:rPr>
          <w:sz w:val="16"/>
          <w:szCs w:val="16"/>
        </w:rPr>
        <w:t xml:space="preserve">, </w:t>
      </w:r>
      <w:r w:rsidR="00785724" w:rsidRPr="00FF3392">
        <w:rPr>
          <w:i/>
          <w:sz w:val="16"/>
          <w:szCs w:val="16"/>
        </w:rPr>
        <w:t>693</w:t>
      </w:r>
      <w:r w:rsidR="00785724" w:rsidRPr="00FF3392">
        <w:rPr>
          <w:sz w:val="16"/>
          <w:szCs w:val="16"/>
        </w:rPr>
        <w:t>, 321</w:t>
      </w:r>
      <w:r w:rsidR="009C7638">
        <w:rPr>
          <w:sz w:val="16"/>
          <w:szCs w:val="16"/>
        </w:rPr>
        <w:t>–</w:t>
      </w:r>
      <w:r w:rsidR="00785724" w:rsidRPr="00FF3392">
        <w:rPr>
          <w:sz w:val="16"/>
          <w:szCs w:val="16"/>
        </w:rPr>
        <w:t>328. DOI: 10.1016/j.jorganchem.2007.11.013</w:t>
      </w:r>
    </w:p>
    <w:p w:rsidR="00785724" w:rsidRPr="00FF3392" w:rsidRDefault="00FF3392" w:rsidP="00FF3392">
      <w:pPr>
        <w:pStyle w:val="EndNoteBibliography"/>
        <w:spacing w:after="0" w:line="264" w:lineRule="auto"/>
        <w:ind w:left="454" w:hanging="454"/>
        <w:rPr>
          <w:sz w:val="16"/>
          <w:szCs w:val="16"/>
        </w:rPr>
      </w:pPr>
      <w:r w:rsidRPr="00FF3392">
        <w:rPr>
          <w:sz w:val="16"/>
          <w:szCs w:val="16"/>
        </w:rPr>
        <w:t>12.</w:t>
      </w:r>
      <w:r w:rsidRPr="00FF3392">
        <w:rPr>
          <w:sz w:val="16"/>
          <w:szCs w:val="16"/>
        </w:rPr>
        <w:tab/>
      </w:r>
      <w:r w:rsidR="00785724" w:rsidRPr="00FF3392">
        <w:rPr>
          <w:sz w:val="16"/>
          <w:szCs w:val="16"/>
        </w:rPr>
        <w:t xml:space="preserve">V. N. Khrustalev, M. M. Grishina, Z. V. Matsulevich, J. M. Lukiyanova, G. N. Borisova, V. K. Osmanov, A. S. Novikov, A. A. Kirichuk, A. V. Borisov, E. Solari, A. G. Tskhovrebov, </w:t>
      </w:r>
      <w:r w:rsidR="00785724" w:rsidRPr="00FF3392">
        <w:rPr>
          <w:i/>
          <w:sz w:val="16"/>
          <w:szCs w:val="16"/>
        </w:rPr>
        <w:t>Dalton Trans</w:t>
      </w:r>
      <w:r w:rsidR="008B720A">
        <w:rPr>
          <w:i/>
          <w:sz w:val="16"/>
          <w:szCs w:val="16"/>
        </w:rPr>
        <w:t>.</w:t>
      </w:r>
      <w:r w:rsidR="00785724" w:rsidRPr="008B720A">
        <w:rPr>
          <w:iCs/>
          <w:sz w:val="16"/>
          <w:szCs w:val="16"/>
        </w:rPr>
        <w:t xml:space="preserve">, </w:t>
      </w:r>
      <w:r w:rsidR="00785724" w:rsidRPr="00FF3392">
        <w:rPr>
          <w:b/>
          <w:sz w:val="16"/>
          <w:szCs w:val="16"/>
        </w:rPr>
        <w:t>2021</w:t>
      </w:r>
      <w:r w:rsidR="00785724" w:rsidRPr="00FF3392">
        <w:rPr>
          <w:sz w:val="16"/>
          <w:szCs w:val="16"/>
        </w:rPr>
        <w:t xml:space="preserve">, </w:t>
      </w:r>
      <w:r w:rsidR="00785724" w:rsidRPr="00FF3392">
        <w:rPr>
          <w:i/>
          <w:sz w:val="16"/>
          <w:szCs w:val="16"/>
        </w:rPr>
        <w:t>50</w:t>
      </w:r>
      <w:r w:rsidR="00785724" w:rsidRPr="00FF3392">
        <w:rPr>
          <w:sz w:val="16"/>
          <w:szCs w:val="16"/>
        </w:rPr>
        <w:t>, 10689</w:t>
      </w:r>
      <w:r w:rsidR="008B720A">
        <w:rPr>
          <w:sz w:val="16"/>
          <w:szCs w:val="16"/>
        </w:rPr>
        <w:t>–</w:t>
      </w:r>
      <w:r w:rsidR="00785724" w:rsidRPr="00FF3392">
        <w:rPr>
          <w:sz w:val="16"/>
          <w:szCs w:val="16"/>
        </w:rPr>
        <w:t>10691. DOI: 10.1039/D1DT01322J</w:t>
      </w:r>
    </w:p>
    <w:p w:rsidR="00785724" w:rsidRPr="00FF3392" w:rsidRDefault="00FF3392" w:rsidP="00FF3392">
      <w:pPr>
        <w:pStyle w:val="EndNoteBibliography"/>
        <w:spacing w:after="0" w:line="264" w:lineRule="auto"/>
        <w:ind w:left="454" w:hanging="454"/>
        <w:rPr>
          <w:sz w:val="16"/>
          <w:szCs w:val="16"/>
        </w:rPr>
      </w:pPr>
      <w:r w:rsidRPr="00FF3392">
        <w:rPr>
          <w:sz w:val="16"/>
          <w:szCs w:val="16"/>
        </w:rPr>
        <w:t>13.</w:t>
      </w:r>
      <w:r w:rsidRPr="00FF3392">
        <w:rPr>
          <w:sz w:val="16"/>
          <w:szCs w:val="16"/>
        </w:rPr>
        <w:tab/>
      </w:r>
      <w:r w:rsidR="00785724" w:rsidRPr="00FF3392">
        <w:rPr>
          <w:sz w:val="16"/>
          <w:szCs w:val="16"/>
        </w:rPr>
        <w:t xml:space="preserve">A. S. Kiryutin, G. Sauer, S. Hadjiali, A. V. Yurkovskaya, H. Breitzke, G. Buntkowsky, </w:t>
      </w:r>
      <w:r w:rsidR="00785724" w:rsidRPr="00FF3392">
        <w:rPr>
          <w:i/>
          <w:sz w:val="16"/>
          <w:szCs w:val="16"/>
        </w:rPr>
        <w:t>J</w:t>
      </w:r>
      <w:r w:rsidR="0074288E">
        <w:rPr>
          <w:i/>
          <w:sz w:val="16"/>
          <w:szCs w:val="16"/>
        </w:rPr>
        <w:t>.</w:t>
      </w:r>
      <w:r w:rsidR="00785724" w:rsidRPr="00FF3392">
        <w:rPr>
          <w:i/>
          <w:sz w:val="16"/>
          <w:szCs w:val="16"/>
        </w:rPr>
        <w:t xml:space="preserve"> Magn</w:t>
      </w:r>
      <w:r w:rsidR="0074288E">
        <w:rPr>
          <w:i/>
          <w:sz w:val="16"/>
          <w:szCs w:val="16"/>
        </w:rPr>
        <w:t>.</w:t>
      </w:r>
      <w:r w:rsidR="00785724" w:rsidRPr="00FF3392">
        <w:rPr>
          <w:i/>
          <w:sz w:val="16"/>
          <w:szCs w:val="16"/>
        </w:rPr>
        <w:t xml:space="preserve"> Reson</w:t>
      </w:r>
      <w:r w:rsidR="0074288E">
        <w:rPr>
          <w:i/>
          <w:sz w:val="16"/>
          <w:szCs w:val="16"/>
        </w:rPr>
        <w:t>.</w:t>
      </w:r>
      <w:r w:rsidR="00785724" w:rsidRPr="0074288E">
        <w:rPr>
          <w:iCs/>
          <w:sz w:val="16"/>
          <w:szCs w:val="16"/>
        </w:rPr>
        <w:t xml:space="preserve">, </w:t>
      </w:r>
      <w:r w:rsidR="00785724" w:rsidRPr="00FF3392">
        <w:rPr>
          <w:b/>
          <w:sz w:val="16"/>
          <w:szCs w:val="16"/>
        </w:rPr>
        <w:t>2017</w:t>
      </w:r>
      <w:r w:rsidR="00785724" w:rsidRPr="00FF3392">
        <w:rPr>
          <w:sz w:val="16"/>
          <w:szCs w:val="16"/>
        </w:rPr>
        <w:t xml:space="preserve">, </w:t>
      </w:r>
      <w:r w:rsidR="00785724" w:rsidRPr="00FF3392">
        <w:rPr>
          <w:i/>
          <w:sz w:val="16"/>
          <w:szCs w:val="16"/>
        </w:rPr>
        <w:t>285</w:t>
      </w:r>
      <w:r w:rsidR="00785724" w:rsidRPr="00FF3392">
        <w:rPr>
          <w:sz w:val="16"/>
          <w:szCs w:val="16"/>
        </w:rPr>
        <w:t>, 26</w:t>
      </w:r>
      <w:r w:rsidR="0074288E">
        <w:rPr>
          <w:sz w:val="16"/>
          <w:szCs w:val="16"/>
        </w:rPr>
        <w:t>–</w:t>
      </w:r>
      <w:r w:rsidR="00785724" w:rsidRPr="00FF3392">
        <w:rPr>
          <w:sz w:val="16"/>
          <w:szCs w:val="16"/>
        </w:rPr>
        <w:t>36. DOI: 10.1016/j.jmr.2017.10.007</w:t>
      </w:r>
    </w:p>
    <w:p w:rsidR="00785724" w:rsidRDefault="00FF3392" w:rsidP="00785724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FF3392">
        <w:rPr>
          <w:sz w:val="16"/>
          <w:szCs w:val="16"/>
        </w:rPr>
        <w:t>14.</w:t>
      </w:r>
      <w:r w:rsidRPr="00FF3392">
        <w:rPr>
          <w:sz w:val="16"/>
          <w:szCs w:val="16"/>
        </w:rPr>
        <w:tab/>
      </w:r>
      <w:r w:rsidR="00785724" w:rsidRPr="00FF3392">
        <w:rPr>
          <w:sz w:val="16"/>
          <w:szCs w:val="16"/>
        </w:rPr>
        <w:t xml:space="preserve">M. L. Truong, F. Shi, P. He, B. Yuan, K. N. Plunkett, A. M. Coffey, R. V. </w:t>
      </w:r>
      <w:proofErr w:type="spellStart"/>
      <w:r w:rsidR="00785724" w:rsidRPr="00FF3392">
        <w:rPr>
          <w:sz w:val="16"/>
          <w:szCs w:val="16"/>
        </w:rPr>
        <w:t>Shchepin</w:t>
      </w:r>
      <w:proofErr w:type="spellEnd"/>
      <w:r w:rsidR="00785724" w:rsidRPr="00FF3392">
        <w:rPr>
          <w:sz w:val="16"/>
          <w:szCs w:val="16"/>
        </w:rPr>
        <w:t xml:space="preserve">, D. A. Barskiy, K. V. Kovtunov, I. V. </w:t>
      </w:r>
      <w:proofErr w:type="spellStart"/>
      <w:r w:rsidR="00785724" w:rsidRPr="00FF3392">
        <w:rPr>
          <w:sz w:val="16"/>
          <w:szCs w:val="16"/>
        </w:rPr>
        <w:t>Koptyug</w:t>
      </w:r>
      <w:proofErr w:type="spellEnd"/>
      <w:r w:rsidR="00785724" w:rsidRPr="00FF3392">
        <w:rPr>
          <w:sz w:val="16"/>
          <w:szCs w:val="16"/>
        </w:rPr>
        <w:t xml:space="preserve">, K. W. Waddell, B. M. Goodson, E. Y. </w:t>
      </w:r>
      <w:proofErr w:type="spellStart"/>
      <w:r w:rsidR="00785724" w:rsidRPr="00FF3392">
        <w:rPr>
          <w:sz w:val="16"/>
          <w:szCs w:val="16"/>
        </w:rPr>
        <w:t>Chekmenev</w:t>
      </w:r>
      <w:proofErr w:type="spellEnd"/>
      <w:r w:rsidR="00785724" w:rsidRPr="00FF3392">
        <w:rPr>
          <w:sz w:val="16"/>
          <w:szCs w:val="16"/>
        </w:rPr>
        <w:t xml:space="preserve">, </w:t>
      </w:r>
      <w:r w:rsidR="00785724" w:rsidRPr="00FF3392">
        <w:rPr>
          <w:i/>
          <w:sz w:val="16"/>
          <w:szCs w:val="16"/>
        </w:rPr>
        <w:t>J</w:t>
      </w:r>
      <w:r w:rsidR="00C52BF5">
        <w:rPr>
          <w:i/>
          <w:sz w:val="16"/>
          <w:szCs w:val="16"/>
        </w:rPr>
        <w:t>.</w:t>
      </w:r>
      <w:r w:rsidR="00785724" w:rsidRPr="00FF3392">
        <w:rPr>
          <w:i/>
          <w:sz w:val="16"/>
          <w:szCs w:val="16"/>
        </w:rPr>
        <w:t xml:space="preserve"> Phys</w:t>
      </w:r>
      <w:r w:rsidR="00C52BF5">
        <w:rPr>
          <w:i/>
          <w:sz w:val="16"/>
          <w:szCs w:val="16"/>
        </w:rPr>
        <w:t>.</w:t>
      </w:r>
      <w:r w:rsidR="00785724" w:rsidRPr="00FF3392">
        <w:rPr>
          <w:i/>
          <w:sz w:val="16"/>
          <w:szCs w:val="16"/>
        </w:rPr>
        <w:t xml:space="preserve"> Chem</w:t>
      </w:r>
      <w:r w:rsidR="00C52BF5">
        <w:rPr>
          <w:i/>
          <w:sz w:val="16"/>
          <w:szCs w:val="16"/>
        </w:rPr>
        <w:t>.</w:t>
      </w:r>
      <w:r w:rsidR="00785724" w:rsidRPr="00FF3392">
        <w:rPr>
          <w:i/>
          <w:sz w:val="16"/>
          <w:szCs w:val="16"/>
        </w:rPr>
        <w:t xml:space="preserve"> B</w:t>
      </w:r>
      <w:r w:rsidR="00785724" w:rsidRPr="00C52BF5">
        <w:rPr>
          <w:iCs/>
          <w:sz w:val="16"/>
          <w:szCs w:val="16"/>
        </w:rPr>
        <w:t xml:space="preserve">, </w:t>
      </w:r>
      <w:r w:rsidR="00785724" w:rsidRPr="00FF3392">
        <w:rPr>
          <w:b/>
          <w:sz w:val="16"/>
          <w:szCs w:val="16"/>
        </w:rPr>
        <w:t>2014</w:t>
      </w:r>
      <w:r w:rsidR="00785724" w:rsidRPr="00FF3392">
        <w:rPr>
          <w:sz w:val="16"/>
          <w:szCs w:val="16"/>
        </w:rPr>
        <w:t xml:space="preserve">, </w:t>
      </w:r>
      <w:r w:rsidR="00785724" w:rsidRPr="00FF3392">
        <w:rPr>
          <w:i/>
          <w:sz w:val="16"/>
          <w:szCs w:val="16"/>
        </w:rPr>
        <w:t>118</w:t>
      </w:r>
      <w:r w:rsidR="00785724" w:rsidRPr="00FF3392">
        <w:rPr>
          <w:sz w:val="16"/>
          <w:szCs w:val="16"/>
        </w:rPr>
        <w:t>, 13882</w:t>
      </w:r>
      <w:r w:rsidR="00C52BF5">
        <w:rPr>
          <w:sz w:val="16"/>
          <w:szCs w:val="16"/>
        </w:rPr>
        <w:t>–</w:t>
      </w:r>
      <w:r w:rsidR="00785724" w:rsidRPr="00FF3392">
        <w:rPr>
          <w:sz w:val="16"/>
          <w:szCs w:val="16"/>
        </w:rPr>
        <w:t>13889. DOI: 10.1021/Jp510825b</w:t>
      </w:r>
    </w:p>
    <w:p w:rsidR="00321D1D" w:rsidRPr="00F44026" w:rsidRDefault="00321D1D" w:rsidP="00321D1D">
      <w:pPr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tbl>
      <w:tblPr>
        <w:tblStyle w:val="1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55"/>
        <w:gridCol w:w="1236"/>
      </w:tblGrid>
      <w:tr w:rsidR="00321D1D" w:rsidRPr="003A13B7" w:rsidTr="00D40E8D">
        <w:trPr>
          <w:jc w:val="right"/>
        </w:trPr>
        <w:tc>
          <w:tcPr>
            <w:tcW w:w="3255" w:type="dxa"/>
            <w:vAlign w:val="center"/>
          </w:tcPr>
          <w:p w:rsidR="00321D1D" w:rsidRPr="00F44026" w:rsidRDefault="00321D1D" w:rsidP="00D40E8D">
            <w:pPr>
              <w:jc w:val="center"/>
              <w:rPr>
                <w:rFonts w:ascii="Arial" w:hAnsi="Arial" w:cs="Arial"/>
                <w:color w:val="263238"/>
                <w:shd w:val="clear" w:color="auto" w:fill="FFFFFF"/>
                <w:lang w:val="en-US"/>
              </w:rPr>
            </w:pPr>
            <w:r w:rsidRPr="00F44026">
              <w:rPr>
                <w:rFonts w:ascii="Times New Roman" w:hAnsi="Times New Roman" w:cs="Times New Roman"/>
                <w:b/>
                <w:bCs/>
                <w:sz w:val="16"/>
                <w:szCs w:val="16"/>
                <w:lang w:val="it-IT"/>
              </w:rPr>
              <w:br w:type="column"/>
            </w:r>
            <w:r w:rsidRPr="00F44026">
              <w:rPr>
                <w:sz w:val="16"/>
                <w:szCs w:val="16"/>
                <w:lang w:val="en-US"/>
              </w:rPr>
              <w:t>This article is licensed under a Creative Commons Attribution-</w:t>
            </w:r>
            <w:proofErr w:type="spellStart"/>
            <w:r w:rsidRPr="00F44026">
              <w:rPr>
                <w:sz w:val="16"/>
                <w:szCs w:val="16"/>
                <w:lang w:val="en-US"/>
              </w:rPr>
              <w:t>NonCommercial</w:t>
            </w:r>
            <w:proofErr w:type="spellEnd"/>
            <w:r w:rsidRPr="00F44026">
              <w:rPr>
                <w:sz w:val="16"/>
                <w:szCs w:val="16"/>
                <w:lang w:val="en-US"/>
              </w:rPr>
              <w:t xml:space="preserve"> 4.0 International License.</w:t>
            </w:r>
          </w:p>
        </w:tc>
        <w:tc>
          <w:tcPr>
            <w:tcW w:w="1236" w:type="dxa"/>
            <w:vAlign w:val="center"/>
          </w:tcPr>
          <w:p w:rsidR="00321D1D" w:rsidRPr="003A13B7" w:rsidRDefault="00321D1D" w:rsidP="00D40E8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3238"/>
                <w:sz w:val="18"/>
                <w:szCs w:val="18"/>
                <w:shd w:val="clear" w:color="auto" w:fill="FFFFFF"/>
                <w:lang w:val="en-US"/>
              </w:rPr>
            </w:pPr>
            <w:r w:rsidRPr="00F44026">
              <w:rPr>
                <w:rFonts w:ascii="Times New Roman" w:hAnsi="Times New Roman"/>
                <w:noProof/>
                <w:sz w:val="16"/>
                <w:szCs w:val="16"/>
                <w:lang w:eastAsia="ru-RU"/>
              </w:rPr>
              <w:drawing>
                <wp:inline distT="0" distB="0" distL="0" distR="0">
                  <wp:extent cx="620466" cy="217152"/>
                  <wp:effectExtent l="19050" t="0" r="8184" b="0"/>
                  <wp:docPr id="12" name="Рисунок 125" descr="D:\Rinat\Rinat\доки\журнал\cc-by-nc.pn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D:\Rinat\Rinat\доки\журнал\cc-by-n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604" cy="22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1D1D" w:rsidRPr="00FF3392" w:rsidRDefault="00321D1D" w:rsidP="00321D1D">
      <w:pPr>
        <w:pStyle w:val="References"/>
        <w:spacing w:line="264" w:lineRule="auto"/>
        <w:ind w:left="454" w:hanging="454"/>
        <w:rPr>
          <w:sz w:val="16"/>
          <w:szCs w:val="16"/>
        </w:rPr>
      </w:pPr>
    </w:p>
    <w:sectPr w:rsidR="00321D1D" w:rsidRPr="00FF3392" w:rsidSect="00166162">
      <w:endnotePr>
        <w:numFmt w:val="chicago"/>
      </w:endnotePr>
      <w:type w:val="continuous"/>
      <w:pgSz w:w="11906" w:h="16838" w:code="9"/>
      <w:pgMar w:top="1134" w:right="1134" w:bottom="1134" w:left="1134" w:header="709" w:footer="709" w:gutter="0"/>
      <w:cols w:num="2" w:space="282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4622" w:rsidRDefault="00064622" w:rsidP="00427E5A">
      <w:pPr>
        <w:spacing w:after="0" w:line="240" w:lineRule="auto"/>
      </w:pPr>
      <w:r>
        <w:separator/>
      </w:r>
    </w:p>
    <w:p w:rsidR="00064622" w:rsidRDefault="00064622"/>
  </w:endnote>
  <w:endnote w:type="continuationSeparator" w:id="0">
    <w:p w:rsidR="00064622" w:rsidRDefault="00064622" w:rsidP="00427E5A">
      <w:pPr>
        <w:spacing w:after="0" w:line="240" w:lineRule="auto"/>
      </w:pPr>
      <w:r>
        <w:continuationSeparator/>
      </w:r>
    </w:p>
    <w:p w:rsidR="00064622" w:rsidRDefault="0006462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dvOT8608a8d1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351" w:rsidRPr="00A6442F" w:rsidRDefault="001F6B40" w:rsidP="007A3351">
    <w:pPr>
      <w:pStyle w:val="af"/>
      <w:jc w:val="center"/>
      <w:rPr>
        <w:rStyle w:val="MainText0"/>
        <w:i/>
      </w:rPr>
    </w:pPr>
    <w:r>
      <w:rPr>
        <w:rStyle w:val="MainText0"/>
      </w:rPr>
      <w:t xml:space="preserve">D. A. Markelov </w:t>
    </w:r>
    <w:r w:rsidRPr="001F6B40">
      <w:rPr>
        <w:rStyle w:val="MainText0"/>
        <w:i/>
        <w:iCs/>
      </w:rPr>
      <w:t>e</w:t>
    </w:r>
    <w:r w:rsidR="007A3351" w:rsidRPr="00A6442F">
      <w:rPr>
        <w:rFonts w:ascii="Times New Roman" w:hAnsi="Times New Roman" w:cs="Times New Roman"/>
        <w:i/>
        <w:sz w:val="18"/>
        <w:szCs w:val="18"/>
        <w:lang w:val="en-US"/>
      </w:rPr>
      <w:t>t al.</w:t>
    </w:r>
    <w:r w:rsidR="005C7369">
      <w:rPr>
        <w:rFonts w:ascii="Times New Roman" w:hAnsi="Times New Roman" w:cs="Times New Roman"/>
        <w:iCs/>
        <w:sz w:val="18"/>
        <w:szCs w:val="18"/>
        <w:lang w:val="en-US"/>
      </w:rPr>
      <w:t>,</w:t>
    </w:r>
    <w:r w:rsidR="007D3F5F" w:rsidRPr="00A6442F">
      <w:rPr>
        <w:rFonts w:ascii="Times New Roman" w:hAnsi="Times New Roman" w:cs="Times New Roman"/>
        <w:i/>
        <w:sz w:val="18"/>
        <w:szCs w:val="18"/>
        <w:lang w:val="en-US"/>
      </w:rPr>
      <w:t xml:space="preserve"> </w:t>
    </w:r>
    <w:r w:rsidR="00DF4999" w:rsidRPr="00DF4999">
      <w:rPr>
        <w:rFonts w:ascii="Times New Roman" w:hAnsi="Times New Roman" w:cs="Times New Roman"/>
        <w:i/>
        <w:sz w:val="18"/>
        <w:szCs w:val="18"/>
        <w:lang w:val="en-US"/>
      </w:rPr>
      <w:t xml:space="preserve">INEOS </w:t>
    </w:r>
    <w:r w:rsidR="00DF4999" w:rsidRPr="00DF4999">
      <w:rPr>
        <w:rStyle w:val="MainText0"/>
        <w:i/>
      </w:rPr>
      <w:t>OPEN</w:t>
    </w:r>
    <w:r w:rsidR="00DF4999" w:rsidRPr="00110678">
      <w:rPr>
        <w:rStyle w:val="MainText0"/>
      </w:rPr>
      <w:t xml:space="preserve">, </w:t>
    </w:r>
    <w:r w:rsidR="00DF4999" w:rsidRPr="00110678">
      <w:rPr>
        <w:rStyle w:val="MainText0"/>
        <w:b/>
      </w:rPr>
      <w:t>20</w:t>
    </w:r>
    <w:r>
      <w:rPr>
        <w:rStyle w:val="MainText0"/>
        <w:b/>
      </w:rPr>
      <w:t>25</w:t>
    </w:r>
    <w:r w:rsidR="00DF4999" w:rsidRPr="00110678">
      <w:rPr>
        <w:rStyle w:val="MainText0"/>
      </w:rPr>
      <w:t xml:space="preserve">, </w:t>
    </w:r>
    <w:r>
      <w:rPr>
        <w:rStyle w:val="MainText0"/>
        <w:i/>
        <w:iCs/>
      </w:rPr>
      <w:t>8</w:t>
    </w:r>
    <w:r w:rsidR="00DF4999" w:rsidRPr="005C7369">
      <w:rPr>
        <w:rStyle w:val="MainText0"/>
        <w:i/>
        <w:iCs/>
      </w:rPr>
      <w:t xml:space="preserve"> (</w:t>
    </w:r>
    <w:r>
      <w:rPr>
        <w:rStyle w:val="MainText0"/>
        <w:i/>
        <w:iCs/>
      </w:rPr>
      <w:t>1–3</w:t>
    </w:r>
    <w:r w:rsidR="00DF4999" w:rsidRPr="005C7369">
      <w:rPr>
        <w:rStyle w:val="MainText0"/>
        <w:i/>
        <w:iCs/>
      </w:rPr>
      <w:t>)</w:t>
    </w:r>
    <w:r w:rsidR="00DF4999" w:rsidRPr="00110678">
      <w:rPr>
        <w:rStyle w:val="MainText0"/>
      </w:rPr>
      <w:t xml:space="preserve">, </w:t>
    </w:r>
    <w:r w:rsidR="00DF4999">
      <w:rPr>
        <w:rStyle w:val="MainText0"/>
      </w:rPr>
      <w:t>XX–XX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4622" w:rsidRDefault="00064622" w:rsidP="00427E5A">
      <w:pPr>
        <w:spacing w:after="0" w:line="240" w:lineRule="auto"/>
      </w:pPr>
      <w:r>
        <w:separator/>
      </w:r>
    </w:p>
    <w:p w:rsidR="00064622" w:rsidRDefault="00064622"/>
  </w:footnote>
  <w:footnote w:type="continuationSeparator" w:id="0">
    <w:p w:rsidR="00064622" w:rsidRDefault="00064622" w:rsidP="00427E5A">
      <w:pPr>
        <w:spacing w:after="0" w:line="240" w:lineRule="auto"/>
      </w:pPr>
      <w:r>
        <w:continuationSeparator/>
      </w:r>
    </w:p>
    <w:p w:rsidR="00064622" w:rsidRDefault="00064622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i/>
      </w:rPr>
      <w:id w:val="1652487238"/>
      <w:docPartObj>
        <w:docPartGallery w:val="Page Numbers (Top of Page)"/>
        <w:docPartUnique/>
      </w:docPartObj>
    </w:sdtPr>
    <w:sdtContent>
      <w:sdt>
        <w:sdtPr>
          <w:rPr>
            <w:rFonts w:ascii="Times New Roman" w:hAnsi="Times New Roman" w:cs="Times New Roman"/>
            <w:i/>
          </w:rPr>
          <w:id w:val="1630276690"/>
          <w:docPartObj>
            <w:docPartGallery w:val="Page Numbers (Top of Page)"/>
            <w:docPartUnique/>
          </w:docPartObj>
        </w:sdtPr>
        <w:sdtContent>
          <w:p w:rsidR="00DF4999" w:rsidRPr="001E7945" w:rsidRDefault="00DF4999" w:rsidP="00DF4999">
            <w:pPr>
              <w:tabs>
                <w:tab w:val="left" w:pos="9638"/>
              </w:tabs>
              <w:spacing w:after="0" w:line="240" w:lineRule="auto"/>
              <w:rPr>
                <w:rFonts w:ascii="Times New Roman" w:hAnsi="Times New Roman" w:cs="Times New Roman"/>
                <w:i/>
                <w:lang w:val="en-US"/>
              </w:rPr>
            </w:pPr>
            <w:r w:rsidRPr="00DF499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INEOS OPEN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–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Journal of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Nesmeyanov 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Institute of Organoelement Compounds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of the Russian Academy of Sciences</w:t>
            </w:r>
          </w:p>
        </w:sdtContent>
      </w:sdt>
      <w:p w:rsidR="007A3351" w:rsidRPr="001E7945" w:rsidRDefault="006E0C73" w:rsidP="001E7945">
        <w:pPr>
          <w:tabs>
            <w:tab w:val="left" w:pos="9638"/>
          </w:tabs>
          <w:rPr>
            <w:rFonts w:ascii="Times New Roman" w:hAnsi="Times New Roman" w:cs="Times New Roman"/>
            <w:i/>
            <w:lang w:val="en-US"/>
          </w:rPr>
        </w:pPr>
        <w:r w:rsidRPr="001E7945">
          <w:rPr>
            <w:rFonts w:ascii="Times New Roman" w:hAnsi="Times New Roman" w:cs="Times New Roman"/>
            <w:i/>
            <w:lang w:val="en-US"/>
          </w:rPr>
          <w:tab/>
        </w:r>
        <w:r w:rsidR="003D0C93" w:rsidRPr="001E7945">
          <w:rPr>
            <w:rFonts w:ascii="Times New Roman" w:hAnsi="Times New Roman" w:cs="Times New Roman"/>
            <w:i/>
          </w:rPr>
          <w:fldChar w:fldCharType="begin"/>
        </w:r>
        <w:r w:rsidR="00FE45D6" w:rsidRPr="001E7945">
          <w:rPr>
            <w:rFonts w:ascii="Times New Roman" w:hAnsi="Times New Roman" w:cs="Times New Roman"/>
            <w:i/>
            <w:lang w:val="en-US"/>
          </w:rPr>
          <w:instrText xml:space="preserve"> PAGE   \* MERGEFORMAT </w:instrText>
        </w:r>
        <w:r w:rsidR="003D0C93" w:rsidRPr="001E7945">
          <w:rPr>
            <w:rFonts w:ascii="Times New Roman" w:hAnsi="Times New Roman" w:cs="Times New Roman"/>
            <w:i/>
          </w:rPr>
          <w:fldChar w:fldCharType="separate"/>
        </w:r>
        <w:r w:rsidR="00C425F1">
          <w:rPr>
            <w:rFonts w:ascii="Times New Roman" w:hAnsi="Times New Roman" w:cs="Times New Roman"/>
            <w:i/>
            <w:noProof/>
            <w:lang w:val="en-US"/>
          </w:rPr>
          <w:t>3</w:t>
        </w:r>
        <w:r w:rsidR="003D0C93" w:rsidRPr="001E7945">
          <w:rPr>
            <w:rFonts w:ascii="Times New Roman" w:hAnsi="Times New Roman" w:cs="Times New Roman"/>
            <w:i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17621"/>
    <w:multiLevelType w:val="hybridMultilevel"/>
    <w:tmpl w:val="035E6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524C0"/>
    <w:multiLevelType w:val="hybridMultilevel"/>
    <w:tmpl w:val="418271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614594"/>
    <w:multiLevelType w:val="hybridMultilevel"/>
    <w:tmpl w:val="F0802750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40DA2AA2"/>
    <w:multiLevelType w:val="hybridMultilevel"/>
    <w:tmpl w:val="8D4ACB48"/>
    <w:lvl w:ilvl="0" w:tplc="01546F68">
      <w:start w:val="1"/>
      <w:numFmt w:val="bullet"/>
      <w:lvlText w:val=""/>
      <w:lvlJc w:val="left"/>
      <w:pPr>
        <w:ind w:left="2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EC4D2A"/>
    <w:multiLevelType w:val="hybridMultilevel"/>
    <w:tmpl w:val="F320B7E0"/>
    <w:lvl w:ilvl="0" w:tplc="D846942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4" w:hanging="360"/>
      </w:pPr>
    </w:lvl>
    <w:lvl w:ilvl="2" w:tplc="0419001B" w:tentative="1">
      <w:start w:val="1"/>
      <w:numFmt w:val="lowerRoman"/>
      <w:lvlText w:val="%3."/>
      <w:lvlJc w:val="right"/>
      <w:pPr>
        <w:ind w:left="1814" w:hanging="180"/>
      </w:pPr>
    </w:lvl>
    <w:lvl w:ilvl="3" w:tplc="0419000F" w:tentative="1">
      <w:start w:val="1"/>
      <w:numFmt w:val="decimal"/>
      <w:lvlText w:val="%4."/>
      <w:lvlJc w:val="left"/>
      <w:pPr>
        <w:ind w:left="2534" w:hanging="360"/>
      </w:pPr>
    </w:lvl>
    <w:lvl w:ilvl="4" w:tplc="04190019" w:tentative="1">
      <w:start w:val="1"/>
      <w:numFmt w:val="lowerLetter"/>
      <w:lvlText w:val="%5."/>
      <w:lvlJc w:val="left"/>
      <w:pPr>
        <w:ind w:left="3254" w:hanging="360"/>
      </w:pPr>
    </w:lvl>
    <w:lvl w:ilvl="5" w:tplc="0419001B" w:tentative="1">
      <w:start w:val="1"/>
      <w:numFmt w:val="lowerRoman"/>
      <w:lvlText w:val="%6."/>
      <w:lvlJc w:val="right"/>
      <w:pPr>
        <w:ind w:left="3974" w:hanging="180"/>
      </w:pPr>
    </w:lvl>
    <w:lvl w:ilvl="6" w:tplc="0419000F" w:tentative="1">
      <w:start w:val="1"/>
      <w:numFmt w:val="decimal"/>
      <w:lvlText w:val="%7."/>
      <w:lvlJc w:val="left"/>
      <w:pPr>
        <w:ind w:left="4694" w:hanging="360"/>
      </w:pPr>
    </w:lvl>
    <w:lvl w:ilvl="7" w:tplc="04190019" w:tentative="1">
      <w:start w:val="1"/>
      <w:numFmt w:val="lowerLetter"/>
      <w:lvlText w:val="%8."/>
      <w:lvlJc w:val="left"/>
      <w:pPr>
        <w:ind w:left="5414" w:hanging="360"/>
      </w:pPr>
    </w:lvl>
    <w:lvl w:ilvl="8" w:tplc="041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5">
    <w:nsid w:val="4BA42703"/>
    <w:multiLevelType w:val="hybridMultilevel"/>
    <w:tmpl w:val="A8B83BBC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>
    <w:nsid w:val="5E7E6447"/>
    <w:multiLevelType w:val="hybridMultilevel"/>
    <w:tmpl w:val="AB1CC83E"/>
    <w:lvl w:ilvl="0" w:tplc="7D1E7F42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7">
    <w:nsid w:val="67E50398"/>
    <w:multiLevelType w:val="hybridMultilevel"/>
    <w:tmpl w:val="E9F8931A"/>
    <w:lvl w:ilvl="0" w:tplc="F430950E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>
    <w:nsid w:val="6CB07B16"/>
    <w:multiLevelType w:val="hybridMultilevel"/>
    <w:tmpl w:val="2E76DD24"/>
    <w:lvl w:ilvl="0" w:tplc="5DE0BD0C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8" w:hanging="360"/>
      </w:pPr>
    </w:lvl>
    <w:lvl w:ilvl="2" w:tplc="0419001B" w:tentative="1">
      <w:start w:val="1"/>
      <w:numFmt w:val="lowerRoman"/>
      <w:lvlText w:val="%3."/>
      <w:lvlJc w:val="right"/>
      <w:pPr>
        <w:ind w:left="2078" w:hanging="180"/>
      </w:pPr>
    </w:lvl>
    <w:lvl w:ilvl="3" w:tplc="0419000F" w:tentative="1">
      <w:start w:val="1"/>
      <w:numFmt w:val="decimal"/>
      <w:lvlText w:val="%4."/>
      <w:lvlJc w:val="left"/>
      <w:pPr>
        <w:ind w:left="2798" w:hanging="360"/>
      </w:pPr>
    </w:lvl>
    <w:lvl w:ilvl="4" w:tplc="04190019" w:tentative="1">
      <w:start w:val="1"/>
      <w:numFmt w:val="lowerLetter"/>
      <w:lvlText w:val="%5."/>
      <w:lvlJc w:val="left"/>
      <w:pPr>
        <w:ind w:left="3518" w:hanging="360"/>
      </w:pPr>
    </w:lvl>
    <w:lvl w:ilvl="5" w:tplc="0419001B" w:tentative="1">
      <w:start w:val="1"/>
      <w:numFmt w:val="lowerRoman"/>
      <w:lvlText w:val="%6."/>
      <w:lvlJc w:val="right"/>
      <w:pPr>
        <w:ind w:left="4238" w:hanging="180"/>
      </w:pPr>
    </w:lvl>
    <w:lvl w:ilvl="6" w:tplc="0419000F" w:tentative="1">
      <w:start w:val="1"/>
      <w:numFmt w:val="decimal"/>
      <w:lvlText w:val="%7."/>
      <w:lvlJc w:val="left"/>
      <w:pPr>
        <w:ind w:left="4958" w:hanging="360"/>
      </w:pPr>
    </w:lvl>
    <w:lvl w:ilvl="7" w:tplc="04190019" w:tentative="1">
      <w:start w:val="1"/>
      <w:numFmt w:val="lowerLetter"/>
      <w:lvlText w:val="%8."/>
      <w:lvlJc w:val="left"/>
      <w:pPr>
        <w:ind w:left="5678" w:hanging="360"/>
      </w:pPr>
    </w:lvl>
    <w:lvl w:ilvl="8" w:tplc="041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9">
    <w:nsid w:val="72057852"/>
    <w:multiLevelType w:val="hybridMultilevel"/>
    <w:tmpl w:val="66A05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2F1C0A"/>
    <w:multiLevelType w:val="hybridMultilevel"/>
    <w:tmpl w:val="74D217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7"/>
  </w:num>
  <w:num w:numId="5">
    <w:abstractNumId w:val="8"/>
  </w:num>
  <w:num w:numId="6">
    <w:abstractNumId w:val="9"/>
  </w:num>
  <w:num w:numId="7">
    <w:abstractNumId w:val="0"/>
  </w:num>
  <w:num w:numId="8">
    <w:abstractNumId w:val="4"/>
  </w:num>
  <w:num w:numId="9">
    <w:abstractNumId w:val="6"/>
  </w:num>
  <w:num w:numId="10">
    <w:abstractNumId w:val="1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9"/>
  <w:drawingGridHorizontalSpacing w:val="110"/>
  <w:drawingGridVerticalSpacing w:val="567"/>
  <w:displayHorizontalDrawingGridEvery w:val="2"/>
  <w:characterSpacingControl w:val="doNotCompress"/>
  <w:footnotePr>
    <w:footnote w:id="-1"/>
    <w:footnote w:id="0"/>
  </w:footnotePr>
  <w:endnotePr>
    <w:pos w:val="sectEnd"/>
    <w:numFmt w:val="chicago"/>
    <w:endnote w:id="-1"/>
    <w:endnote w:id="0"/>
  </w:endnotePr>
  <w:compat/>
  <w:rsids>
    <w:rsidRoot w:val="00F95280"/>
    <w:rsid w:val="00016637"/>
    <w:rsid w:val="00021E9C"/>
    <w:rsid w:val="00052C07"/>
    <w:rsid w:val="000574C8"/>
    <w:rsid w:val="00064622"/>
    <w:rsid w:val="00067EC7"/>
    <w:rsid w:val="00071D12"/>
    <w:rsid w:val="00080691"/>
    <w:rsid w:val="0008088D"/>
    <w:rsid w:val="00080F7A"/>
    <w:rsid w:val="000B5E27"/>
    <w:rsid w:val="000E1B06"/>
    <w:rsid w:val="00125BA2"/>
    <w:rsid w:val="00161894"/>
    <w:rsid w:val="0016277F"/>
    <w:rsid w:val="00166162"/>
    <w:rsid w:val="001812AA"/>
    <w:rsid w:val="001B0919"/>
    <w:rsid w:val="001B6750"/>
    <w:rsid w:val="001C2CDB"/>
    <w:rsid w:val="001E7945"/>
    <w:rsid w:val="001F6B40"/>
    <w:rsid w:val="00243AAD"/>
    <w:rsid w:val="002500A5"/>
    <w:rsid w:val="0025582B"/>
    <w:rsid w:val="002D6411"/>
    <w:rsid w:val="0031578F"/>
    <w:rsid w:val="00321C31"/>
    <w:rsid w:val="00321D1D"/>
    <w:rsid w:val="003244C4"/>
    <w:rsid w:val="0033677B"/>
    <w:rsid w:val="003A6DBB"/>
    <w:rsid w:val="003B067D"/>
    <w:rsid w:val="003D0C93"/>
    <w:rsid w:val="003E2893"/>
    <w:rsid w:val="004008F6"/>
    <w:rsid w:val="0040603D"/>
    <w:rsid w:val="00427E5A"/>
    <w:rsid w:val="00432ACC"/>
    <w:rsid w:val="00433D5C"/>
    <w:rsid w:val="00436D4B"/>
    <w:rsid w:val="00440577"/>
    <w:rsid w:val="0044504A"/>
    <w:rsid w:val="00463737"/>
    <w:rsid w:val="004A44BC"/>
    <w:rsid w:val="004A5523"/>
    <w:rsid w:val="004A5676"/>
    <w:rsid w:val="004C0411"/>
    <w:rsid w:val="004F7660"/>
    <w:rsid w:val="00502985"/>
    <w:rsid w:val="00524995"/>
    <w:rsid w:val="00533D73"/>
    <w:rsid w:val="00534762"/>
    <w:rsid w:val="005C7369"/>
    <w:rsid w:val="005D16D8"/>
    <w:rsid w:val="005D2AAA"/>
    <w:rsid w:val="005E76C3"/>
    <w:rsid w:val="0060682D"/>
    <w:rsid w:val="00617D16"/>
    <w:rsid w:val="00622DF1"/>
    <w:rsid w:val="0065245B"/>
    <w:rsid w:val="00662A29"/>
    <w:rsid w:val="00683408"/>
    <w:rsid w:val="006E0C73"/>
    <w:rsid w:val="006F5B39"/>
    <w:rsid w:val="00706F05"/>
    <w:rsid w:val="0072037E"/>
    <w:rsid w:val="0074288E"/>
    <w:rsid w:val="007516EA"/>
    <w:rsid w:val="00785724"/>
    <w:rsid w:val="00790475"/>
    <w:rsid w:val="007A3351"/>
    <w:rsid w:val="007A5656"/>
    <w:rsid w:val="007D3F5F"/>
    <w:rsid w:val="007D5B4A"/>
    <w:rsid w:val="007E698D"/>
    <w:rsid w:val="00806A5F"/>
    <w:rsid w:val="008114FB"/>
    <w:rsid w:val="00820A77"/>
    <w:rsid w:val="00842E5C"/>
    <w:rsid w:val="008622A1"/>
    <w:rsid w:val="00863A30"/>
    <w:rsid w:val="00875175"/>
    <w:rsid w:val="00877AEB"/>
    <w:rsid w:val="0089304F"/>
    <w:rsid w:val="00894EE2"/>
    <w:rsid w:val="008A02BF"/>
    <w:rsid w:val="008A6A35"/>
    <w:rsid w:val="008B720A"/>
    <w:rsid w:val="008C6630"/>
    <w:rsid w:val="008C68C0"/>
    <w:rsid w:val="008D2BCF"/>
    <w:rsid w:val="008E062B"/>
    <w:rsid w:val="00904B7F"/>
    <w:rsid w:val="009078FD"/>
    <w:rsid w:val="00916E1F"/>
    <w:rsid w:val="00930DA8"/>
    <w:rsid w:val="009535D2"/>
    <w:rsid w:val="009667F3"/>
    <w:rsid w:val="009816BA"/>
    <w:rsid w:val="009A6DAE"/>
    <w:rsid w:val="009B1ECD"/>
    <w:rsid w:val="009B3388"/>
    <w:rsid w:val="009C7638"/>
    <w:rsid w:val="00A231BA"/>
    <w:rsid w:val="00A6442F"/>
    <w:rsid w:val="00A76F33"/>
    <w:rsid w:val="00AE2E09"/>
    <w:rsid w:val="00AE4179"/>
    <w:rsid w:val="00B163BD"/>
    <w:rsid w:val="00B16D22"/>
    <w:rsid w:val="00B23601"/>
    <w:rsid w:val="00B51CF0"/>
    <w:rsid w:val="00B5202A"/>
    <w:rsid w:val="00B8387B"/>
    <w:rsid w:val="00B841A3"/>
    <w:rsid w:val="00BB1D07"/>
    <w:rsid w:val="00BE3121"/>
    <w:rsid w:val="00BE4FEF"/>
    <w:rsid w:val="00BF3662"/>
    <w:rsid w:val="00C25E43"/>
    <w:rsid w:val="00C425F1"/>
    <w:rsid w:val="00C52BF5"/>
    <w:rsid w:val="00C53C60"/>
    <w:rsid w:val="00C76D38"/>
    <w:rsid w:val="00C77670"/>
    <w:rsid w:val="00CA452F"/>
    <w:rsid w:val="00CA605E"/>
    <w:rsid w:val="00CD128C"/>
    <w:rsid w:val="00CD6FAC"/>
    <w:rsid w:val="00CF75EC"/>
    <w:rsid w:val="00D33D37"/>
    <w:rsid w:val="00D36C9F"/>
    <w:rsid w:val="00D41CDE"/>
    <w:rsid w:val="00D62EE1"/>
    <w:rsid w:val="00D71473"/>
    <w:rsid w:val="00DA0A72"/>
    <w:rsid w:val="00DD4096"/>
    <w:rsid w:val="00DF1FCB"/>
    <w:rsid w:val="00DF4999"/>
    <w:rsid w:val="00E12DAF"/>
    <w:rsid w:val="00E52AE0"/>
    <w:rsid w:val="00E60451"/>
    <w:rsid w:val="00E76E65"/>
    <w:rsid w:val="00E81EDE"/>
    <w:rsid w:val="00E85723"/>
    <w:rsid w:val="00E95346"/>
    <w:rsid w:val="00EA6C3B"/>
    <w:rsid w:val="00EB2FCC"/>
    <w:rsid w:val="00EE0429"/>
    <w:rsid w:val="00EE4066"/>
    <w:rsid w:val="00EF625A"/>
    <w:rsid w:val="00F1286E"/>
    <w:rsid w:val="00F376FB"/>
    <w:rsid w:val="00F44BBC"/>
    <w:rsid w:val="00F6796A"/>
    <w:rsid w:val="00F74AD8"/>
    <w:rsid w:val="00F86864"/>
    <w:rsid w:val="00F94740"/>
    <w:rsid w:val="00F95280"/>
    <w:rsid w:val="00FA0CD1"/>
    <w:rsid w:val="00FB4DBE"/>
    <w:rsid w:val="00FB4FD0"/>
    <w:rsid w:val="00FD2F8B"/>
    <w:rsid w:val="00FE45D6"/>
    <w:rsid w:val="00FF33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rsid w:val="0008088D"/>
  </w:style>
  <w:style w:type="paragraph" w:styleId="1">
    <w:name w:val="heading 1"/>
    <w:basedOn w:val="a"/>
    <w:next w:val="a"/>
    <w:link w:val="10"/>
    <w:uiPriority w:val="9"/>
    <w:qFormat/>
    <w:rsid w:val="00E76E65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5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5280"/>
    <w:rPr>
      <w:rFonts w:ascii="Tahoma" w:hAnsi="Tahoma" w:cs="Tahoma"/>
      <w:sz w:val="16"/>
      <w:szCs w:val="16"/>
    </w:rPr>
  </w:style>
  <w:style w:type="paragraph" w:styleId="a5">
    <w:name w:val="footnote text"/>
    <w:basedOn w:val="a"/>
    <w:link w:val="a6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427E5A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27E5A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427E5A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427E5A"/>
    <w:rPr>
      <w:vertAlign w:val="superscript"/>
    </w:rPr>
  </w:style>
  <w:style w:type="paragraph" w:styleId="ab">
    <w:name w:val="List Paragraph"/>
    <w:basedOn w:val="a"/>
    <w:link w:val="ac"/>
    <w:uiPriority w:val="34"/>
    <w:rsid w:val="00427E5A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A3351"/>
  </w:style>
  <w:style w:type="paragraph" w:styleId="af">
    <w:name w:val="footer"/>
    <w:basedOn w:val="a"/>
    <w:link w:val="af0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A3351"/>
  </w:style>
  <w:style w:type="character" w:styleId="af1">
    <w:name w:val="line number"/>
    <w:basedOn w:val="a0"/>
    <w:uiPriority w:val="99"/>
    <w:semiHidden/>
    <w:unhideWhenUsed/>
    <w:rsid w:val="007A3351"/>
  </w:style>
  <w:style w:type="paragraph" w:customStyle="1" w:styleId="11">
    <w:name w:val="Название1"/>
    <w:basedOn w:val="a"/>
    <w:link w:val="Title"/>
    <w:qFormat/>
    <w:rsid w:val="00021E9C"/>
    <w:pPr>
      <w:jc w:val="center"/>
    </w:pPr>
    <w:rPr>
      <w:rFonts w:ascii="Arial" w:hAnsi="Arial" w:cs="Arial"/>
      <w:b/>
      <w:caps/>
      <w:sz w:val="28"/>
      <w:szCs w:val="28"/>
      <w:lang w:val="en-US"/>
    </w:rPr>
  </w:style>
  <w:style w:type="paragraph" w:customStyle="1" w:styleId="AuthorNames">
    <w:name w:val="Author Names"/>
    <w:basedOn w:val="ab"/>
    <w:link w:val="AuthorNames0"/>
    <w:qFormat/>
    <w:rsid w:val="00D71473"/>
    <w:pPr>
      <w:spacing w:after="0" w:line="240" w:lineRule="auto"/>
      <w:ind w:left="-108"/>
      <w:jc w:val="center"/>
    </w:pPr>
    <w:rPr>
      <w:rFonts w:ascii="Times New Roman" w:hAnsi="Times New Roman" w:cs="Times New Roman"/>
      <w:noProof/>
      <w:lang w:val="en-US"/>
    </w:rPr>
  </w:style>
  <w:style w:type="character" w:customStyle="1" w:styleId="Title">
    <w:name w:val="Title Знак"/>
    <w:basedOn w:val="a0"/>
    <w:link w:val="11"/>
    <w:rsid w:val="00021E9C"/>
    <w:rPr>
      <w:rFonts w:ascii="Arial" w:hAnsi="Arial" w:cs="Arial"/>
      <w:b/>
      <w:caps/>
      <w:sz w:val="28"/>
      <w:szCs w:val="28"/>
      <w:lang w:val="en-US"/>
    </w:rPr>
  </w:style>
  <w:style w:type="paragraph" w:customStyle="1" w:styleId="Affiliations">
    <w:name w:val="Affiliations"/>
    <w:basedOn w:val="a"/>
    <w:link w:val="Affiliations0"/>
    <w:qFormat/>
    <w:rsid w:val="00894EE2"/>
    <w:pPr>
      <w:spacing w:after="0" w:line="240" w:lineRule="auto"/>
      <w:ind w:left="-13"/>
      <w:jc w:val="center"/>
    </w:pPr>
    <w:rPr>
      <w:rFonts w:ascii="Times New Roman" w:hAnsi="Times New Roman"/>
      <w:i/>
      <w:color w:val="000000"/>
      <w:sz w:val="20"/>
      <w:szCs w:val="20"/>
      <w:lang w:val="it-IT"/>
    </w:rPr>
  </w:style>
  <w:style w:type="character" w:customStyle="1" w:styleId="ac">
    <w:name w:val="Абзац списка Знак"/>
    <w:basedOn w:val="a0"/>
    <w:link w:val="ab"/>
    <w:uiPriority w:val="34"/>
    <w:rsid w:val="00021E9C"/>
  </w:style>
  <w:style w:type="character" w:customStyle="1" w:styleId="AuthorNames0">
    <w:name w:val="Author Names Знак"/>
    <w:basedOn w:val="ac"/>
    <w:link w:val="AuthorNames"/>
    <w:rsid w:val="00D71473"/>
    <w:rPr>
      <w:rFonts w:ascii="Times New Roman" w:hAnsi="Times New Roman" w:cs="Times New Roman"/>
      <w:noProof/>
      <w:lang w:val="en-US"/>
    </w:rPr>
  </w:style>
  <w:style w:type="paragraph" w:customStyle="1" w:styleId="Header1">
    <w:name w:val="Header 1"/>
    <w:basedOn w:val="a"/>
    <w:link w:val="Header10"/>
    <w:qFormat/>
    <w:rsid w:val="009667F3"/>
    <w:pPr>
      <w:spacing w:before="200"/>
    </w:pPr>
    <w:rPr>
      <w:rFonts w:ascii="Arial" w:hAnsi="Arial" w:cs="Arial"/>
      <w:b/>
      <w:lang w:val="en-US"/>
    </w:rPr>
  </w:style>
  <w:style w:type="character" w:customStyle="1" w:styleId="Affiliations0">
    <w:name w:val="Affiliations Знак"/>
    <w:basedOn w:val="a0"/>
    <w:link w:val="Affiliations"/>
    <w:rsid w:val="00894EE2"/>
    <w:rPr>
      <w:rFonts w:ascii="Times New Roman" w:hAnsi="Times New Roman"/>
      <w:i/>
      <w:color w:val="000000"/>
      <w:sz w:val="20"/>
      <w:szCs w:val="20"/>
      <w:lang w:val="it-IT"/>
    </w:rPr>
  </w:style>
  <w:style w:type="paragraph" w:customStyle="1" w:styleId="MainText">
    <w:name w:val="Main Text"/>
    <w:basedOn w:val="a"/>
    <w:link w:val="MainText0"/>
    <w:qFormat/>
    <w:rsid w:val="00E76E65"/>
    <w:pPr>
      <w:spacing w:after="0"/>
      <w:ind w:firstLine="278"/>
      <w:jc w:val="both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Header10">
    <w:name w:val="Header 1 Знак"/>
    <w:basedOn w:val="a0"/>
    <w:link w:val="Header1"/>
    <w:rsid w:val="009667F3"/>
    <w:rPr>
      <w:rFonts w:ascii="Arial" w:hAnsi="Arial" w:cs="Arial"/>
      <w:b/>
      <w:lang w:val="en-US"/>
    </w:rPr>
  </w:style>
  <w:style w:type="paragraph" w:customStyle="1" w:styleId="Captions">
    <w:name w:val="Captions"/>
    <w:basedOn w:val="MainText"/>
    <w:next w:val="MainText"/>
    <w:link w:val="Captions0"/>
    <w:qFormat/>
    <w:rsid w:val="009667F3"/>
    <w:pPr>
      <w:spacing w:before="200" w:line="240" w:lineRule="auto"/>
    </w:pPr>
    <w:rPr>
      <w:b/>
    </w:rPr>
  </w:style>
  <w:style w:type="character" w:customStyle="1" w:styleId="MainText0">
    <w:name w:val="Main Text Знак"/>
    <w:basedOn w:val="a0"/>
    <w:link w:val="MainText"/>
    <w:rsid w:val="00E76E65"/>
    <w:rPr>
      <w:rFonts w:ascii="Times New Roman" w:hAnsi="Times New Roman" w:cs="Times New Roman"/>
      <w:sz w:val="18"/>
      <w:szCs w:val="18"/>
      <w:lang w:val="en-US"/>
    </w:rPr>
  </w:style>
  <w:style w:type="paragraph" w:customStyle="1" w:styleId="Header2">
    <w:name w:val="Header 2"/>
    <w:basedOn w:val="a"/>
    <w:next w:val="MainText"/>
    <w:link w:val="Header20"/>
    <w:qFormat/>
    <w:rsid w:val="00021E9C"/>
    <w:pPr>
      <w:spacing w:before="120" w:after="120" w:line="240" w:lineRule="auto"/>
    </w:pPr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Captions0">
    <w:name w:val="Captions Знак"/>
    <w:basedOn w:val="a0"/>
    <w:link w:val="Captions"/>
    <w:rsid w:val="009667F3"/>
    <w:rPr>
      <w:rFonts w:ascii="Times New Roman" w:hAnsi="Times New Roman" w:cs="Times New Roman"/>
      <w:b/>
      <w:sz w:val="18"/>
      <w:szCs w:val="18"/>
      <w:lang w:val="en-US"/>
    </w:rPr>
  </w:style>
  <w:style w:type="paragraph" w:customStyle="1" w:styleId="Header3">
    <w:name w:val="Header 3"/>
    <w:basedOn w:val="a"/>
    <w:link w:val="Header30"/>
    <w:qFormat/>
    <w:rsid w:val="00021E9C"/>
    <w:rPr>
      <w:rFonts w:ascii="Times New Roman" w:hAnsi="Times New Roman" w:cs="Times New Roman"/>
      <w:i/>
      <w:sz w:val="18"/>
      <w:szCs w:val="18"/>
      <w:lang w:val="en-US"/>
    </w:rPr>
  </w:style>
  <w:style w:type="character" w:customStyle="1" w:styleId="Header20">
    <w:name w:val="Header 2 Знак"/>
    <w:basedOn w:val="a0"/>
    <w:link w:val="Header2"/>
    <w:rsid w:val="00021E9C"/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Header30">
    <w:name w:val="Header 3 Знак"/>
    <w:basedOn w:val="a0"/>
    <w:link w:val="Header3"/>
    <w:rsid w:val="00021E9C"/>
    <w:rPr>
      <w:rFonts w:ascii="Times New Roman" w:hAnsi="Times New Roman" w:cs="Times New Roman"/>
      <w:i/>
      <w:sz w:val="18"/>
      <w:szCs w:val="18"/>
      <w:lang w:val="en-US"/>
    </w:rPr>
  </w:style>
  <w:style w:type="paragraph" w:customStyle="1" w:styleId="References">
    <w:name w:val="References"/>
    <w:basedOn w:val="MainText"/>
    <w:qFormat/>
    <w:rsid w:val="00E76E65"/>
    <w:pPr>
      <w:autoSpaceDE w:val="0"/>
      <w:autoSpaceDN w:val="0"/>
      <w:adjustRightInd w:val="0"/>
      <w:spacing w:line="240" w:lineRule="auto"/>
      <w:ind w:left="154" w:hanging="140"/>
    </w:pPr>
  </w:style>
  <w:style w:type="table" w:styleId="af2">
    <w:name w:val="Table Grid"/>
    <w:basedOn w:val="a1"/>
    <w:uiPriority w:val="59"/>
    <w:rsid w:val="00CD6F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ветлая заливка1"/>
    <w:basedOn w:val="a1"/>
    <w:uiPriority w:val="60"/>
    <w:rsid w:val="00052C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052C0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af3">
    <w:name w:val="Hyperlink"/>
    <w:basedOn w:val="a0"/>
    <w:uiPriority w:val="99"/>
    <w:unhideWhenUsed/>
    <w:rsid w:val="00440577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76E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1E7945"/>
  </w:style>
  <w:style w:type="paragraph" w:styleId="af4">
    <w:name w:val="caption"/>
    <w:basedOn w:val="a"/>
    <w:next w:val="a"/>
    <w:uiPriority w:val="35"/>
    <w:unhideWhenUsed/>
    <w:qFormat/>
    <w:rsid w:val="00433D5C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25582B"/>
    <w:rPr>
      <w:color w:val="605E5C"/>
      <w:shd w:val="clear" w:color="auto" w:fill="E1DFDD"/>
    </w:rPr>
  </w:style>
  <w:style w:type="paragraph" w:customStyle="1" w:styleId="EndNoteBibliography">
    <w:name w:val="EndNote Bibliography"/>
    <w:basedOn w:val="a"/>
    <w:link w:val="EndNoteBibliography0"/>
    <w:rsid w:val="00785724"/>
    <w:pPr>
      <w:spacing w:line="240" w:lineRule="auto"/>
      <w:jc w:val="both"/>
    </w:pPr>
    <w:rPr>
      <w:rFonts w:ascii="Times New Roman" w:hAnsi="Times New Roman" w:cs="Times New Roman"/>
      <w:noProof/>
      <w:sz w:val="18"/>
      <w:lang w:val="en-US"/>
    </w:rPr>
  </w:style>
  <w:style w:type="character" w:customStyle="1" w:styleId="EndNoteBibliography0">
    <w:name w:val="EndNote Bibliography Знак"/>
    <w:basedOn w:val="a0"/>
    <w:link w:val="EndNoteBibliography"/>
    <w:rsid w:val="00785724"/>
    <w:rPr>
      <w:rFonts w:ascii="Times New Roman" w:hAnsi="Times New Roman" w:cs="Times New Roman"/>
      <w:noProof/>
      <w:sz w:val="18"/>
      <w:lang w:val="en-US"/>
    </w:rPr>
  </w:style>
  <w:style w:type="table" w:customStyle="1" w:styleId="13">
    <w:name w:val="Сетка таблицы1"/>
    <w:basedOn w:val="a1"/>
    <w:next w:val="af2"/>
    <w:uiPriority w:val="59"/>
    <w:rsid w:val="00321D1D"/>
    <w:pPr>
      <w:spacing w:after="0" w:line="240" w:lineRule="auto"/>
    </w:pPr>
    <w:rPr>
      <w:kern w:val="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tif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reativecommons.org/licenses/by/4.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14DDC8-93C5-41B4-A9C8-F76A16E4A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2314</Words>
  <Characters>13191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INEOS Open</dc:creator>
  <cp:lastModifiedBy>User</cp:lastModifiedBy>
  <cp:revision>70</cp:revision>
  <dcterms:created xsi:type="dcterms:W3CDTF">2018-09-10T13:23:00Z</dcterms:created>
  <dcterms:modified xsi:type="dcterms:W3CDTF">2025-07-29T13:34:00Z</dcterms:modified>
</cp:coreProperties>
</file>