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97"/>
        <w:gridCol w:w="1164"/>
        <w:gridCol w:w="2505"/>
        <w:gridCol w:w="4673"/>
      </w:tblGrid>
      <w:tr w:rsidR="008622A1" w:rsidRPr="00661D28" w:rsidTr="00DF4999">
        <w:trPr>
          <w:trHeight w:val="516"/>
        </w:trPr>
        <w:tc>
          <w:tcPr>
            <w:tcW w:w="1242" w:type="dxa"/>
          </w:tcPr>
          <w:p w:rsidR="008622A1" w:rsidRPr="00D71473" w:rsidRDefault="001B0919" w:rsidP="002F3546">
            <w:pPr>
              <w:pStyle w:val="MainText"/>
              <w:spacing w:after="60"/>
              <w:ind w:firstLine="6"/>
              <w:jc w:val="left"/>
            </w:pPr>
            <w:r>
              <w:rPr>
                <w:noProof/>
                <w:lang w:val="ru-RU" w:eastAsia="ru-RU"/>
              </w:rPr>
              <w:drawing>
                <wp:inline distT="0" distB="0" distL="0" distR="0">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tcPr>
          <w:p w:rsidR="008622A1" w:rsidRPr="00D71473" w:rsidRDefault="00FE6DA1" w:rsidP="00FE6DA1">
            <w:pPr>
              <w:pStyle w:val="11"/>
            </w:pPr>
            <w:r w:rsidRPr="00FE6DA1">
              <w:rPr>
                <w:rStyle w:val="MainText0"/>
                <w:rFonts w:ascii="Arial" w:hAnsi="Arial" w:cs="Arial"/>
                <w:caps w:val="0"/>
                <w:sz w:val="28"/>
                <w:szCs w:val="28"/>
              </w:rPr>
              <w:t>EFFECT OF</w:t>
            </w:r>
            <w:r w:rsidR="00CB75AE">
              <w:rPr>
                <w:rStyle w:val="MainText0"/>
                <w:rFonts w:ascii="Arial" w:hAnsi="Arial" w:cs="Arial"/>
                <w:caps w:val="0"/>
                <w:sz w:val="28"/>
                <w:szCs w:val="28"/>
              </w:rPr>
              <w:t xml:space="preserve"> </w:t>
            </w:r>
            <w:r w:rsidR="00CB75AE">
              <w:rPr>
                <w:rStyle w:val="MainText0"/>
                <w:rFonts w:ascii="Arial" w:hAnsi="Arial" w:cs="Arial"/>
                <w:sz w:val="28"/>
                <w:szCs w:val="28"/>
              </w:rPr>
              <w:t xml:space="preserve">A </w:t>
            </w:r>
            <w:r w:rsidRPr="00FE6DA1">
              <w:rPr>
                <w:rStyle w:val="MainText0"/>
                <w:rFonts w:ascii="Arial" w:hAnsi="Arial" w:cs="Arial"/>
                <w:caps w:val="0"/>
                <w:sz w:val="28"/>
                <w:szCs w:val="28"/>
              </w:rPr>
              <w:t>CATALYST ON</w:t>
            </w:r>
            <w:r w:rsidRPr="00CB75AE">
              <w:rPr>
                <w:rStyle w:val="MainText0"/>
                <w:rFonts w:ascii="Arial" w:hAnsi="Arial" w:cs="Arial"/>
                <w:sz w:val="28"/>
                <w:szCs w:val="28"/>
              </w:rPr>
              <w:t xml:space="preserve"> </w:t>
            </w:r>
            <w:r w:rsidR="00CB75AE" w:rsidRPr="00CB75AE">
              <w:rPr>
                <w:rStyle w:val="MainText0"/>
                <w:rFonts w:ascii="Arial" w:hAnsi="Arial" w:cs="Arial"/>
                <w:sz w:val="28"/>
                <w:szCs w:val="28"/>
              </w:rPr>
              <w:t xml:space="preserve">the </w:t>
            </w:r>
            <w:r w:rsidRPr="00FE6DA1">
              <w:rPr>
                <w:rStyle w:val="MainText0"/>
                <w:rFonts w:ascii="Arial" w:hAnsi="Arial" w:cs="Arial"/>
                <w:caps w:val="0"/>
                <w:sz w:val="28"/>
                <w:szCs w:val="28"/>
              </w:rPr>
              <w:t xml:space="preserve">SYNTHESIS AND PROPERTIES OF </w:t>
            </w:r>
            <w:r w:rsidRPr="001218EB">
              <w:rPr>
                <w:rStyle w:val="MainText0"/>
                <w:rFonts w:ascii="Arial" w:hAnsi="Arial" w:cs="Arial"/>
                <w:caps w:val="0"/>
                <w:sz w:val="28"/>
                <w:szCs w:val="28"/>
              </w:rPr>
              <w:t>POLYSILOXANE</w:t>
            </w:r>
            <w:r w:rsidR="001218EB" w:rsidRPr="001218EB">
              <w:rPr>
                <w:rStyle w:val="MainText0"/>
                <w:rFonts w:ascii="Arial" w:hAnsi="Arial" w:cs="Arial"/>
                <w:caps w:val="0"/>
                <w:sz w:val="28"/>
                <w:szCs w:val="28"/>
              </w:rPr>
              <w:t>–</w:t>
            </w:r>
            <w:r w:rsidRPr="001218EB">
              <w:rPr>
                <w:rStyle w:val="MainText0"/>
                <w:rFonts w:ascii="Arial" w:hAnsi="Arial" w:cs="Arial"/>
                <w:caps w:val="0"/>
                <w:sz w:val="28"/>
                <w:szCs w:val="28"/>
              </w:rPr>
              <w:t>(PROPYLENE OXIDE)</w:t>
            </w:r>
            <w:r w:rsidR="001218EB" w:rsidRPr="001218EB">
              <w:rPr>
                <w:rStyle w:val="MainText0"/>
                <w:rFonts w:ascii="Arial" w:hAnsi="Arial" w:cs="Arial"/>
                <w:caps w:val="0"/>
                <w:sz w:val="28"/>
                <w:szCs w:val="28"/>
              </w:rPr>
              <w:t>–</w:t>
            </w:r>
            <w:r w:rsidRPr="001218EB">
              <w:rPr>
                <w:rStyle w:val="MainText0"/>
                <w:rFonts w:ascii="Arial" w:hAnsi="Arial" w:cs="Arial"/>
                <w:caps w:val="0"/>
                <w:sz w:val="28"/>
                <w:szCs w:val="28"/>
              </w:rPr>
              <w:t>URETHANE</w:t>
            </w:r>
            <w:r w:rsidR="001218EB" w:rsidRPr="001218EB">
              <w:rPr>
                <w:rStyle w:val="MainText0"/>
                <w:rFonts w:ascii="Arial" w:hAnsi="Arial" w:cs="Arial"/>
                <w:caps w:val="0"/>
                <w:sz w:val="28"/>
                <w:szCs w:val="28"/>
              </w:rPr>
              <w:t>–</w:t>
            </w:r>
            <w:r w:rsidRPr="001218EB">
              <w:rPr>
                <w:rStyle w:val="MainText0"/>
                <w:rFonts w:ascii="Arial" w:hAnsi="Arial" w:cs="Arial"/>
                <w:caps w:val="0"/>
                <w:sz w:val="28"/>
                <w:szCs w:val="28"/>
              </w:rPr>
              <w:t>UREAS</w:t>
            </w:r>
            <w:r w:rsidRPr="00FE6DA1">
              <w:rPr>
                <w:rStyle w:val="MainText0"/>
                <w:rFonts w:ascii="Arial" w:hAnsi="Arial" w:cs="Arial"/>
                <w:caps w:val="0"/>
                <w:sz w:val="28"/>
                <w:szCs w:val="28"/>
              </w:rPr>
              <w:t xml:space="preserve"> BASED ON H</w:t>
            </w:r>
            <w:r w:rsidRPr="00FE6DA1">
              <w:rPr>
                <w:rStyle w:val="MainText0"/>
                <w:rFonts w:ascii="Arial" w:hAnsi="Arial" w:cs="Arial"/>
                <w:caps w:val="0"/>
                <w:sz w:val="28"/>
                <w:szCs w:val="28"/>
                <w:vertAlign w:val="subscript"/>
              </w:rPr>
              <w:t>12</w:t>
            </w:r>
            <w:r>
              <w:rPr>
                <w:rStyle w:val="MainText0"/>
                <w:rFonts w:ascii="Arial" w:hAnsi="Arial" w:cs="Arial"/>
                <w:caps w:val="0"/>
                <w:sz w:val="28"/>
                <w:szCs w:val="28"/>
              </w:rPr>
              <w:t>-</w:t>
            </w:r>
            <w:r w:rsidRPr="00FE6DA1">
              <w:rPr>
                <w:rStyle w:val="MainText0"/>
                <w:rFonts w:ascii="Arial" w:hAnsi="Arial" w:cs="Arial"/>
                <w:caps w:val="0"/>
                <w:sz w:val="28"/>
                <w:szCs w:val="28"/>
              </w:rPr>
              <w:t>MDI</w:t>
            </w:r>
          </w:p>
        </w:tc>
      </w:tr>
      <w:tr w:rsidR="00D71473" w:rsidRPr="00661D28" w:rsidTr="00DF4999">
        <w:trPr>
          <w:trHeight w:val="516"/>
        </w:trPr>
        <w:tc>
          <w:tcPr>
            <w:tcW w:w="2410" w:type="dxa"/>
            <w:gridSpan w:val="2"/>
            <w:vMerge w:val="restart"/>
          </w:tcPr>
          <w:p w:rsidR="000E1B06" w:rsidRDefault="00D71473" w:rsidP="007516EA">
            <w:pPr>
              <w:pStyle w:val="MainText"/>
              <w:ind w:firstLine="0"/>
              <w:jc w:val="left"/>
            </w:pPr>
            <w:r w:rsidRPr="00D71473">
              <w:t>Cite this</w:t>
            </w:r>
            <w:r w:rsidRPr="00DF4999">
              <w:t xml:space="preserve">: </w:t>
            </w:r>
            <w:r w:rsidR="00DF4999" w:rsidRPr="008E062B">
              <w:rPr>
                <w:i/>
              </w:rPr>
              <w:t>INEOS</w:t>
            </w:r>
            <w:r w:rsidR="00DF4999" w:rsidRPr="008E062B">
              <w:rPr>
                <w:rFonts w:ascii="Times New Roman CYR" w:hAnsi="Times New Roman CYR" w:cs="Times New Roman CYR"/>
                <w:i/>
              </w:rPr>
              <w:t xml:space="preserve"> OPEN</w:t>
            </w:r>
            <w:r w:rsidR="00DF4999" w:rsidRPr="00941F8C">
              <w:t>,</w:t>
            </w:r>
          </w:p>
          <w:p w:rsidR="00D71473" w:rsidRPr="00930DA8" w:rsidRDefault="00DF4999" w:rsidP="007516EA">
            <w:pPr>
              <w:pStyle w:val="MainText"/>
              <w:ind w:firstLine="0"/>
              <w:jc w:val="left"/>
            </w:pPr>
            <w:r w:rsidRPr="00941F8C">
              <w:rPr>
                <w:b/>
              </w:rPr>
              <w:t>20</w:t>
            </w:r>
            <w:r w:rsidR="00FE6DA1">
              <w:rPr>
                <w:b/>
              </w:rPr>
              <w:t>25</w:t>
            </w:r>
            <w:r w:rsidRPr="00941F8C">
              <w:t xml:space="preserve">, </w:t>
            </w:r>
            <w:r w:rsidR="00FE6DA1">
              <w:rPr>
                <w:i/>
                <w:iCs/>
              </w:rPr>
              <w:t>8</w:t>
            </w:r>
            <w:r w:rsidRPr="000E1B06">
              <w:rPr>
                <w:i/>
                <w:iCs/>
              </w:rPr>
              <w:t xml:space="preserve"> (</w:t>
            </w:r>
            <w:r w:rsidR="00FE6DA1">
              <w:rPr>
                <w:i/>
                <w:iCs/>
              </w:rPr>
              <w:t>1–3</w:t>
            </w:r>
            <w:r w:rsidRPr="000E1B06">
              <w:rPr>
                <w:i/>
                <w:iCs/>
              </w:rPr>
              <w:t>)</w:t>
            </w:r>
            <w:r w:rsidRPr="00941F8C">
              <w:t>, XX–XX</w:t>
            </w:r>
          </w:p>
          <w:p w:rsidR="007516EA" w:rsidRPr="007516EA" w:rsidRDefault="007516EA" w:rsidP="007516EA">
            <w:pPr>
              <w:pStyle w:val="MainText"/>
              <w:ind w:firstLine="0"/>
              <w:jc w:val="left"/>
            </w:pPr>
            <w:r>
              <w:t>DOI: 10.32931/</w:t>
            </w:r>
            <w:proofErr w:type="spellStart"/>
            <w:r>
              <w:t>ioXXXXx</w:t>
            </w:r>
            <w:proofErr w:type="spellEnd"/>
          </w:p>
          <w:p w:rsidR="00BE4FEF" w:rsidRPr="00D71473" w:rsidRDefault="00BE4FEF" w:rsidP="007516EA">
            <w:pPr>
              <w:pStyle w:val="MainText"/>
              <w:ind w:firstLine="0"/>
              <w:jc w:val="left"/>
            </w:pPr>
          </w:p>
          <w:p w:rsidR="00D71473" w:rsidRPr="00D71473" w:rsidRDefault="00D71473" w:rsidP="007516EA">
            <w:pPr>
              <w:pStyle w:val="MainText"/>
              <w:ind w:firstLine="0"/>
              <w:rPr>
                <w:i/>
                <w:szCs w:val="14"/>
              </w:rPr>
            </w:pPr>
            <w:r w:rsidRPr="00FE6DA1">
              <w:rPr>
                <w:i/>
                <w:szCs w:val="14"/>
                <w:highlight w:val="green"/>
              </w:rPr>
              <w:t xml:space="preserve">Received </w:t>
            </w:r>
            <w:r w:rsidR="008E062B" w:rsidRPr="00FE6DA1">
              <w:rPr>
                <w:i/>
                <w:szCs w:val="14"/>
                <w:highlight w:val="green"/>
              </w:rPr>
              <w:t>XX</w:t>
            </w:r>
            <w:r w:rsidRPr="00FE6DA1">
              <w:rPr>
                <w:i/>
                <w:szCs w:val="14"/>
                <w:highlight w:val="green"/>
              </w:rPr>
              <w:t xml:space="preserve"> </w:t>
            </w:r>
            <w:r w:rsidR="008E062B" w:rsidRPr="00FE6DA1">
              <w:rPr>
                <w:i/>
                <w:szCs w:val="14"/>
                <w:highlight w:val="green"/>
              </w:rPr>
              <w:t>Month</w:t>
            </w:r>
            <w:r w:rsidRPr="00FE6DA1">
              <w:rPr>
                <w:i/>
                <w:szCs w:val="14"/>
                <w:highlight w:val="green"/>
              </w:rPr>
              <w:t xml:space="preserve"> 2</w:t>
            </w:r>
            <w:r w:rsidR="008E062B" w:rsidRPr="00FE6DA1">
              <w:rPr>
                <w:i/>
                <w:szCs w:val="14"/>
                <w:highlight w:val="green"/>
              </w:rPr>
              <w:t>0XX</w:t>
            </w:r>
            <w:r w:rsidRPr="00D71473">
              <w:rPr>
                <w:i/>
                <w:szCs w:val="14"/>
              </w:rPr>
              <w:t>,</w:t>
            </w:r>
          </w:p>
          <w:p w:rsidR="00D71473" w:rsidRPr="00D71473" w:rsidRDefault="00D71473" w:rsidP="007516EA">
            <w:pPr>
              <w:pStyle w:val="MainText"/>
              <w:ind w:firstLine="0"/>
              <w:rPr>
                <w:i/>
                <w:szCs w:val="14"/>
              </w:rPr>
            </w:pPr>
            <w:r w:rsidRPr="00D71473">
              <w:rPr>
                <w:i/>
                <w:szCs w:val="14"/>
              </w:rPr>
              <w:t xml:space="preserve">Accepted </w:t>
            </w:r>
            <w:r w:rsidR="00A858C6">
              <w:rPr>
                <w:i/>
                <w:szCs w:val="14"/>
              </w:rPr>
              <w:t xml:space="preserve">2 February </w:t>
            </w:r>
            <w:r w:rsidR="008E062B">
              <w:rPr>
                <w:i/>
                <w:szCs w:val="14"/>
              </w:rPr>
              <w:t>20</w:t>
            </w:r>
            <w:r w:rsidR="00A858C6">
              <w:rPr>
                <w:i/>
                <w:szCs w:val="14"/>
              </w:rPr>
              <w:t>25</w:t>
            </w:r>
          </w:p>
          <w:p w:rsidR="00820A77" w:rsidRDefault="00820A77" w:rsidP="007516EA">
            <w:pPr>
              <w:pStyle w:val="MainText"/>
              <w:ind w:firstLine="0"/>
              <w:rPr>
                <w:szCs w:val="14"/>
              </w:rPr>
            </w:pPr>
          </w:p>
          <w:p w:rsidR="00D71473" w:rsidRDefault="00440577" w:rsidP="007516EA">
            <w:pPr>
              <w:pStyle w:val="MainText"/>
              <w:ind w:firstLine="0"/>
            </w:pPr>
            <w:r>
              <w:rPr>
                <w:szCs w:val="14"/>
              </w:rPr>
              <w:t>http://</w:t>
            </w:r>
            <w:r w:rsidR="00D71473" w:rsidRPr="00D71473">
              <w:rPr>
                <w:szCs w:val="14"/>
              </w:rPr>
              <w:t>ineosopen.org</w:t>
            </w:r>
          </w:p>
        </w:tc>
        <w:tc>
          <w:tcPr>
            <w:tcW w:w="7229" w:type="dxa"/>
            <w:gridSpan w:val="2"/>
          </w:tcPr>
          <w:p w:rsidR="00D71473" w:rsidRPr="00D71473" w:rsidRDefault="006C6C00" w:rsidP="007516EA">
            <w:pPr>
              <w:pStyle w:val="AuthorNames"/>
              <w:ind w:left="0"/>
              <w:contextualSpacing w:val="0"/>
            </w:pPr>
            <w:r>
              <w:rPr>
                <w:rFonts w:eastAsia="Calibri"/>
              </w:rPr>
              <w:t>L. V.</w:t>
            </w:r>
            <w:r w:rsidR="002E30B5">
              <w:rPr>
                <w:rFonts w:eastAsia="Calibri"/>
              </w:rPr>
              <w:t xml:space="preserve"> Filimonova,</w:t>
            </w:r>
            <w:r w:rsidR="002E30B5" w:rsidRPr="002E30B5">
              <w:rPr>
                <w:rFonts w:eastAsia="Calibri"/>
                <w:i/>
                <w:iCs/>
                <w:vertAlign w:val="superscript"/>
              </w:rPr>
              <w:t>a</w:t>
            </w:r>
            <w:r w:rsidRPr="00407EBA">
              <w:rPr>
                <w:rFonts w:eastAsia="Calibri"/>
              </w:rPr>
              <w:t xml:space="preserve"> </w:t>
            </w:r>
            <w:r w:rsidR="002E30B5">
              <w:rPr>
                <w:rFonts w:eastAsia="Calibri"/>
              </w:rPr>
              <w:t>G. G. Nikiforova,</w:t>
            </w:r>
            <w:r w:rsidR="002E30B5" w:rsidRPr="002E30B5">
              <w:rPr>
                <w:rFonts w:eastAsia="Calibri"/>
                <w:i/>
                <w:iCs/>
                <w:vertAlign w:val="superscript"/>
              </w:rPr>
              <w:t>a</w:t>
            </w:r>
            <w:r w:rsidRPr="00407EBA">
              <w:rPr>
                <w:rFonts w:eastAsia="Calibri"/>
              </w:rPr>
              <w:t xml:space="preserve"> </w:t>
            </w:r>
            <w:r w:rsidR="002E30B5">
              <w:rPr>
                <w:rFonts w:eastAsia="Calibri"/>
              </w:rPr>
              <w:t>I. O. Volkov,</w:t>
            </w:r>
            <w:r w:rsidR="002E30B5" w:rsidRPr="002E30B5">
              <w:rPr>
                <w:rFonts w:eastAsia="Calibri"/>
                <w:i/>
                <w:iCs/>
                <w:vertAlign w:val="superscript"/>
              </w:rPr>
              <w:t>a</w:t>
            </w:r>
            <w:r w:rsidRPr="00407EBA">
              <w:rPr>
                <w:rFonts w:eastAsia="Calibri"/>
              </w:rPr>
              <w:t xml:space="preserve"> </w:t>
            </w:r>
            <w:r w:rsidR="002E30B5">
              <w:rPr>
                <w:rFonts w:eastAsia="Calibri"/>
              </w:rPr>
              <w:t>M. I. Buzin,</w:t>
            </w:r>
            <w:r w:rsidR="002E30B5" w:rsidRPr="002E30B5">
              <w:rPr>
                <w:rFonts w:eastAsia="Calibri"/>
                <w:i/>
                <w:iCs/>
                <w:vertAlign w:val="superscript"/>
              </w:rPr>
              <w:t>a</w:t>
            </w:r>
            <w:r w:rsidR="002E30B5">
              <w:rPr>
                <w:rFonts w:eastAsia="Calibri"/>
                <w:i/>
                <w:iCs/>
                <w:vertAlign w:val="superscript"/>
              </w:rPr>
              <w:br/>
            </w:r>
            <w:r w:rsidR="002E30B5">
              <w:rPr>
                <w:rFonts w:eastAsia="Calibri"/>
              </w:rPr>
              <w:t>E. S. Afanasyev,</w:t>
            </w:r>
            <w:r w:rsidR="002E30B5">
              <w:rPr>
                <w:rFonts w:eastAsia="Calibri"/>
                <w:i/>
                <w:iCs/>
                <w:vertAlign w:val="superscript"/>
              </w:rPr>
              <w:t>a</w:t>
            </w:r>
            <w:r w:rsidRPr="00407EBA">
              <w:rPr>
                <w:rFonts w:eastAsia="Calibri"/>
              </w:rPr>
              <w:t xml:space="preserve"> </w:t>
            </w:r>
            <w:r w:rsidR="002E30B5">
              <w:rPr>
                <w:rFonts w:eastAsia="Calibri"/>
              </w:rPr>
              <w:t>K. L. Boldyrev,</w:t>
            </w:r>
            <w:r w:rsidR="002E30B5" w:rsidRPr="002E30B5">
              <w:rPr>
                <w:rFonts w:eastAsia="Calibri"/>
                <w:i/>
                <w:iCs/>
                <w:vertAlign w:val="superscript"/>
              </w:rPr>
              <w:t>a</w:t>
            </w:r>
            <w:r w:rsidRPr="00407EBA">
              <w:rPr>
                <w:rFonts w:eastAsia="Calibri"/>
              </w:rPr>
              <w:t xml:space="preserve"> </w:t>
            </w:r>
            <w:r w:rsidR="002E30B5">
              <w:rPr>
                <w:rFonts w:eastAsia="Calibri"/>
              </w:rPr>
              <w:t>Z. S. Klemenkova,</w:t>
            </w:r>
            <w:r w:rsidR="002E30B5" w:rsidRPr="002E30B5">
              <w:rPr>
                <w:rFonts w:eastAsia="Calibri"/>
                <w:i/>
                <w:iCs/>
                <w:vertAlign w:val="superscript"/>
              </w:rPr>
              <w:t>a</w:t>
            </w:r>
            <w:r w:rsidRPr="00407EBA">
              <w:rPr>
                <w:rFonts w:eastAsia="Calibri"/>
              </w:rPr>
              <w:t xml:space="preserve"> </w:t>
            </w:r>
            <w:r w:rsidR="002E30B5">
              <w:rPr>
                <w:rFonts w:eastAsia="Calibri"/>
              </w:rPr>
              <w:t>and E. A. Cherkas</w:t>
            </w:r>
            <w:r w:rsidR="002E30B5" w:rsidRPr="002E30B5">
              <w:rPr>
                <w:rFonts w:eastAsia="Calibri"/>
                <w:i/>
                <w:iCs/>
                <w:vertAlign w:val="superscript"/>
              </w:rPr>
              <w:t>b</w:t>
            </w:r>
          </w:p>
        </w:tc>
      </w:tr>
      <w:tr w:rsidR="00D71473" w:rsidRPr="00FE6DA1" w:rsidTr="00DF4999">
        <w:trPr>
          <w:trHeight w:val="263"/>
        </w:trPr>
        <w:tc>
          <w:tcPr>
            <w:tcW w:w="2410" w:type="dxa"/>
            <w:gridSpan w:val="2"/>
            <w:vMerge/>
          </w:tcPr>
          <w:p w:rsidR="00D71473" w:rsidRDefault="00D71473" w:rsidP="00D71473">
            <w:pPr>
              <w:pStyle w:val="AuthorNames"/>
            </w:pPr>
          </w:p>
        </w:tc>
        <w:tc>
          <w:tcPr>
            <w:tcW w:w="7229" w:type="dxa"/>
            <w:gridSpan w:val="2"/>
          </w:tcPr>
          <w:p w:rsidR="002E30B5" w:rsidRPr="00407EBA" w:rsidRDefault="002E30B5" w:rsidP="00CB75AE">
            <w:pPr>
              <w:pStyle w:val="Affiliations"/>
              <w:widowControl w:val="0"/>
              <w:spacing w:before="120"/>
              <w:ind w:left="0"/>
              <w:rPr>
                <w:iCs/>
              </w:rPr>
            </w:pPr>
            <w:r w:rsidRPr="00407EBA">
              <w:rPr>
                <w:rFonts w:eastAsia="Calibri"/>
                <w:iCs/>
                <w:vertAlign w:val="superscript"/>
              </w:rPr>
              <w:t>a</w:t>
            </w:r>
            <w:r w:rsidRPr="002E30B5">
              <w:rPr>
                <w:rFonts w:eastAsia="Calibri"/>
                <w:iCs/>
              </w:rPr>
              <w:t xml:space="preserve"> </w:t>
            </w:r>
            <w:r w:rsidRPr="00407EBA">
              <w:rPr>
                <w:rFonts w:eastAsia="Calibri" w:cs="Times New Roman"/>
                <w:iCs/>
              </w:rPr>
              <w:t>Nesmeyanov Institute of Organoelement Compounds, Russian Academy of Sciences,</w:t>
            </w:r>
            <w:r>
              <w:rPr>
                <w:rFonts w:eastAsia="Calibri" w:cs="Times New Roman"/>
                <w:iCs/>
              </w:rPr>
              <w:t xml:space="preserve"> </w:t>
            </w:r>
            <w:r w:rsidRPr="00407EBA">
              <w:rPr>
                <w:rFonts w:eastAsia="Calibri" w:cs="Times New Roman"/>
                <w:iCs/>
              </w:rPr>
              <w:t>ul. Vavilova 28, str. 1, Moscow, 119334 Russia</w:t>
            </w:r>
          </w:p>
          <w:p w:rsidR="002E30B5" w:rsidRDefault="002E30B5" w:rsidP="002E30B5">
            <w:pPr>
              <w:pStyle w:val="Affiliations"/>
              <w:widowControl w:val="0"/>
            </w:pPr>
            <w:r w:rsidRPr="00407EBA">
              <w:rPr>
                <w:rFonts w:eastAsia="Calibri"/>
                <w:iCs/>
                <w:vertAlign w:val="superscript"/>
              </w:rPr>
              <w:t>b</w:t>
            </w:r>
            <w:r w:rsidRPr="002E30B5">
              <w:rPr>
                <w:rFonts w:eastAsia="Calibri"/>
                <w:iCs/>
              </w:rPr>
              <w:t xml:space="preserve"> </w:t>
            </w:r>
            <w:r w:rsidRPr="00407EBA">
              <w:rPr>
                <w:rFonts w:eastAsia="Calibri"/>
                <w:iCs/>
                <w:lang w:val="en-US"/>
              </w:rPr>
              <w:t>MIREA</w:t>
            </w:r>
            <w:r>
              <w:rPr>
                <w:rFonts w:eastAsia="Calibri"/>
                <w:iCs/>
                <w:lang w:val="en-US"/>
              </w:rPr>
              <w:t>—</w:t>
            </w:r>
            <w:r w:rsidRPr="00407EBA">
              <w:rPr>
                <w:rFonts w:eastAsia="Calibri"/>
                <w:iCs/>
                <w:lang w:val="en-US"/>
              </w:rPr>
              <w:t>Russian Technological University</w:t>
            </w:r>
            <w:r>
              <w:rPr>
                <w:rFonts w:eastAsia="Calibri"/>
                <w:iCs/>
                <w:lang w:val="en-US"/>
              </w:rPr>
              <w:t>,</w:t>
            </w:r>
            <w:r>
              <w:rPr>
                <w:rFonts w:eastAsia="Calibri"/>
                <w:iCs/>
                <w:lang w:val="en-US"/>
              </w:rPr>
              <w:br/>
            </w:r>
            <w:r w:rsidRPr="00407EBA">
              <w:rPr>
                <w:rFonts w:eastAsia="Calibri"/>
                <w:iCs/>
              </w:rPr>
              <w:t>pr</w:t>
            </w:r>
            <w:r>
              <w:rPr>
                <w:rFonts w:eastAsia="Calibri"/>
                <w:iCs/>
              </w:rPr>
              <w:t>.</w:t>
            </w:r>
            <w:r w:rsidRPr="00407EBA">
              <w:rPr>
                <w:rFonts w:eastAsia="Calibri"/>
                <w:iCs/>
              </w:rPr>
              <w:t xml:space="preserve"> Vernadskogo</w:t>
            </w:r>
            <w:r>
              <w:rPr>
                <w:rFonts w:eastAsia="Calibri"/>
                <w:iCs/>
              </w:rPr>
              <w:t xml:space="preserve"> </w:t>
            </w:r>
            <w:r w:rsidRPr="00407EBA">
              <w:rPr>
                <w:rFonts w:eastAsia="Calibri"/>
                <w:iCs/>
              </w:rPr>
              <w:t xml:space="preserve">78, Moscow, </w:t>
            </w:r>
            <w:r w:rsidRPr="002E30B5">
              <w:rPr>
                <w:rFonts w:eastAsia="Calibri"/>
                <w:iCs/>
                <w:lang w:val="en-US"/>
              </w:rPr>
              <w:t>119454</w:t>
            </w:r>
            <w:r w:rsidRPr="00407EBA">
              <w:rPr>
                <w:rFonts w:eastAsia="Calibri"/>
                <w:iCs/>
              </w:rPr>
              <w:t xml:space="preserve"> Russia</w:t>
            </w:r>
          </w:p>
        </w:tc>
      </w:tr>
      <w:tr w:rsidR="00CD6FAC" w:rsidRPr="002F3546" w:rsidTr="00DF4999">
        <w:tc>
          <w:tcPr>
            <w:tcW w:w="4962" w:type="dxa"/>
            <w:gridSpan w:val="3"/>
          </w:tcPr>
          <w:p w:rsidR="00D71473" w:rsidRPr="0065245B" w:rsidRDefault="00D71473" w:rsidP="009667F3">
            <w:pPr>
              <w:pStyle w:val="Header1"/>
            </w:pPr>
            <w:r w:rsidRPr="00021E9C">
              <w:t>Abstract</w:t>
            </w:r>
          </w:p>
          <w:p w:rsidR="00CD6FAC" w:rsidRDefault="00DE3203" w:rsidP="00DE3203">
            <w:pPr>
              <w:pStyle w:val="MainText"/>
              <w:ind w:firstLine="284"/>
            </w:pPr>
            <w:r w:rsidRPr="00DE3203">
              <w:t xml:space="preserve">Network </w:t>
            </w:r>
            <w:proofErr w:type="spellStart"/>
            <w:r w:rsidRPr="00DE3203">
              <w:t>polysiloxane</w:t>
            </w:r>
            <w:proofErr w:type="spellEnd"/>
            <w:r w:rsidR="001218EB">
              <w:t>–</w:t>
            </w:r>
            <w:r w:rsidRPr="00DE3203">
              <w:t>(propylene oxide)</w:t>
            </w:r>
            <w:r w:rsidR="001218EB">
              <w:t>–</w:t>
            </w:r>
            <w:r w:rsidRPr="00DE3203">
              <w:t>urethane</w:t>
            </w:r>
            <w:r w:rsidR="001218EB">
              <w:t>–</w:t>
            </w:r>
            <w:proofErr w:type="spellStart"/>
            <w:r w:rsidRPr="00DE3203">
              <w:t>ureas</w:t>
            </w:r>
            <w:proofErr w:type="spellEnd"/>
            <w:r w:rsidRPr="00DE3203">
              <w:t xml:space="preserve"> based on </w:t>
            </w:r>
            <w:proofErr w:type="spellStart"/>
            <w:r w:rsidR="001218EB" w:rsidRPr="00822A0B">
              <w:t>α</w:t>
            </w:r>
            <w:proofErr w:type="gramStart"/>
            <w:r w:rsidR="001218EB" w:rsidRPr="00822A0B">
              <w:t>,ω</w:t>
            </w:r>
            <w:proofErr w:type="gramEnd"/>
            <w:r w:rsidR="001218EB" w:rsidRPr="00822A0B">
              <w:t>-bis</w:t>
            </w:r>
            <w:proofErr w:type="spellEnd"/>
            <w:r w:rsidR="001218EB" w:rsidRPr="00822A0B">
              <w:t>[(3-aminopropyl)</w:t>
            </w:r>
            <w:proofErr w:type="spellStart"/>
            <w:r w:rsidR="001218EB" w:rsidRPr="00822A0B">
              <w:t>diethoxy</w:t>
            </w:r>
            <w:proofErr w:type="spellEnd"/>
            <w:r w:rsidR="001218EB" w:rsidRPr="00822A0B">
              <w:t>]</w:t>
            </w:r>
            <w:proofErr w:type="spellStart"/>
            <w:r w:rsidR="001218EB" w:rsidRPr="00822A0B">
              <w:t>oligodimethyl</w:t>
            </w:r>
            <w:r w:rsidR="00A20BFE">
              <w:t>-</w:t>
            </w:r>
            <w:r w:rsidR="001218EB" w:rsidRPr="00822A0B">
              <w:t>siloxanes</w:t>
            </w:r>
            <w:proofErr w:type="spellEnd"/>
            <w:r w:rsidRPr="00DE3203">
              <w:t>, H</w:t>
            </w:r>
            <w:r w:rsidRPr="001218EB">
              <w:rPr>
                <w:vertAlign w:val="subscript"/>
              </w:rPr>
              <w:t>12</w:t>
            </w:r>
            <w:r w:rsidRPr="00DE3203">
              <w:t xml:space="preserve">-MDI and </w:t>
            </w:r>
            <w:proofErr w:type="spellStart"/>
            <w:r w:rsidRPr="00DE3203">
              <w:t>oligo</w:t>
            </w:r>
            <w:proofErr w:type="spellEnd"/>
            <w:r w:rsidR="001218EB">
              <w:t>(</w:t>
            </w:r>
            <w:r w:rsidRPr="00DE3203">
              <w:t>propylene oxide</w:t>
            </w:r>
            <w:r w:rsidR="001218EB">
              <w:t>)</w:t>
            </w:r>
            <w:r w:rsidRPr="00DE3203">
              <w:t xml:space="preserve"> were synthesized in</w:t>
            </w:r>
            <w:r w:rsidR="001218EB">
              <w:t xml:space="preserve"> </w:t>
            </w:r>
            <w:r w:rsidRPr="00DE3203">
              <w:t xml:space="preserve">the presence of three different catalysts: bismuth(III) </w:t>
            </w:r>
            <w:proofErr w:type="spellStart"/>
            <w:r w:rsidRPr="00DE3203">
              <w:t>neodecanoate</w:t>
            </w:r>
            <w:proofErr w:type="spellEnd"/>
            <w:r w:rsidRPr="00DE3203">
              <w:t xml:space="preserve">, </w:t>
            </w:r>
            <w:proofErr w:type="spellStart"/>
            <w:r w:rsidRPr="00DE3203">
              <w:t>dibutyltin</w:t>
            </w:r>
            <w:proofErr w:type="spellEnd"/>
            <w:r w:rsidRPr="00DE3203">
              <w:t xml:space="preserve"> </w:t>
            </w:r>
            <w:proofErr w:type="spellStart"/>
            <w:r w:rsidRPr="00DE3203">
              <w:t>dilaurate</w:t>
            </w:r>
            <w:proofErr w:type="spellEnd"/>
            <w:r w:rsidR="001218EB">
              <w:t>,</w:t>
            </w:r>
            <w:r w:rsidRPr="00DE3203">
              <w:t xml:space="preserve"> and </w:t>
            </w:r>
            <w:proofErr w:type="spellStart"/>
            <w:r w:rsidR="001218EB" w:rsidRPr="00DE3203">
              <w:t>diethyl</w:t>
            </w:r>
            <w:r w:rsidRPr="00DE3203">
              <w:t>tin</w:t>
            </w:r>
            <w:proofErr w:type="spellEnd"/>
            <w:r w:rsidRPr="00DE3203">
              <w:t xml:space="preserve"> </w:t>
            </w:r>
            <w:proofErr w:type="spellStart"/>
            <w:r w:rsidRPr="00DE3203">
              <w:t>dicaprylate</w:t>
            </w:r>
            <w:proofErr w:type="spellEnd"/>
            <w:r w:rsidRPr="00DE3203">
              <w:t xml:space="preserve">. </w:t>
            </w:r>
            <w:r w:rsidR="001218EB">
              <w:t>The m</w:t>
            </w:r>
            <w:r w:rsidRPr="00DE3203">
              <w:t xml:space="preserve">echanical properties of the </w:t>
            </w:r>
            <w:r w:rsidR="001218EB">
              <w:t xml:space="preserve">resulting </w:t>
            </w:r>
            <w:r w:rsidRPr="00DE3203">
              <w:t xml:space="preserve">polymers were </w:t>
            </w:r>
            <w:r w:rsidR="001218EB">
              <w:t>studied</w:t>
            </w:r>
            <w:r w:rsidRPr="00DE3203">
              <w:t xml:space="preserve">. TMA </w:t>
            </w:r>
            <w:r w:rsidR="00A63B92">
              <w:t>investigations</w:t>
            </w:r>
            <w:r w:rsidRPr="00DE3203">
              <w:t xml:space="preserve"> of the samples revealed the presence of two glass</w:t>
            </w:r>
            <w:r w:rsidR="001218EB">
              <w:t>-</w:t>
            </w:r>
            <w:r w:rsidRPr="00DE3203">
              <w:t>transition temperatures</w:t>
            </w:r>
            <w:r w:rsidR="00A63B92">
              <w:t xml:space="preserve"> which </w:t>
            </w:r>
            <w:r w:rsidRPr="00DE3203">
              <w:t>correspond to the glass</w:t>
            </w:r>
            <w:r w:rsidR="001218EB">
              <w:t>-</w:t>
            </w:r>
            <w:r w:rsidRPr="00DE3203">
              <w:t>transition temperatures of the organic and siloxane phases.</w:t>
            </w:r>
          </w:p>
        </w:tc>
        <w:tc>
          <w:tcPr>
            <w:tcW w:w="4677" w:type="dxa"/>
            <w:vAlign w:val="center"/>
          </w:tcPr>
          <w:p w:rsidR="00CD6FAC" w:rsidRDefault="006B47DA" w:rsidP="005C7369">
            <w:pPr>
              <w:pStyle w:val="MainText"/>
              <w:ind w:firstLine="0"/>
              <w:jc w:val="center"/>
            </w:pPr>
            <w:r>
              <w:object w:dxaOrig="6687" w:dyaOrig="1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4pt;height:57.6pt" o:ole="">
                  <v:imagedata r:id="rId9" o:title=""/>
                </v:shape>
                <o:OLEObject Type="Embed" ProgID="ChemDraw.Document.6.0" ShapeID="_x0000_i1025" DrawAspect="Content" ObjectID="_1816370215" r:id="rId10"/>
              </w:object>
            </w:r>
          </w:p>
        </w:tc>
      </w:tr>
      <w:tr w:rsidR="0065245B" w:rsidRPr="00661D28" w:rsidTr="00DF4999">
        <w:tc>
          <w:tcPr>
            <w:tcW w:w="9639" w:type="dxa"/>
            <w:gridSpan w:val="4"/>
          </w:tcPr>
          <w:p w:rsidR="0065245B" w:rsidRDefault="0065245B" w:rsidP="00930DA8">
            <w:pPr>
              <w:pStyle w:val="MainText"/>
              <w:spacing w:before="120" w:after="120"/>
              <w:ind w:firstLine="284"/>
            </w:pPr>
            <w:r w:rsidRPr="006A32BB">
              <w:rPr>
                <w:b/>
              </w:rPr>
              <w:t>Key words:</w:t>
            </w:r>
            <w:r w:rsidRPr="0065245B">
              <w:t xml:space="preserve"> </w:t>
            </w:r>
            <w:proofErr w:type="spellStart"/>
            <w:r w:rsidR="008A5C4E" w:rsidRPr="008A5C4E">
              <w:t>polysiloxanes</w:t>
            </w:r>
            <w:proofErr w:type="spellEnd"/>
            <w:r w:rsidR="008A5C4E" w:rsidRPr="008A5C4E">
              <w:t xml:space="preserve">, polyurethanes, catalyst, </w:t>
            </w:r>
            <w:proofErr w:type="spellStart"/>
            <w:r w:rsidR="008A5C4E" w:rsidRPr="008A5C4E">
              <w:t>microphase</w:t>
            </w:r>
            <w:proofErr w:type="spellEnd"/>
            <w:r w:rsidR="008A5C4E" w:rsidRPr="008A5C4E">
              <w:t xml:space="preserve"> separation</w:t>
            </w:r>
            <w:r w:rsidRPr="0065245B">
              <w:t>.</w:t>
            </w:r>
          </w:p>
        </w:tc>
      </w:tr>
    </w:tbl>
    <w:p w:rsidR="00166162" w:rsidRDefault="00166162" w:rsidP="00427E5A">
      <w:pPr>
        <w:rPr>
          <w:sz w:val="20"/>
          <w:szCs w:val="20"/>
          <w:lang w:val="en-US"/>
        </w:rPr>
        <w:sectPr w:rsidR="00166162" w:rsidSect="007A3351">
          <w:headerReference w:type="default" r:id="rId11"/>
          <w:footerReference w:type="default" r:id="rId12"/>
          <w:endnotePr>
            <w:numFmt w:val="chicago"/>
          </w:endnotePr>
          <w:pgSz w:w="11906" w:h="16838" w:code="9"/>
          <w:pgMar w:top="1134" w:right="1134" w:bottom="1134" w:left="1134" w:header="709" w:footer="709" w:gutter="0"/>
          <w:cols w:space="282"/>
          <w:docGrid w:linePitch="360"/>
        </w:sectPr>
      </w:pPr>
    </w:p>
    <w:p w:rsidR="00166162" w:rsidRDefault="00166162" w:rsidP="00427E5A">
      <w:pPr>
        <w:rPr>
          <w:sz w:val="20"/>
          <w:szCs w:val="20"/>
          <w:lang w:val="en-US"/>
        </w:rPr>
        <w:sectPr w:rsidR="00166162" w:rsidSect="00166162">
          <w:endnotePr>
            <w:numFmt w:val="chicago"/>
          </w:endnotePr>
          <w:type w:val="continuous"/>
          <w:pgSz w:w="11906" w:h="16838" w:code="9"/>
          <w:pgMar w:top="1134" w:right="1134" w:bottom="1134" w:left="1134" w:header="709" w:footer="709" w:gutter="0"/>
          <w:cols w:space="282"/>
          <w:docGrid w:linePitch="360"/>
        </w:sectPr>
      </w:pPr>
    </w:p>
    <w:p w:rsidR="00875175" w:rsidRPr="004A44BC" w:rsidRDefault="00427E5A" w:rsidP="001218EB">
      <w:pPr>
        <w:spacing w:after="240"/>
        <w:rPr>
          <w:rFonts w:ascii="Arial" w:hAnsi="Arial" w:cs="Arial"/>
          <w:b/>
          <w:lang w:val="en-US"/>
        </w:rPr>
      </w:pPr>
      <w:r w:rsidRPr="00427E5A">
        <w:rPr>
          <w:rFonts w:ascii="Arial" w:hAnsi="Arial" w:cs="Arial"/>
          <w:b/>
          <w:lang w:val="en-US"/>
        </w:rPr>
        <w:lastRenderedPageBreak/>
        <w:t>Introduction</w:t>
      </w:r>
    </w:p>
    <w:p w:rsidR="008A5C4E" w:rsidRDefault="008A5C4E" w:rsidP="008A5C4E">
      <w:pPr>
        <w:pStyle w:val="MainText"/>
        <w:ind w:firstLine="284"/>
      </w:pPr>
      <w:proofErr w:type="spellStart"/>
      <w:r>
        <w:t>Polysiloxane</w:t>
      </w:r>
      <w:proofErr w:type="spellEnd"/>
      <w:r>
        <w:t xml:space="preserve"> urethanes are </w:t>
      </w:r>
      <w:r w:rsidR="00770296">
        <w:t xml:space="preserve">the </w:t>
      </w:r>
      <w:r>
        <w:t xml:space="preserve">polymers that combine the unique properties of </w:t>
      </w:r>
      <w:proofErr w:type="spellStart"/>
      <w:r>
        <w:t>polysiloxanes</w:t>
      </w:r>
      <w:proofErr w:type="spellEnd"/>
      <w:r>
        <w:t xml:space="preserve"> (low glass</w:t>
      </w:r>
      <w:r w:rsidR="00770296">
        <w:t>-</w:t>
      </w:r>
      <w:r>
        <w:t>transition temperature, heat resistance, resistance to UV radiation and weather conditions, low surface energy, hydrophobicity, good dielectric properties, high gas permeability, biological inertness) and polyurethanes (high mechanical strength, high adhesive resistance, low cost) [1, 2].</w:t>
      </w:r>
    </w:p>
    <w:p w:rsidR="008A5C4E" w:rsidRPr="00080694" w:rsidRDefault="008A5C4E" w:rsidP="008A5C4E">
      <w:pPr>
        <w:pStyle w:val="MainText"/>
        <w:ind w:firstLine="284"/>
      </w:pPr>
      <w:r>
        <w:t xml:space="preserve">The introduction of a urea </w:t>
      </w:r>
      <w:r w:rsidR="00770296">
        <w:t>moiety</w:t>
      </w:r>
      <w:r>
        <w:t xml:space="preserve"> into polyurethane usually leads to improved mechanical properties, heat resistance, elasticity, tensile strength, resistance to abrasion</w:t>
      </w:r>
      <w:r w:rsidR="00496A67">
        <w:t>,</w:t>
      </w:r>
      <w:r>
        <w:t xml:space="preserve"> and </w:t>
      </w:r>
      <w:r w:rsidR="00080694" w:rsidRPr="00712EB3">
        <w:t xml:space="preserve">flexural </w:t>
      </w:r>
      <w:r w:rsidRPr="00712EB3">
        <w:t>fatigue.</w:t>
      </w:r>
      <w:bookmarkStart w:id="0" w:name="_GoBack"/>
      <w:bookmarkEnd w:id="0"/>
      <w:r>
        <w:t xml:space="preserve"> Polyurethane</w:t>
      </w:r>
      <w:r w:rsidR="00080694">
        <w:t>–</w:t>
      </w:r>
      <w:proofErr w:type="spellStart"/>
      <w:r>
        <w:t>urea</w:t>
      </w:r>
      <w:r w:rsidR="00080694">
        <w:t>s</w:t>
      </w:r>
      <w:proofErr w:type="spellEnd"/>
      <w:r w:rsidR="00080694">
        <w:t xml:space="preserve"> are</w:t>
      </w:r>
      <w:r>
        <w:t xml:space="preserve"> also distinguished by very low stress relaxation (low creep of the material) [3].</w:t>
      </w:r>
    </w:p>
    <w:p w:rsidR="00427E5A" w:rsidRPr="00F376FB" w:rsidRDefault="008A5C4E" w:rsidP="008A5C4E">
      <w:pPr>
        <w:pStyle w:val="MainText"/>
        <w:ind w:firstLine="284"/>
      </w:pPr>
      <w:r>
        <w:t>Organotin catalysts are widely used in the synthesis of polyurethanes</w:t>
      </w:r>
      <w:r w:rsidR="00F30C58">
        <w:t xml:space="preserve">; however, </w:t>
      </w:r>
      <w:r>
        <w:t>they have a negative impact on human health and the environment. According to recent studies, dibutyltin dilaurate (DBTL) has a negative effect on reproductive capa</w:t>
      </w:r>
      <w:r w:rsidR="00080694">
        <w:t>city</w:t>
      </w:r>
      <w:r>
        <w:t xml:space="preserve"> and has mutagenic properties. </w:t>
      </w:r>
      <w:r w:rsidR="00080694">
        <w:t>Furthermore</w:t>
      </w:r>
      <w:r>
        <w:t xml:space="preserve">, DBTL is undesirable for use in antifouling coatings for ships due to its toxicity to marine organisms. Bismuth-based catalysts have lower toxicity and can, in many cases, replace organotin catalysts. Another </w:t>
      </w:r>
      <w:r w:rsidR="00FE459E">
        <w:t xml:space="preserve">important advantage of </w:t>
      </w:r>
      <w:r>
        <w:t>bismuth compounds</w:t>
      </w:r>
      <w:r w:rsidR="00FE459E">
        <w:t xml:space="preserve"> over </w:t>
      </w:r>
      <w:r>
        <w:t>DBTL</w:t>
      </w:r>
      <w:r w:rsidR="00FE459E">
        <w:t xml:space="preserve"> </w:t>
      </w:r>
      <w:r>
        <w:t>is a higher selectivity in the NCO/OH reaction compared to the NCO/H</w:t>
      </w:r>
      <w:r w:rsidRPr="00FE459E">
        <w:rPr>
          <w:vertAlign w:val="subscript"/>
        </w:rPr>
        <w:t>2</w:t>
      </w:r>
      <w:r>
        <w:t>O reaction [4].</w:t>
      </w:r>
    </w:p>
    <w:p w:rsidR="00875175" w:rsidRDefault="00875175" w:rsidP="00B23601">
      <w:pPr>
        <w:pStyle w:val="Header1"/>
        <w:spacing w:before="240" w:after="240"/>
      </w:pPr>
      <w:r w:rsidRPr="00875175">
        <w:t>Results and discussion</w:t>
      </w:r>
    </w:p>
    <w:p w:rsidR="007C276C" w:rsidRDefault="007C276C" w:rsidP="00071D12">
      <w:pPr>
        <w:spacing w:after="0"/>
        <w:ind w:firstLine="284"/>
        <w:jc w:val="both"/>
        <w:rPr>
          <w:rFonts w:ascii="Times New Roman" w:hAnsi="Times New Roman" w:cs="Times New Roman"/>
          <w:sz w:val="18"/>
          <w:szCs w:val="18"/>
          <w:lang w:val="en-US"/>
        </w:rPr>
      </w:pPr>
      <w:r w:rsidRPr="007C276C">
        <w:rPr>
          <w:rFonts w:ascii="Times New Roman" w:hAnsi="Times New Roman" w:cs="Times New Roman"/>
          <w:sz w:val="18"/>
          <w:szCs w:val="18"/>
          <w:lang w:val="en-US"/>
        </w:rPr>
        <w:t>In th</w:t>
      </w:r>
      <w:r w:rsidR="00FE459E">
        <w:rPr>
          <w:rFonts w:ascii="Times New Roman" w:hAnsi="Times New Roman" w:cs="Times New Roman"/>
          <w:sz w:val="18"/>
          <w:szCs w:val="18"/>
          <w:lang w:val="en-US"/>
        </w:rPr>
        <w:t>is</w:t>
      </w:r>
      <w:r w:rsidRPr="007C276C">
        <w:rPr>
          <w:rFonts w:ascii="Times New Roman" w:hAnsi="Times New Roman" w:cs="Times New Roman"/>
          <w:sz w:val="18"/>
          <w:szCs w:val="18"/>
          <w:lang w:val="en-US"/>
        </w:rPr>
        <w:t xml:space="preserve"> work, using the previously described method [5], we synthesized cross-linked </w:t>
      </w:r>
      <w:proofErr w:type="spellStart"/>
      <w:r w:rsidRPr="007C276C">
        <w:rPr>
          <w:rFonts w:ascii="Times New Roman" w:hAnsi="Times New Roman" w:cs="Times New Roman"/>
          <w:sz w:val="18"/>
          <w:szCs w:val="18"/>
          <w:lang w:val="en-US"/>
        </w:rPr>
        <w:t>polysiloxane</w:t>
      </w:r>
      <w:proofErr w:type="spellEnd"/>
      <w:r w:rsidR="00FE459E">
        <w:rPr>
          <w:rFonts w:ascii="Times New Roman" w:hAnsi="Times New Roman" w:cs="Times New Roman"/>
          <w:sz w:val="18"/>
          <w:szCs w:val="18"/>
          <w:lang w:val="en-US"/>
        </w:rPr>
        <w:t>–</w:t>
      </w:r>
      <w:r w:rsidRPr="007C276C">
        <w:rPr>
          <w:rFonts w:ascii="Times New Roman" w:hAnsi="Times New Roman" w:cs="Times New Roman"/>
          <w:sz w:val="18"/>
          <w:szCs w:val="18"/>
          <w:lang w:val="en-US"/>
        </w:rPr>
        <w:t>(propylene oxide</w:t>
      </w:r>
      <w:r w:rsidR="003B47B7">
        <w:rPr>
          <w:rFonts w:ascii="Times New Roman" w:hAnsi="Times New Roman" w:cs="Times New Roman"/>
          <w:sz w:val="18"/>
          <w:szCs w:val="18"/>
          <w:lang w:val="en-US"/>
        </w:rPr>
        <w:t>)</w:t>
      </w:r>
      <w:r w:rsidR="00FE459E">
        <w:rPr>
          <w:rFonts w:ascii="Times New Roman" w:hAnsi="Times New Roman" w:cs="Times New Roman"/>
          <w:sz w:val="18"/>
          <w:szCs w:val="18"/>
          <w:lang w:val="en-US"/>
        </w:rPr>
        <w:t>–</w:t>
      </w:r>
      <w:r w:rsidRPr="007C276C">
        <w:rPr>
          <w:rFonts w:ascii="Times New Roman" w:hAnsi="Times New Roman" w:cs="Times New Roman"/>
          <w:sz w:val="18"/>
          <w:szCs w:val="18"/>
          <w:lang w:val="en-US"/>
        </w:rPr>
        <w:t>urethane</w:t>
      </w:r>
      <w:r w:rsidR="00FE459E">
        <w:rPr>
          <w:rFonts w:ascii="Times New Roman" w:hAnsi="Times New Roman" w:cs="Times New Roman"/>
          <w:sz w:val="18"/>
          <w:szCs w:val="18"/>
          <w:lang w:val="en-US"/>
        </w:rPr>
        <w:t>–</w:t>
      </w:r>
      <w:proofErr w:type="spellStart"/>
      <w:r w:rsidRPr="007C276C">
        <w:rPr>
          <w:rFonts w:ascii="Times New Roman" w:hAnsi="Times New Roman" w:cs="Times New Roman"/>
          <w:sz w:val="18"/>
          <w:szCs w:val="18"/>
          <w:lang w:val="en-US"/>
        </w:rPr>
        <w:t>ureas</w:t>
      </w:r>
      <w:proofErr w:type="spellEnd"/>
      <w:r w:rsidRPr="007C276C">
        <w:rPr>
          <w:rFonts w:ascii="Times New Roman" w:hAnsi="Times New Roman" w:cs="Times New Roman"/>
          <w:sz w:val="18"/>
          <w:szCs w:val="18"/>
          <w:lang w:val="en-US"/>
        </w:rPr>
        <w:t xml:space="preserve"> (</w:t>
      </w:r>
      <w:proofErr w:type="spellStart"/>
      <w:r w:rsidRPr="00FE459E">
        <w:rPr>
          <w:rFonts w:ascii="Times New Roman" w:hAnsi="Times New Roman" w:cs="Times New Roman"/>
          <w:sz w:val="18"/>
          <w:szCs w:val="18"/>
          <w:highlight w:val="green"/>
          <w:lang w:val="en-US"/>
        </w:rPr>
        <w:t>PSP</w:t>
      </w:r>
      <w:r w:rsidR="00FE459E" w:rsidRPr="00FE459E">
        <w:rPr>
          <w:rFonts w:ascii="Times New Roman" w:hAnsi="Times New Roman" w:cs="Times New Roman"/>
          <w:sz w:val="18"/>
          <w:szCs w:val="18"/>
          <w:highlight w:val="green"/>
          <w:lang w:val="en-US"/>
        </w:rPr>
        <w:t>O</w:t>
      </w:r>
      <w:r w:rsidRPr="00FE459E">
        <w:rPr>
          <w:rFonts w:ascii="Times New Roman" w:hAnsi="Times New Roman" w:cs="Times New Roman"/>
          <w:sz w:val="18"/>
          <w:szCs w:val="18"/>
          <w:highlight w:val="green"/>
          <w:lang w:val="en-US"/>
        </w:rPr>
        <w:t>UUrs</w:t>
      </w:r>
      <w:proofErr w:type="spellEnd"/>
      <w:r w:rsidRPr="007C276C">
        <w:rPr>
          <w:rFonts w:ascii="Times New Roman" w:hAnsi="Times New Roman" w:cs="Times New Roman"/>
          <w:sz w:val="18"/>
          <w:szCs w:val="18"/>
          <w:lang w:val="en-US"/>
        </w:rPr>
        <w:t xml:space="preserve">) based on </w:t>
      </w:r>
      <w:r w:rsidR="00FE459E" w:rsidRPr="00FE459E">
        <w:rPr>
          <w:rFonts w:ascii="Times New Roman" w:hAnsi="Times New Roman" w:cs="Times New Roman"/>
          <w:sz w:val="18"/>
          <w:szCs w:val="18"/>
        </w:rPr>
        <w:t>α</w:t>
      </w:r>
      <w:r w:rsidR="00FE459E" w:rsidRPr="00FE459E">
        <w:rPr>
          <w:rFonts w:ascii="Times New Roman" w:hAnsi="Times New Roman" w:cs="Times New Roman"/>
          <w:sz w:val="18"/>
          <w:szCs w:val="18"/>
          <w:lang w:val="en-US"/>
        </w:rPr>
        <w:t>,</w:t>
      </w:r>
      <w:r w:rsidR="00FE459E" w:rsidRPr="00FE459E">
        <w:rPr>
          <w:rFonts w:ascii="Times New Roman" w:hAnsi="Times New Roman" w:cs="Times New Roman"/>
          <w:sz w:val="18"/>
          <w:szCs w:val="18"/>
        </w:rPr>
        <w:t>ω</w:t>
      </w:r>
      <w:r w:rsidR="00FE459E" w:rsidRPr="00FE459E">
        <w:rPr>
          <w:rFonts w:ascii="Times New Roman" w:hAnsi="Times New Roman" w:cs="Times New Roman"/>
          <w:sz w:val="18"/>
          <w:szCs w:val="18"/>
          <w:lang w:val="en-US"/>
        </w:rPr>
        <w:t>-</w:t>
      </w:r>
      <w:proofErr w:type="spellStart"/>
      <w:r w:rsidR="00FE459E" w:rsidRPr="00FE459E">
        <w:rPr>
          <w:rFonts w:ascii="Times New Roman" w:hAnsi="Times New Roman" w:cs="Times New Roman"/>
          <w:sz w:val="18"/>
          <w:szCs w:val="18"/>
          <w:lang w:val="en-US"/>
        </w:rPr>
        <w:t>bis</w:t>
      </w:r>
      <w:proofErr w:type="spellEnd"/>
      <w:r w:rsidR="00FE459E" w:rsidRPr="00FE459E">
        <w:rPr>
          <w:rFonts w:ascii="Times New Roman" w:hAnsi="Times New Roman" w:cs="Times New Roman"/>
          <w:sz w:val="18"/>
          <w:szCs w:val="18"/>
          <w:lang w:val="en-US"/>
        </w:rPr>
        <w:t>[(3-aminopropyl)</w:t>
      </w:r>
      <w:proofErr w:type="spellStart"/>
      <w:r w:rsidR="00FE459E" w:rsidRPr="00FE459E">
        <w:rPr>
          <w:rFonts w:ascii="Times New Roman" w:hAnsi="Times New Roman" w:cs="Times New Roman"/>
          <w:sz w:val="18"/>
          <w:szCs w:val="18"/>
          <w:lang w:val="en-US"/>
        </w:rPr>
        <w:t>diethoxy</w:t>
      </w:r>
      <w:proofErr w:type="spellEnd"/>
      <w:r w:rsidR="00FE459E" w:rsidRPr="00FE459E">
        <w:rPr>
          <w:rFonts w:ascii="Times New Roman" w:hAnsi="Times New Roman" w:cs="Times New Roman"/>
          <w:sz w:val="18"/>
          <w:szCs w:val="18"/>
          <w:lang w:val="en-US"/>
        </w:rPr>
        <w:t>]</w:t>
      </w:r>
      <w:proofErr w:type="spellStart"/>
      <w:r w:rsidR="00FE459E" w:rsidRPr="00FE459E">
        <w:rPr>
          <w:rFonts w:ascii="Times New Roman" w:hAnsi="Times New Roman" w:cs="Times New Roman"/>
          <w:sz w:val="18"/>
          <w:szCs w:val="18"/>
          <w:lang w:val="en-US"/>
        </w:rPr>
        <w:t>oligodimethylsiloxanes</w:t>
      </w:r>
      <w:proofErr w:type="spellEnd"/>
      <w:r w:rsidR="00FE459E" w:rsidRPr="007C276C">
        <w:rPr>
          <w:rFonts w:ascii="Times New Roman" w:hAnsi="Times New Roman" w:cs="Times New Roman"/>
          <w:sz w:val="18"/>
          <w:szCs w:val="18"/>
          <w:lang w:val="en-US"/>
        </w:rPr>
        <w:t xml:space="preserve"> </w:t>
      </w:r>
      <w:r w:rsidRPr="007C276C">
        <w:rPr>
          <w:rFonts w:ascii="Times New Roman" w:hAnsi="Times New Roman" w:cs="Times New Roman"/>
          <w:sz w:val="18"/>
          <w:szCs w:val="18"/>
          <w:lang w:val="en-US"/>
        </w:rPr>
        <w:t>(DAS</w:t>
      </w:r>
      <w:r w:rsidR="00FE459E">
        <w:rPr>
          <w:rFonts w:ascii="Times New Roman" w:hAnsi="Times New Roman" w:cs="Times New Roman"/>
          <w:sz w:val="18"/>
          <w:szCs w:val="18"/>
          <w:lang w:val="en-US"/>
        </w:rPr>
        <w:t>s,</w:t>
      </w:r>
      <w:r w:rsidRPr="007C276C">
        <w:rPr>
          <w:rFonts w:ascii="Times New Roman" w:hAnsi="Times New Roman" w:cs="Times New Roman"/>
          <w:sz w:val="18"/>
          <w:szCs w:val="18"/>
          <w:lang w:val="en-US"/>
        </w:rPr>
        <w:t xml:space="preserve"> </w:t>
      </w:r>
      <w:r w:rsidRPr="00FE459E">
        <w:rPr>
          <w:rFonts w:ascii="Times New Roman" w:hAnsi="Times New Roman" w:cs="Times New Roman"/>
          <w:i/>
          <w:iCs/>
          <w:sz w:val="18"/>
          <w:szCs w:val="18"/>
          <w:lang w:val="en-US"/>
        </w:rPr>
        <w:t>n</w:t>
      </w:r>
      <w:r w:rsidR="00FE459E">
        <w:rPr>
          <w:rFonts w:ascii="Times New Roman" w:hAnsi="Times New Roman" w:cs="Times New Roman"/>
          <w:sz w:val="18"/>
          <w:szCs w:val="18"/>
          <w:lang w:val="en-US"/>
        </w:rPr>
        <w:t xml:space="preserve"> </w:t>
      </w:r>
      <w:r w:rsidRPr="007C276C">
        <w:rPr>
          <w:rFonts w:ascii="Times New Roman" w:hAnsi="Times New Roman" w:cs="Times New Roman"/>
          <w:sz w:val="18"/>
          <w:szCs w:val="18"/>
          <w:lang w:val="en-US"/>
        </w:rPr>
        <w:t>=</w:t>
      </w:r>
      <w:r w:rsidR="00FE459E">
        <w:rPr>
          <w:rFonts w:ascii="Times New Roman" w:hAnsi="Times New Roman" w:cs="Times New Roman"/>
          <w:sz w:val="18"/>
          <w:szCs w:val="18"/>
          <w:lang w:val="en-US"/>
        </w:rPr>
        <w:t xml:space="preserve"> </w:t>
      </w:r>
      <w:r w:rsidRPr="007C276C">
        <w:rPr>
          <w:rFonts w:ascii="Times New Roman" w:hAnsi="Times New Roman" w:cs="Times New Roman"/>
          <w:sz w:val="18"/>
          <w:szCs w:val="18"/>
          <w:lang w:val="en-US"/>
        </w:rPr>
        <w:t xml:space="preserve">24, </w:t>
      </w:r>
      <w:r w:rsidRPr="00FE459E">
        <w:rPr>
          <w:rFonts w:ascii="Times New Roman" w:hAnsi="Times New Roman" w:cs="Times New Roman"/>
          <w:i/>
          <w:iCs/>
          <w:sz w:val="18"/>
          <w:szCs w:val="18"/>
          <w:lang w:val="en-US"/>
        </w:rPr>
        <w:t>M</w:t>
      </w:r>
      <w:r w:rsidRPr="00FE459E">
        <w:rPr>
          <w:rFonts w:ascii="Times New Roman" w:hAnsi="Times New Roman" w:cs="Times New Roman"/>
          <w:sz w:val="18"/>
          <w:szCs w:val="18"/>
          <w:vertAlign w:val="subscript"/>
          <w:lang w:val="en-US"/>
        </w:rPr>
        <w:t>n</w:t>
      </w:r>
      <w:r w:rsidR="00FE459E">
        <w:rPr>
          <w:rFonts w:ascii="Times New Roman" w:hAnsi="Times New Roman" w:cs="Times New Roman"/>
          <w:sz w:val="18"/>
          <w:szCs w:val="18"/>
          <w:lang w:val="en-US"/>
        </w:rPr>
        <w:t xml:space="preserve"> </w:t>
      </w:r>
      <w:r w:rsidRPr="007C276C">
        <w:rPr>
          <w:rFonts w:ascii="Times New Roman" w:hAnsi="Times New Roman" w:cs="Times New Roman"/>
          <w:sz w:val="18"/>
          <w:szCs w:val="18"/>
          <w:lang w:val="en-US"/>
        </w:rPr>
        <w:t>=</w:t>
      </w:r>
      <w:r w:rsidR="00FE459E">
        <w:rPr>
          <w:rFonts w:ascii="Times New Roman" w:hAnsi="Times New Roman" w:cs="Times New Roman"/>
          <w:sz w:val="18"/>
          <w:szCs w:val="18"/>
          <w:lang w:val="en-US"/>
        </w:rPr>
        <w:t xml:space="preserve"> </w:t>
      </w:r>
      <w:r w:rsidRPr="007C276C">
        <w:rPr>
          <w:rFonts w:ascii="Times New Roman" w:hAnsi="Times New Roman" w:cs="Times New Roman"/>
          <w:sz w:val="18"/>
          <w:szCs w:val="18"/>
          <w:lang w:val="en-US"/>
        </w:rPr>
        <w:t>2100 Da), oligo</w:t>
      </w:r>
      <w:r w:rsidR="00331B1E">
        <w:rPr>
          <w:rFonts w:ascii="Times New Roman" w:hAnsi="Times New Roman" w:cs="Times New Roman"/>
          <w:sz w:val="18"/>
          <w:szCs w:val="18"/>
          <w:lang w:val="en-US"/>
        </w:rPr>
        <w:t>(</w:t>
      </w:r>
      <w:r w:rsidRPr="007C276C">
        <w:rPr>
          <w:rFonts w:ascii="Times New Roman" w:hAnsi="Times New Roman" w:cs="Times New Roman"/>
          <w:sz w:val="18"/>
          <w:szCs w:val="18"/>
          <w:lang w:val="en-US"/>
        </w:rPr>
        <w:t>propylene oxide</w:t>
      </w:r>
      <w:r w:rsidR="00331B1E">
        <w:rPr>
          <w:rFonts w:ascii="Times New Roman" w:hAnsi="Times New Roman" w:cs="Times New Roman"/>
          <w:sz w:val="18"/>
          <w:szCs w:val="18"/>
          <w:lang w:val="en-US"/>
        </w:rPr>
        <w:t>)</w:t>
      </w:r>
      <w:r w:rsidRPr="007C276C">
        <w:rPr>
          <w:rFonts w:ascii="Times New Roman" w:hAnsi="Times New Roman" w:cs="Times New Roman"/>
          <w:sz w:val="18"/>
          <w:szCs w:val="18"/>
          <w:lang w:val="en-US"/>
        </w:rPr>
        <w:t xml:space="preserve"> (OPO, </w:t>
      </w:r>
      <w:r w:rsidRPr="00331B1E">
        <w:rPr>
          <w:rFonts w:ascii="Times New Roman" w:hAnsi="Times New Roman" w:cs="Times New Roman"/>
          <w:i/>
          <w:iCs/>
          <w:sz w:val="18"/>
          <w:szCs w:val="18"/>
          <w:lang w:val="en-US"/>
        </w:rPr>
        <w:t>m</w:t>
      </w:r>
      <w:r w:rsidR="00331B1E">
        <w:rPr>
          <w:rFonts w:ascii="Times New Roman" w:hAnsi="Times New Roman" w:cs="Times New Roman"/>
          <w:sz w:val="18"/>
          <w:szCs w:val="18"/>
          <w:lang w:val="en-US"/>
        </w:rPr>
        <w:t xml:space="preserve"> </w:t>
      </w:r>
      <w:r w:rsidRPr="007C276C">
        <w:rPr>
          <w:rFonts w:ascii="Times New Roman" w:hAnsi="Times New Roman" w:cs="Times New Roman"/>
          <w:sz w:val="18"/>
          <w:szCs w:val="18"/>
          <w:lang w:val="en-US"/>
        </w:rPr>
        <w:t>=</w:t>
      </w:r>
      <w:r w:rsidR="00331B1E">
        <w:rPr>
          <w:rFonts w:ascii="Times New Roman" w:hAnsi="Times New Roman" w:cs="Times New Roman"/>
          <w:sz w:val="18"/>
          <w:szCs w:val="18"/>
          <w:lang w:val="en-US"/>
        </w:rPr>
        <w:t xml:space="preserve"> </w:t>
      </w:r>
      <w:r w:rsidRPr="007C276C">
        <w:rPr>
          <w:rFonts w:ascii="Times New Roman" w:hAnsi="Times New Roman" w:cs="Times New Roman"/>
          <w:sz w:val="18"/>
          <w:szCs w:val="18"/>
          <w:lang w:val="en-US"/>
        </w:rPr>
        <w:t xml:space="preserve">3, </w:t>
      </w:r>
      <w:r w:rsidRPr="00331B1E">
        <w:rPr>
          <w:rFonts w:ascii="Times New Roman" w:hAnsi="Times New Roman" w:cs="Times New Roman"/>
          <w:i/>
          <w:iCs/>
          <w:sz w:val="18"/>
          <w:szCs w:val="18"/>
          <w:lang w:val="en-US"/>
        </w:rPr>
        <w:t>M</w:t>
      </w:r>
      <w:r w:rsidRPr="00331B1E">
        <w:rPr>
          <w:rFonts w:ascii="Times New Roman" w:hAnsi="Times New Roman" w:cs="Times New Roman"/>
          <w:sz w:val="18"/>
          <w:szCs w:val="18"/>
          <w:vertAlign w:val="subscript"/>
          <w:lang w:val="en-US"/>
        </w:rPr>
        <w:t>n</w:t>
      </w:r>
      <w:r w:rsidR="00331B1E">
        <w:rPr>
          <w:rFonts w:ascii="Times New Roman" w:hAnsi="Times New Roman" w:cs="Times New Roman"/>
          <w:sz w:val="18"/>
          <w:szCs w:val="18"/>
          <w:lang w:val="en-US"/>
        </w:rPr>
        <w:t xml:space="preserve"> </w:t>
      </w:r>
      <w:r w:rsidRPr="007C276C">
        <w:rPr>
          <w:rFonts w:ascii="Times New Roman" w:hAnsi="Times New Roman" w:cs="Times New Roman"/>
          <w:sz w:val="18"/>
          <w:szCs w:val="18"/>
          <w:lang w:val="en-US"/>
        </w:rPr>
        <w:t>=</w:t>
      </w:r>
      <w:r w:rsidR="00331B1E">
        <w:rPr>
          <w:rFonts w:ascii="Times New Roman" w:hAnsi="Times New Roman" w:cs="Times New Roman"/>
          <w:sz w:val="18"/>
          <w:szCs w:val="18"/>
          <w:lang w:val="en-US"/>
        </w:rPr>
        <w:t xml:space="preserve"> </w:t>
      </w:r>
      <w:r w:rsidRPr="007C276C">
        <w:rPr>
          <w:rFonts w:ascii="Times New Roman" w:hAnsi="Times New Roman" w:cs="Times New Roman"/>
          <w:sz w:val="18"/>
          <w:szCs w:val="18"/>
          <w:lang w:val="en-US"/>
        </w:rPr>
        <w:t xml:space="preserve">200 </w:t>
      </w:r>
      <w:proofErr w:type="spellStart"/>
      <w:r w:rsidRPr="007C276C">
        <w:rPr>
          <w:rFonts w:ascii="Times New Roman" w:hAnsi="Times New Roman" w:cs="Times New Roman"/>
          <w:sz w:val="18"/>
          <w:szCs w:val="18"/>
          <w:lang w:val="en-US"/>
        </w:rPr>
        <w:t>Da</w:t>
      </w:r>
      <w:proofErr w:type="spellEnd"/>
      <w:r w:rsidRPr="007C276C">
        <w:rPr>
          <w:rFonts w:ascii="Times New Roman" w:hAnsi="Times New Roman" w:cs="Times New Roman"/>
          <w:sz w:val="18"/>
          <w:szCs w:val="18"/>
          <w:lang w:val="en-US"/>
        </w:rPr>
        <w:t>)</w:t>
      </w:r>
      <w:r w:rsidR="00331B1E">
        <w:rPr>
          <w:rFonts w:ascii="Times New Roman" w:hAnsi="Times New Roman" w:cs="Times New Roman"/>
          <w:sz w:val="18"/>
          <w:szCs w:val="18"/>
          <w:lang w:val="en-US"/>
        </w:rPr>
        <w:t>,</w:t>
      </w:r>
      <w:r w:rsidRPr="007C276C">
        <w:rPr>
          <w:rFonts w:ascii="Times New Roman" w:hAnsi="Times New Roman" w:cs="Times New Roman"/>
          <w:sz w:val="18"/>
          <w:szCs w:val="18"/>
          <w:lang w:val="en-US"/>
        </w:rPr>
        <w:t xml:space="preserve"> </w:t>
      </w:r>
      <w:r w:rsidRPr="00331B1E">
        <w:rPr>
          <w:rFonts w:ascii="Times New Roman" w:hAnsi="Times New Roman" w:cs="Times New Roman"/>
          <w:sz w:val="18"/>
          <w:szCs w:val="18"/>
          <w:lang w:val="en-US"/>
        </w:rPr>
        <w:t xml:space="preserve">and </w:t>
      </w:r>
      <w:r w:rsidR="00331B1E" w:rsidRPr="00331B1E">
        <w:rPr>
          <w:rFonts w:ascii="Times New Roman" w:hAnsi="Times New Roman" w:cs="Times New Roman"/>
          <w:sz w:val="18"/>
          <w:szCs w:val="18"/>
          <w:lang w:val="en-US"/>
        </w:rPr>
        <w:t xml:space="preserve">4,4'-dicyclohexylmethane </w:t>
      </w:r>
      <w:proofErr w:type="spellStart"/>
      <w:r w:rsidR="00331B1E" w:rsidRPr="00331B1E">
        <w:rPr>
          <w:rFonts w:ascii="Times New Roman" w:hAnsi="Times New Roman" w:cs="Times New Roman"/>
          <w:sz w:val="18"/>
          <w:szCs w:val="18"/>
          <w:lang w:val="en-US"/>
        </w:rPr>
        <w:t>diisocyanate</w:t>
      </w:r>
      <w:proofErr w:type="spellEnd"/>
      <w:r w:rsidR="00331B1E" w:rsidRPr="00331B1E">
        <w:rPr>
          <w:rFonts w:ascii="Times New Roman" w:hAnsi="Times New Roman" w:cs="Times New Roman"/>
          <w:sz w:val="18"/>
          <w:szCs w:val="18"/>
          <w:lang w:val="en-US"/>
        </w:rPr>
        <w:t xml:space="preserve"> (H</w:t>
      </w:r>
      <w:r w:rsidR="00331B1E" w:rsidRPr="00331B1E">
        <w:rPr>
          <w:rFonts w:ascii="Times New Roman" w:hAnsi="Times New Roman" w:cs="Times New Roman"/>
          <w:sz w:val="18"/>
          <w:szCs w:val="18"/>
          <w:vertAlign w:val="subscript"/>
          <w:lang w:val="en-US"/>
        </w:rPr>
        <w:t>12</w:t>
      </w:r>
      <w:r w:rsidR="00331B1E" w:rsidRPr="00331B1E">
        <w:rPr>
          <w:rFonts w:ascii="Times New Roman" w:hAnsi="Times New Roman" w:cs="Times New Roman"/>
          <w:sz w:val="18"/>
          <w:szCs w:val="18"/>
          <w:lang w:val="en-US"/>
        </w:rPr>
        <w:t>-MDI)</w:t>
      </w:r>
      <w:r w:rsidRPr="007C276C">
        <w:rPr>
          <w:rFonts w:ascii="Times New Roman" w:hAnsi="Times New Roman" w:cs="Times New Roman"/>
          <w:sz w:val="18"/>
          <w:szCs w:val="18"/>
          <w:lang w:val="en-US"/>
        </w:rPr>
        <w:t xml:space="preserve"> (</w:t>
      </w:r>
      <w:r w:rsidR="00661D28">
        <w:rPr>
          <w:rFonts w:ascii="Times New Roman" w:hAnsi="Times New Roman" w:cs="Times New Roman"/>
          <w:sz w:val="18"/>
          <w:szCs w:val="18"/>
          <w:lang w:val="en-US"/>
        </w:rPr>
        <w:t xml:space="preserve">see </w:t>
      </w:r>
      <w:r w:rsidRPr="007C276C">
        <w:rPr>
          <w:rFonts w:ascii="Times New Roman" w:hAnsi="Times New Roman" w:cs="Times New Roman"/>
          <w:sz w:val="18"/>
          <w:szCs w:val="18"/>
          <w:lang w:val="en-US"/>
        </w:rPr>
        <w:lastRenderedPageBreak/>
        <w:t>Scheme S1</w:t>
      </w:r>
      <w:r w:rsidR="00331B1E">
        <w:rPr>
          <w:rFonts w:ascii="Times New Roman" w:hAnsi="Times New Roman" w:cs="Times New Roman"/>
          <w:sz w:val="18"/>
          <w:szCs w:val="18"/>
          <w:lang w:val="en-US"/>
        </w:rPr>
        <w:t xml:space="preserve"> in the Electronic supplementary information (ESI)</w:t>
      </w:r>
      <w:r w:rsidRPr="007C276C">
        <w:rPr>
          <w:rFonts w:ascii="Times New Roman" w:hAnsi="Times New Roman" w:cs="Times New Roman"/>
          <w:sz w:val="18"/>
          <w:szCs w:val="18"/>
          <w:lang w:val="en-US"/>
        </w:rPr>
        <w:t xml:space="preserve">). The reaction was carried out in the presence of three different catalysts: </w:t>
      </w:r>
      <w:proofErr w:type="spellStart"/>
      <w:r w:rsidRPr="007C276C">
        <w:rPr>
          <w:rFonts w:ascii="Times New Roman" w:hAnsi="Times New Roman" w:cs="Times New Roman"/>
          <w:sz w:val="18"/>
          <w:szCs w:val="18"/>
          <w:lang w:val="en-US"/>
        </w:rPr>
        <w:t>diethyl</w:t>
      </w:r>
      <w:r w:rsidR="009C29DD">
        <w:rPr>
          <w:rFonts w:ascii="Times New Roman" w:hAnsi="Times New Roman" w:cs="Times New Roman"/>
          <w:sz w:val="18"/>
          <w:szCs w:val="18"/>
          <w:lang w:val="en-US"/>
        </w:rPr>
        <w:t>tin</w:t>
      </w:r>
      <w:proofErr w:type="spellEnd"/>
      <w:r w:rsidRPr="007C276C">
        <w:rPr>
          <w:rFonts w:ascii="Times New Roman" w:hAnsi="Times New Roman" w:cs="Times New Roman"/>
          <w:sz w:val="18"/>
          <w:szCs w:val="18"/>
          <w:lang w:val="en-US"/>
        </w:rPr>
        <w:t xml:space="preserve"> </w:t>
      </w:r>
      <w:proofErr w:type="spellStart"/>
      <w:r w:rsidRPr="007C276C">
        <w:rPr>
          <w:rFonts w:ascii="Times New Roman" w:hAnsi="Times New Roman" w:cs="Times New Roman"/>
          <w:sz w:val="18"/>
          <w:szCs w:val="18"/>
          <w:lang w:val="en-US"/>
        </w:rPr>
        <w:t>dicaprylate</w:t>
      </w:r>
      <w:proofErr w:type="spellEnd"/>
      <w:r w:rsidRPr="007C276C">
        <w:rPr>
          <w:rFonts w:ascii="Times New Roman" w:hAnsi="Times New Roman" w:cs="Times New Roman"/>
          <w:sz w:val="18"/>
          <w:szCs w:val="18"/>
          <w:lang w:val="en-US"/>
        </w:rPr>
        <w:t xml:space="preserve"> (</w:t>
      </w:r>
      <w:r w:rsidRPr="00A2608B">
        <w:rPr>
          <w:rFonts w:ascii="Times New Roman" w:hAnsi="Times New Roman" w:cs="Times New Roman"/>
          <w:sz w:val="18"/>
          <w:szCs w:val="18"/>
          <w:highlight w:val="green"/>
          <w:lang w:val="en-US"/>
        </w:rPr>
        <w:t>DET</w:t>
      </w:r>
      <w:r w:rsidR="00A2608B" w:rsidRPr="00A2608B">
        <w:rPr>
          <w:rFonts w:ascii="Times New Roman" w:hAnsi="Times New Roman" w:cs="Times New Roman"/>
          <w:sz w:val="18"/>
          <w:szCs w:val="18"/>
          <w:highlight w:val="green"/>
          <w:lang w:val="en-US"/>
        </w:rPr>
        <w:t>D</w:t>
      </w:r>
      <w:r w:rsidRPr="00A2608B">
        <w:rPr>
          <w:rFonts w:ascii="Times New Roman" w:hAnsi="Times New Roman" w:cs="Times New Roman"/>
          <w:sz w:val="18"/>
          <w:szCs w:val="18"/>
          <w:highlight w:val="green"/>
          <w:lang w:val="en-US"/>
        </w:rPr>
        <w:t>C</w:t>
      </w:r>
      <w:r w:rsidRPr="007C276C">
        <w:rPr>
          <w:rFonts w:ascii="Times New Roman" w:hAnsi="Times New Roman" w:cs="Times New Roman"/>
          <w:sz w:val="18"/>
          <w:szCs w:val="18"/>
          <w:lang w:val="en-US"/>
        </w:rPr>
        <w:t>), DBTL</w:t>
      </w:r>
      <w:r w:rsidR="00A2608B">
        <w:rPr>
          <w:rFonts w:ascii="Times New Roman" w:hAnsi="Times New Roman" w:cs="Times New Roman"/>
          <w:sz w:val="18"/>
          <w:szCs w:val="18"/>
          <w:lang w:val="en-US"/>
        </w:rPr>
        <w:t>,</w:t>
      </w:r>
      <w:r w:rsidRPr="007C276C">
        <w:rPr>
          <w:rFonts w:ascii="Times New Roman" w:hAnsi="Times New Roman" w:cs="Times New Roman"/>
          <w:sz w:val="18"/>
          <w:szCs w:val="18"/>
          <w:lang w:val="en-US"/>
        </w:rPr>
        <w:t xml:space="preserve"> and bismuth </w:t>
      </w:r>
      <w:proofErr w:type="spellStart"/>
      <w:r w:rsidRPr="007C276C">
        <w:rPr>
          <w:rFonts w:ascii="Times New Roman" w:hAnsi="Times New Roman" w:cs="Times New Roman"/>
          <w:sz w:val="18"/>
          <w:szCs w:val="18"/>
          <w:lang w:val="en-US"/>
        </w:rPr>
        <w:t>neodecanoate</w:t>
      </w:r>
      <w:proofErr w:type="spellEnd"/>
      <w:r w:rsidRPr="007C276C">
        <w:rPr>
          <w:rFonts w:ascii="Times New Roman" w:hAnsi="Times New Roman" w:cs="Times New Roman"/>
          <w:sz w:val="18"/>
          <w:szCs w:val="18"/>
          <w:lang w:val="en-US"/>
        </w:rPr>
        <w:t xml:space="preserve"> (</w:t>
      </w:r>
      <w:r w:rsidRPr="00A2608B">
        <w:rPr>
          <w:rFonts w:ascii="Times New Roman" w:hAnsi="Times New Roman" w:cs="Times New Roman"/>
          <w:sz w:val="18"/>
          <w:szCs w:val="18"/>
          <w:highlight w:val="green"/>
          <w:lang w:val="en-US"/>
        </w:rPr>
        <w:t>Bi-ND</w:t>
      </w:r>
      <w:r w:rsidRPr="007C276C">
        <w:rPr>
          <w:rFonts w:ascii="Times New Roman" w:hAnsi="Times New Roman" w:cs="Times New Roman"/>
          <w:sz w:val="18"/>
          <w:szCs w:val="18"/>
          <w:lang w:val="en-US"/>
        </w:rPr>
        <w:t xml:space="preserve">). </w:t>
      </w:r>
      <w:r w:rsidR="00A2608B">
        <w:rPr>
          <w:rFonts w:ascii="Times New Roman" w:hAnsi="Times New Roman" w:cs="Times New Roman"/>
          <w:sz w:val="18"/>
          <w:szCs w:val="18"/>
          <w:lang w:val="en-US"/>
        </w:rPr>
        <w:t>Chloroform</w:t>
      </w:r>
      <w:r w:rsidRPr="007C276C">
        <w:rPr>
          <w:rFonts w:ascii="Times New Roman" w:hAnsi="Times New Roman" w:cs="Times New Roman"/>
          <w:sz w:val="18"/>
          <w:szCs w:val="18"/>
          <w:lang w:val="en-US"/>
        </w:rPr>
        <w:t xml:space="preserve"> was used as a solvent.</w:t>
      </w:r>
    </w:p>
    <w:p w:rsidR="000E37EE" w:rsidRDefault="000E37EE" w:rsidP="00071D12">
      <w:pPr>
        <w:spacing w:after="0"/>
        <w:ind w:firstLine="284"/>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At </w:t>
      </w:r>
      <w:r w:rsidRPr="007148F8">
        <w:rPr>
          <w:rFonts w:ascii="Times New Roman" w:hAnsi="Times New Roman" w:cs="Times New Roman"/>
          <w:sz w:val="18"/>
          <w:szCs w:val="18"/>
          <w:lang w:val="en-US"/>
        </w:rPr>
        <w:t>the first stage (</w:t>
      </w:r>
      <w:r w:rsidRPr="00FD6303">
        <w:rPr>
          <w:rFonts w:ascii="Times New Roman" w:hAnsi="Times New Roman" w:cs="Times New Roman"/>
          <w:b/>
          <w:bCs/>
          <w:sz w:val="18"/>
          <w:szCs w:val="18"/>
          <w:lang w:val="en-US"/>
        </w:rPr>
        <w:t>I</w:t>
      </w:r>
      <w:r w:rsidRPr="007148F8">
        <w:rPr>
          <w:rFonts w:ascii="Times New Roman" w:hAnsi="Times New Roman" w:cs="Times New Roman"/>
          <w:sz w:val="18"/>
          <w:szCs w:val="18"/>
          <w:lang w:val="en-US"/>
        </w:rPr>
        <w:t>), a prepolymer based on OPO and H</w:t>
      </w:r>
      <w:r w:rsidRPr="00FD6303">
        <w:rPr>
          <w:rFonts w:ascii="Times New Roman" w:hAnsi="Times New Roman" w:cs="Times New Roman"/>
          <w:sz w:val="18"/>
          <w:szCs w:val="18"/>
          <w:vertAlign w:val="subscript"/>
          <w:lang w:val="en-US"/>
        </w:rPr>
        <w:t>12</w:t>
      </w:r>
      <w:r w:rsidRPr="007148F8">
        <w:rPr>
          <w:rFonts w:ascii="Times New Roman" w:hAnsi="Times New Roman" w:cs="Times New Roman"/>
          <w:sz w:val="18"/>
          <w:szCs w:val="18"/>
          <w:lang w:val="en-US"/>
        </w:rPr>
        <w:t xml:space="preserve">-MDI was synthesized in the presence of one of three catalysts. The reaction </w:t>
      </w:r>
      <w:r>
        <w:rPr>
          <w:rFonts w:ascii="Times New Roman" w:hAnsi="Times New Roman" w:cs="Times New Roman"/>
          <w:sz w:val="18"/>
          <w:szCs w:val="18"/>
          <w:lang w:val="en-US"/>
        </w:rPr>
        <w:t xml:space="preserve">course </w:t>
      </w:r>
      <w:r w:rsidRPr="007148F8">
        <w:rPr>
          <w:rFonts w:ascii="Times New Roman" w:hAnsi="Times New Roman" w:cs="Times New Roman"/>
          <w:sz w:val="18"/>
          <w:szCs w:val="18"/>
          <w:lang w:val="en-US"/>
        </w:rPr>
        <w:t xml:space="preserve">was monitored </w:t>
      </w:r>
      <w:r>
        <w:rPr>
          <w:rFonts w:ascii="Times New Roman" w:hAnsi="Times New Roman" w:cs="Times New Roman"/>
          <w:sz w:val="18"/>
          <w:szCs w:val="18"/>
          <w:lang w:val="en-US"/>
        </w:rPr>
        <w:t xml:space="preserve">by </w:t>
      </w:r>
      <w:r w:rsidRPr="007148F8">
        <w:rPr>
          <w:rFonts w:ascii="Times New Roman" w:hAnsi="Times New Roman" w:cs="Times New Roman"/>
          <w:sz w:val="18"/>
          <w:szCs w:val="18"/>
          <w:lang w:val="en-US"/>
        </w:rPr>
        <w:t>IR spectroscopy</w:t>
      </w:r>
      <w:r w:rsidR="00F53ED0">
        <w:rPr>
          <w:rFonts w:ascii="Times New Roman" w:hAnsi="Times New Roman" w:cs="Times New Roman"/>
          <w:sz w:val="18"/>
          <w:szCs w:val="18"/>
          <w:lang w:val="en-US"/>
        </w:rPr>
        <w:t xml:space="preserve"> (</w:t>
      </w:r>
      <w:r w:rsidR="00F53ED0" w:rsidRPr="00F53ED0">
        <w:rPr>
          <w:rFonts w:ascii="Times New Roman" w:hAnsi="Times New Roman" w:cs="Times New Roman"/>
          <w:sz w:val="18"/>
          <w:szCs w:val="18"/>
          <w:highlight w:val="green"/>
          <w:lang w:val="en-US"/>
        </w:rPr>
        <w:t>Fig. 1</w:t>
      </w:r>
      <w:r w:rsidR="00F53ED0">
        <w:rPr>
          <w:rFonts w:ascii="Times New Roman" w:hAnsi="Times New Roman" w:cs="Times New Roman"/>
          <w:sz w:val="18"/>
          <w:szCs w:val="18"/>
          <w:lang w:val="en-US"/>
        </w:rPr>
        <w:t>)</w:t>
      </w:r>
      <w:r w:rsidRPr="007148F8">
        <w:rPr>
          <w:rFonts w:ascii="Times New Roman" w:hAnsi="Times New Roman" w:cs="Times New Roman"/>
          <w:sz w:val="18"/>
          <w:szCs w:val="18"/>
          <w:lang w:val="en-US"/>
        </w:rPr>
        <w:t xml:space="preserve">. The results </w:t>
      </w:r>
      <w:r>
        <w:rPr>
          <w:rFonts w:ascii="Times New Roman" w:hAnsi="Times New Roman" w:cs="Times New Roman"/>
          <w:sz w:val="18"/>
          <w:szCs w:val="18"/>
          <w:lang w:val="en-US"/>
        </w:rPr>
        <w:t xml:space="preserve">obtained </w:t>
      </w:r>
      <w:r w:rsidRPr="007148F8">
        <w:rPr>
          <w:rFonts w:ascii="Times New Roman" w:hAnsi="Times New Roman" w:cs="Times New Roman"/>
          <w:sz w:val="18"/>
          <w:szCs w:val="18"/>
          <w:lang w:val="en-US"/>
        </w:rPr>
        <w:t>show</w:t>
      </w:r>
      <w:r>
        <w:rPr>
          <w:rFonts w:ascii="Times New Roman" w:hAnsi="Times New Roman" w:cs="Times New Roman"/>
          <w:sz w:val="18"/>
          <w:szCs w:val="18"/>
          <w:lang w:val="en-US"/>
        </w:rPr>
        <w:t>ed</w:t>
      </w:r>
      <w:r w:rsidRPr="007148F8">
        <w:rPr>
          <w:rFonts w:ascii="Times New Roman" w:hAnsi="Times New Roman" w:cs="Times New Roman"/>
          <w:sz w:val="18"/>
          <w:szCs w:val="18"/>
          <w:lang w:val="en-US"/>
        </w:rPr>
        <w:t xml:space="preserve"> that all three spectra are virtually identical. In all three cases, the reaction was complete, as </w:t>
      </w:r>
      <w:r>
        <w:rPr>
          <w:rFonts w:ascii="Times New Roman" w:hAnsi="Times New Roman" w:cs="Times New Roman"/>
          <w:sz w:val="18"/>
          <w:szCs w:val="18"/>
          <w:lang w:val="en-US"/>
        </w:rPr>
        <w:t xml:space="preserve">was </w:t>
      </w:r>
      <w:r w:rsidRPr="007148F8">
        <w:rPr>
          <w:rFonts w:ascii="Times New Roman" w:hAnsi="Times New Roman" w:cs="Times New Roman"/>
          <w:sz w:val="18"/>
          <w:szCs w:val="18"/>
          <w:lang w:val="en-US"/>
        </w:rPr>
        <w:t xml:space="preserve">evidenced by the appearance of a characteristic absorption band of the carbonyl group </w:t>
      </w:r>
      <w:r>
        <w:rPr>
          <w:rFonts w:ascii="Times New Roman" w:hAnsi="Times New Roman" w:cs="Times New Roman"/>
          <w:sz w:val="18"/>
          <w:szCs w:val="18"/>
          <w:lang w:val="en-US"/>
        </w:rPr>
        <w:t xml:space="preserve">stretches </w:t>
      </w:r>
      <w:r w:rsidRPr="007148F8">
        <w:rPr>
          <w:rFonts w:ascii="Times New Roman" w:hAnsi="Times New Roman" w:cs="Times New Roman"/>
          <w:sz w:val="18"/>
          <w:szCs w:val="18"/>
          <w:lang w:val="en-US"/>
        </w:rPr>
        <w:t>(1699 cm</w:t>
      </w:r>
      <w:r w:rsidRPr="00FD6303">
        <w:rPr>
          <w:rFonts w:ascii="Times New Roman" w:hAnsi="Times New Roman" w:cs="Times New Roman"/>
          <w:sz w:val="18"/>
          <w:szCs w:val="18"/>
          <w:vertAlign w:val="superscript"/>
          <w:lang w:val="en-US"/>
        </w:rPr>
        <w:t>–1</w:t>
      </w:r>
      <w:r w:rsidRPr="007148F8">
        <w:rPr>
          <w:rFonts w:ascii="Times New Roman" w:hAnsi="Times New Roman" w:cs="Times New Roman"/>
          <w:sz w:val="18"/>
          <w:szCs w:val="18"/>
          <w:lang w:val="en-US"/>
        </w:rPr>
        <w:t xml:space="preserve">) and a band of the urethane group NH </w:t>
      </w:r>
      <w:r>
        <w:rPr>
          <w:rFonts w:ascii="Times New Roman" w:hAnsi="Times New Roman" w:cs="Times New Roman"/>
          <w:sz w:val="18"/>
          <w:szCs w:val="18"/>
          <w:lang w:val="en-US"/>
        </w:rPr>
        <w:t xml:space="preserve">stretches </w:t>
      </w:r>
      <w:r w:rsidRPr="007148F8">
        <w:rPr>
          <w:rFonts w:ascii="Times New Roman" w:hAnsi="Times New Roman" w:cs="Times New Roman"/>
          <w:sz w:val="18"/>
          <w:szCs w:val="18"/>
          <w:lang w:val="en-US"/>
        </w:rPr>
        <w:t>(3329 cm</w:t>
      </w:r>
      <w:r w:rsidRPr="00FD6303">
        <w:rPr>
          <w:rFonts w:ascii="Times New Roman" w:hAnsi="Times New Roman" w:cs="Times New Roman"/>
          <w:sz w:val="18"/>
          <w:szCs w:val="18"/>
          <w:vertAlign w:val="superscript"/>
          <w:lang w:val="en-US"/>
        </w:rPr>
        <w:t>–1</w:t>
      </w:r>
      <w:r w:rsidRPr="007148F8">
        <w:rPr>
          <w:rFonts w:ascii="Times New Roman" w:hAnsi="Times New Roman" w:cs="Times New Roman"/>
          <w:sz w:val="18"/>
          <w:szCs w:val="18"/>
          <w:lang w:val="en-US"/>
        </w:rPr>
        <w:t>). The absence of a broad band in the region of 3100</w:t>
      </w:r>
      <w:r>
        <w:rPr>
          <w:rFonts w:ascii="Times New Roman" w:hAnsi="Times New Roman" w:cs="Times New Roman"/>
          <w:sz w:val="18"/>
          <w:szCs w:val="18"/>
          <w:lang w:val="en-US"/>
        </w:rPr>
        <w:t>–</w:t>
      </w:r>
      <w:r w:rsidRPr="007148F8">
        <w:rPr>
          <w:rFonts w:ascii="Times New Roman" w:hAnsi="Times New Roman" w:cs="Times New Roman"/>
          <w:sz w:val="18"/>
          <w:szCs w:val="18"/>
          <w:lang w:val="en-US"/>
        </w:rPr>
        <w:t>3700 cm</w:t>
      </w:r>
      <w:r w:rsidRPr="00FD6303">
        <w:rPr>
          <w:rFonts w:ascii="Times New Roman" w:hAnsi="Times New Roman" w:cs="Times New Roman"/>
          <w:sz w:val="18"/>
          <w:szCs w:val="18"/>
          <w:vertAlign w:val="superscript"/>
          <w:lang w:val="en-US"/>
        </w:rPr>
        <w:t>–1</w:t>
      </w:r>
      <w:r w:rsidRPr="000D5CD1">
        <w:rPr>
          <w:rFonts w:ascii="Times New Roman" w:hAnsi="Times New Roman" w:cs="Times New Roman"/>
          <w:sz w:val="18"/>
          <w:szCs w:val="18"/>
          <w:lang w:val="en-US"/>
        </w:rPr>
        <w:t xml:space="preserve"> </w:t>
      </w:r>
      <w:r w:rsidRPr="007148F8">
        <w:rPr>
          <w:rFonts w:ascii="Times New Roman" w:hAnsi="Times New Roman" w:cs="Times New Roman"/>
          <w:sz w:val="18"/>
          <w:szCs w:val="18"/>
          <w:lang w:val="en-US"/>
        </w:rPr>
        <w:t xml:space="preserve">indicated that all OH groups of the </w:t>
      </w:r>
      <w:proofErr w:type="spellStart"/>
      <w:r w:rsidRPr="007148F8">
        <w:rPr>
          <w:rFonts w:ascii="Times New Roman" w:hAnsi="Times New Roman" w:cs="Times New Roman"/>
          <w:sz w:val="18"/>
          <w:szCs w:val="18"/>
          <w:lang w:val="en-US"/>
        </w:rPr>
        <w:t>oligodiol</w:t>
      </w:r>
      <w:proofErr w:type="spellEnd"/>
      <w:r w:rsidRPr="007148F8">
        <w:rPr>
          <w:rFonts w:ascii="Times New Roman" w:hAnsi="Times New Roman" w:cs="Times New Roman"/>
          <w:sz w:val="18"/>
          <w:szCs w:val="18"/>
          <w:lang w:val="en-US"/>
        </w:rPr>
        <w:t xml:space="preserve"> also reacted.</w:t>
      </w:r>
    </w:p>
    <w:p w:rsidR="007C276C" w:rsidRDefault="001B3B62" w:rsidP="001B3B62">
      <w:pPr>
        <w:spacing w:before="200" w:after="120"/>
        <w:jc w:val="center"/>
        <w:rPr>
          <w:rFonts w:ascii="Times New Roman" w:hAnsi="Times New Roman" w:cs="Times New Roman"/>
          <w:sz w:val="18"/>
          <w:szCs w:val="18"/>
          <w:lang w:val="en-US"/>
        </w:rPr>
      </w:pPr>
      <w:r w:rsidRPr="00407EBA">
        <w:rPr>
          <w:noProof/>
          <w:lang w:eastAsia="ru-RU"/>
        </w:rPr>
        <w:drawing>
          <wp:inline distT="0" distB="0" distL="0" distR="0">
            <wp:extent cx="2703795" cy="1418400"/>
            <wp:effectExtent l="19050" t="0" r="1305" b="0"/>
            <wp:docPr id="4"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pic:cNvPicPr>
                      <a:picLocks noChangeAspect="1" noChangeArrowheads="1"/>
                    </pic:cNvPicPr>
                  </pic:nvPicPr>
                  <pic:blipFill>
                    <a:blip r:embed="rId13" cstate="print"/>
                    <a:stretch>
                      <a:fillRect/>
                    </a:stretch>
                  </pic:blipFill>
                  <pic:spPr bwMode="auto">
                    <a:xfrm>
                      <a:off x="0" y="0"/>
                      <a:ext cx="2703795" cy="1418400"/>
                    </a:xfrm>
                    <a:prstGeom prst="rect">
                      <a:avLst/>
                    </a:prstGeom>
                  </pic:spPr>
                </pic:pic>
              </a:graphicData>
            </a:graphic>
          </wp:inline>
        </w:drawing>
      </w:r>
    </w:p>
    <w:p w:rsidR="007C276C" w:rsidRPr="001B3B62" w:rsidRDefault="001B3B62" w:rsidP="001B3B62">
      <w:pPr>
        <w:spacing w:before="120"/>
        <w:jc w:val="both"/>
        <w:rPr>
          <w:rFonts w:ascii="Times New Roman" w:hAnsi="Times New Roman" w:cs="Times New Roman"/>
          <w:sz w:val="16"/>
          <w:szCs w:val="16"/>
          <w:lang w:val="en-US"/>
        </w:rPr>
      </w:pPr>
      <w:r w:rsidRPr="001B3B62">
        <w:rPr>
          <w:rFonts w:ascii="Times New Roman" w:hAnsi="Times New Roman" w:cs="Times New Roman"/>
          <w:b/>
          <w:bCs/>
          <w:sz w:val="16"/>
          <w:szCs w:val="16"/>
          <w:lang w:val="en-US"/>
        </w:rPr>
        <w:t>Figure 1.</w:t>
      </w:r>
      <w:r w:rsidRPr="001B3B62">
        <w:rPr>
          <w:rFonts w:ascii="Times New Roman" w:hAnsi="Times New Roman" w:cs="Times New Roman"/>
          <w:sz w:val="16"/>
          <w:szCs w:val="16"/>
          <w:lang w:val="en-US"/>
        </w:rPr>
        <w:t xml:space="preserve"> IR spectra of </w:t>
      </w:r>
      <w:r w:rsidR="00A2608B">
        <w:rPr>
          <w:rFonts w:ascii="Times New Roman" w:hAnsi="Times New Roman" w:cs="Times New Roman"/>
          <w:sz w:val="16"/>
          <w:szCs w:val="16"/>
          <w:lang w:val="en-US"/>
        </w:rPr>
        <w:t xml:space="preserve">the </w:t>
      </w:r>
      <w:r w:rsidRPr="001B3B62">
        <w:rPr>
          <w:rFonts w:ascii="Times New Roman" w:hAnsi="Times New Roman" w:cs="Times New Roman"/>
          <w:sz w:val="16"/>
          <w:szCs w:val="16"/>
          <w:lang w:val="en-US"/>
        </w:rPr>
        <w:t xml:space="preserve">prepolymers obtained in the presence of DBTL, Bi-ND, </w:t>
      </w:r>
      <w:r w:rsidR="00A2608B">
        <w:rPr>
          <w:rFonts w:ascii="Times New Roman" w:hAnsi="Times New Roman" w:cs="Times New Roman"/>
          <w:sz w:val="16"/>
          <w:szCs w:val="16"/>
          <w:lang w:val="en-US"/>
        </w:rPr>
        <w:t xml:space="preserve">and </w:t>
      </w:r>
      <w:r w:rsidRPr="001B3B62">
        <w:rPr>
          <w:rFonts w:ascii="Times New Roman" w:hAnsi="Times New Roman" w:cs="Times New Roman"/>
          <w:sz w:val="16"/>
          <w:szCs w:val="16"/>
          <w:lang w:val="en-US"/>
        </w:rPr>
        <w:t>DET</w:t>
      </w:r>
      <w:r w:rsidR="00A2608B">
        <w:rPr>
          <w:rFonts w:ascii="Times New Roman" w:hAnsi="Times New Roman" w:cs="Times New Roman"/>
          <w:sz w:val="16"/>
          <w:szCs w:val="16"/>
          <w:lang w:val="en-US"/>
        </w:rPr>
        <w:t>D</w:t>
      </w:r>
      <w:r w:rsidRPr="001B3B62">
        <w:rPr>
          <w:rFonts w:ascii="Times New Roman" w:hAnsi="Times New Roman" w:cs="Times New Roman"/>
          <w:sz w:val="16"/>
          <w:szCs w:val="16"/>
          <w:lang w:val="en-US"/>
        </w:rPr>
        <w:t>C (from top to bottom).</w:t>
      </w:r>
    </w:p>
    <w:p w:rsidR="0055422B" w:rsidRDefault="007148F8" w:rsidP="007148F8">
      <w:pPr>
        <w:spacing w:after="0"/>
        <w:ind w:firstLine="284"/>
        <w:jc w:val="both"/>
        <w:rPr>
          <w:rFonts w:ascii="Times New Roman" w:hAnsi="Times New Roman" w:cs="Times New Roman"/>
          <w:sz w:val="18"/>
          <w:szCs w:val="18"/>
          <w:lang w:val="en-US"/>
        </w:rPr>
      </w:pPr>
      <w:r w:rsidRPr="007148F8">
        <w:rPr>
          <w:rFonts w:ascii="Times New Roman" w:hAnsi="Times New Roman" w:cs="Times New Roman"/>
          <w:sz w:val="18"/>
          <w:szCs w:val="18"/>
          <w:lang w:val="en-US"/>
        </w:rPr>
        <w:t>The second stage (</w:t>
      </w:r>
      <w:r w:rsidRPr="00F72A09">
        <w:rPr>
          <w:rFonts w:ascii="Times New Roman" w:hAnsi="Times New Roman" w:cs="Times New Roman"/>
          <w:b/>
          <w:bCs/>
          <w:sz w:val="18"/>
          <w:szCs w:val="18"/>
          <w:lang w:val="en-US"/>
        </w:rPr>
        <w:t>II</w:t>
      </w:r>
      <w:r w:rsidRPr="007148F8">
        <w:rPr>
          <w:rFonts w:ascii="Times New Roman" w:hAnsi="Times New Roman" w:cs="Times New Roman"/>
          <w:sz w:val="18"/>
          <w:szCs w:val="18"/>
          <w:lang w:val="en-US"/>
        </w:rPr>
        <w:t xml:space="preserve">) of the synthesis was carried out at room temperature, mixing </w:t>
      </w:r>
      <w:r w:rsidR="00CC4B58">
        <w:rPr>
          <w:rFonts w:ascii="Times New Roman" w:hAnsi="Times New Roman" w:cs="Times New Roman"/>
          <w:sz w:val="18"/>
          <w:szCs w:val="18"/>
          <w:lang w:val="en-US"/>
        </w:rPr>
        <w:t xml:space="preserve">the solutions of the </w:t>
      </w:r>
      <w:proofErr w:type="spellStart"/>
      <w:r w:rsidRPr="007148F8">
        <w:rPr>
          <w:rFonts w:ascii="Times New Roman" w:hAnsi="Times New Roman" w:cs="Times New Roman"/>
          <w:sz w:val="18"/>
          <w:szCs w:val="18"/>
          <w:lang w:val="en-US"/>
        </w:rPr>
        <w:t>prepolymer</w:t>
      </w:r>
      <w:proofErr w:type="spellEnd"/>
      <w:r w:rsidRPr="007148F8">
        <w:rPr>
          <w:rFonts w:ascii="Times New Roman" w:hAnsi="Times New Roman" w:cs="Times New Roman"/>
          <w:sz w:val="18"/>
          <w:szCs w:val="18"/>
          <w:lang w:val="en-US"/>
        </w:rPr>
        <w:t xml:space="preserve"> and </w:t>
      </w:r>
      <w:proofErr w:type="spellStart"/>
      <w:r w:rsidRPr="007148F8">
        <w:rPr>
          <w:rFonts w:ascii="Times New Roman" w:hAnsi="Times New Roman" w:cs="Times New Roman"/>
          <w:sz w:val="18"/>
          <w:szCs w:val="18"/>
          <w:lang w:val="en-US"/>
        </w:rPr>
        <w:t>oligodiamine</w:t>
      </w:r>
      <w:proofErr w:type="spellEnd"/>
      <w:r w:rsidR="00CC4B58">
        <w:rPr>
          <w:rFonts w:ascii="Times New Roman" w:hAnsi="Times New Roman" w:cs="Times New Roman"/>
          <w:sz w:val="18"/>
          <w:szCs w:val="18"/>
          <w:lang w:val="en-US"/>
        </w:rPr>
        <w:t>. The</w:t>
      </w:r>
      <w:r w:rsidRPr="007148F8">
        <w:rPr>
          <w:rFonts w:ascii="Times New Roman" w:hAnsi="Times New Roman" w:cs="Times New Roman"/>
          <w:sz w:val="18"/>
          <w:szCs w:val="18"/>
          <w:lang w:val="en-US"/>
        </w:rPr>
        <w:t xml:space="preserve"> resulting mixtures were poured onto cellophane substrates.</w:t>
      </w:r>
    </w:p>
    <w:p w:rsidR="00267622" w:rsidRDefault="007148F8" w:rsidP="0055422B">
      <w:pPr>
        <w:widowControl w:val="0"/>
        <w:spacing w:after="0"/>
        <w:ind w:firstLine="284"/>
        <w:jc w:val="both"/>
        <w:rPr>
          <w:rFonts w:ascii="Times New Roman" w:hAnsi="Times New Roman" w:cs="Times New Roman"/>
          <w:sz w:val="18"/>
          <w:szCs w:val="18"/>
          <w:lang w:val="en-US"/>
        </w:rPr>
        <w:sectPr w:rsidR="00267622" w:rsidSect="00166162">
          <w:endnotePr>
            <w:numFmt w:val="chicago"/>
          </w:endnotePr>
          <w:type w:val="continuous"/>
          <w:pgSz w:w="11906" w:h="16838" w:code="9"/>
          <w:pgMar w:top="1134" w:right="1134" w:bottom="1134" w:left="1134" w:header="709" w:footer="709" w:gutter="0"/>
          <w:cols w:num="2" w:space="282"/>
          <w:docGrid w:linePitch="360"/>
        </w:sectPr>
      </w:pPr>
      <w:r w:rsidRPr="007148F8">
        <w:rPr>
          <w:rFonts w:ascii="Times New Roman" w:hAnsi="Times New Roman" w:cs="Times New Roman"/>
          <w:sz w:val="18"/>
          <w:szCs w:val="18"/>
          <w:lang w:val="en-US"/>
        </w:rPr>
        <w:t xml:space="preserve">The formation of a cross-linked polymer occurred </w:t>
      </w:r>
      <w:r w:rsidR="0055422B">
        <w:rPr>
          <w:rFonts w:ascii="Times New Roman" w:hAnsi="Times New Roman" w:cs="Times New Roman"/>
          <w:sz w:val="18"/>
          <w:szCs w:val="18"/>
          <w:lang w:val="en-US"/>
        </w:rPr>
        <w:t>upon</w:t>
      </w:r>
      <w:r w:rsidR="00661D28">
        <w:rPr>
          <w:rFonts w:ascii="Times New Roman" w:hAnsi="Times New Roman" w:cs="Times New Roman"/>
          <w:sz w:val="18"/>
          <w:szCs w:val="18"/>
          <w:lang w:val="en-US"/>
        </w:rPr>
        <w:t xml:space="preserve"> evaporation of </w:t>
      </w:r>
      <w:r w:rsidR="00661D28" w:rsidRPr="007148F8">
        <w:rPr>
          <w:rFonts w:ascii="Times New Roman" w:hAnsi="Times New Roman" w:cs="Times New Roman"/>
          <w:sz w:val="18"/>
          <w:szCs w:val="18"/>
          <w:lang w:val="en-US"/>
        </w:rPr>
        <w:t>CHCl</w:t>
      </w:r>
      <w:r w:rsidR="00661D28" w:rsidRPr="0055422B">
        <w:rPr>
          <w:rFonts w:ascii="Times New Roman" w:hAnsi="Times New Roman" w:cs="Times New Roman"/>
          <w:sz w:val="18"/>
          <w:szCs w:val="18"/>
          <w:vertAlign w:val="subscript"/>
          <w:lang w:val="en-US"/>
        </w:rPr>
        <w:t>3</w:t>
      </w:r>
      <w:r w:rsidR="00661D28" w:rsidRPr="007148F8">
        <w:rPr>
          <w:rFonts w:ascii="Times New Roman" w:hAnsi="Times New Roman" w:cs="Times New Roman"/>
          <w:sz w:val="18"/>
          <w:szCs w:val="18"/>
          <w:lang w:val="en-US"/>
        </w:rPr>
        <w:t xml:space="preserve"> (stage </w:t>
      </w:r>
      <w:r w:rsidR="00661D28" w:rsidRPr="0055422B">
        <w:rPr>
          <w:rFonts w:ascii="Times New Roman" w:hAnsi="Times New Roman" w:cs="Times New Roman"/>
          <w:b/>
          <w:bCs/>
          <w:sz w:val="18"/>
          <w:szCs w:val="18"/>
          <w:lang w:val="en-US"/>
        </w:rPr>
        <w:t>III</w:t>
      </w:r>
      <w:r w:rsidR="00661D28" w:rsidRPr="007148F8">
        <w:rPr>
          <w:rFonts w:ascii="Times New Roman" w:hAnsi="Times New Roman" w:cs="Times New Roman"/>
          <w:sz w:val="18"/>
          <w:szCs w:val="18"/>
          <w:lang w:val="en-US"/>
        </w:rPr>
        <w:t>) due to the condensation of OH</w:t>
      </w:r>
      <w:r w:rsidR="00661D28">
        <w:rPr>
          <w:rFonts w:ascii="Times New Roman" w:hAnsi="Times New Roman" w:cs="Times New Roman"/>
          <w:sz w:val="18"/>
          <w:szCs w:val="18"/>
          <w:lang w:val="en-US"/>
        </w:rPr>
        <w:t xml:space="preserve"> </w:t>
      </w:r>
      <w:r w:rsidR="00661D28" w:rsidRPr="007148F8">
        <w:rPr>
          <w:rFonts w:ascii="Times New Roman" w:hAnsi="Times New Roman" w:cs="Times New Roman"/>
          <w:sz w:val="18"/>
          <w:szCs w:val="18"/>
          <w:lang w:val="en-US"/>
        </w:rPr>
        <w:t>groups</w:t>
      </w:r>
      <w:r w:rsidR="00661D28">
        <w:rPr>
          <w:rFonts w:ascii="Times New Roman" w:hAnsi="Times New Roman" w:cs="Times New Roman"/>
          <w:sz w:val="18"/>
          <w:szCs w:val="18"/>
          <w:lang w:val="en-US"/>
        </w:rPr>
        <w:t>, which were</w:t>
      </w:r>
      <w:r w:rsidR="00661D28" w:rsidRPr="007148F8">
        <w:rPr>
          <w:rFonts w:ascii="Times New Roman" w:hAnsi="Times New Roman" w:cs="Times New Roman"/>
          <w:sz w:val="18"/>
          <w:szCs w:val="18"/>
          <w:lang w:val="en-US"/>
        </w:rPr>
        <w:t xml:space="preserve"> formed during the elimination of</w:t>
      </w:r>
    </w:p>
    <w:p w:rsidR="00267622" w:rsidRPr="00F90942" w:rsidRDefault="00267622" w:rsidP="00267622">
      <w:pPr>
        <w:spacing w:after="120"/>
        <w:rPr>
          <w:rFonts w:ascii="Times New Roman" w:hAnsi="Times New Roman" w:cs="Times New Roman"/>
          <w:sz w:val="16"/>
          <w:szCs w:val="16"/>
          <w:lang w:val="en-US"/>
        </w:rPr>
      </w:pPr>
      <w:r w:rsidRPr="00F90942">
        <w:rPr>
          <w:rFonts w:ascii="Times New Roman" w:hAnsi="Times New Roman" w:cs="Times New Roman"/>
          <w:b/>
          <w:bCs/>
          <w:sz w:val="16"/>
          <w:szCs w:val="16"/>
          <w:lang w:val="hu-HU"/>
        </w:rPr>
        <w:lastRenderedPageBreak/>
        <w:t>Table 1.</w:t>
      </w:r>
      <w:r w:rsidRPr="00F90942">
        <w:rPr>
          <w:rFonts w:ascii="Times New Roman" w:hAnsi="Times New Roman" w:cs="Times New Roman"/>
          <w:sz w:val="16"/>
          <w:szCs w:val="16"/>
          <w:lang w:val="hu-HU"/>
        </w:rPr>
        <w:t xml:space="preserve"> Main characteristics of polysiloxane (propylene oxide) urethane ureas.</w:t>
      </w:r>
    </w:p>
    <w:tbl>
      <w:tblPr>
        <w:tblW w:w="4919" w:type="pct"/>
        <w:tblInd w:w="108" w:type="dxa"/>
        <w:tblLayout w:type="fixed"/>
        <w:tblLook w:val="04A0"/>
      </w:tblPr>
      <w:tblGrid>
        <w:gridCol w:w="1046"/>
        <w:gridCol w:w="1020"/>
        <w:gridCol w:w="1650"/>
        <w:gridCol w:w="673"/>
        <w:gridCol w:w="921"/>
        <w:gridCol w:w="1602"/>
        <w:gridCol w:w="780"/>
        <w:gridCol w:w="1033"/>
        <w:gridCol w:w="969"/>
      </w:tblGrid>
      <w:tr w:rsidR="00267622" w:rsidRPr="00407EBA" w:rsidTr="00456305">
        <w:trPr>
          <w:trHeight w:val="282"/>
        </w:trPr>
        <w:tc>
          <w:tcPr>
            <w:tcW w:w="1046" w:type="dxa"/>
            <w:tcBorders>
              <w:top w:val="single" w:sz="4" w:space="0" w:color="auto"/>
              <w:bottom w:val="single" w:sz="4" w:space="0" w:color="auto"/>
            </w:tcBorders>
            <w:shd w:val="clear" w:color="auto" w:fill="auto"/>
            <w:vAlign w:val="center"/>
          </w:tcPr>
          <w:p w:rsidR="00267622" w:rsidRPr="00407EBA" w:rsidRDefault="00267622" w:rsidP="00456305">
            <w:pPr>
              <w:widowControl w:val="0"/>
              <w:spacing w:after="0" w:line="240" w:lineRule="auto"/>
              <w:jc w:val="center"/>
              <w:rPr>
                <w:rFonts w:ascii="Times New Roman" w:hAnsi="Times New Roman" w:cs="Times New Roman"/>
                <w:sz w:val="16"/>
                <w:szCs w:val="16"/>
                <w:lang w:val="en-US"/>
              </w:rPr>
            </w:pPr>
            <w:r w:rsidRPr="00407EBA">
              <w:rPr>
                <w:rFonts w:ascii="Times New Roman" w:hAnsi="Times New Roman" w:cs="Times New Roman"/>
                <w:sz w:val="16"/>
                <w:szCs w:val="16"/>
              </w:rPr>
              <w:t>PSP</w:t>
            </w:r>
            <w:r>
              <w:rPr>
                <w:rFonts w:ascii="Times New Roman" w:hAnsi="Times New Roman" w:cs="Times New Roman"/>
                <w:sz w:val="16"/>
                <w:szCs w:val="16"/>
                <w:lang w:val="en-US"/>
              </w:rPr>
              <w:t>O</w:t>
            </w:r>
            <w:r w:rsidRPr="00407EBA">
              <w:rPr>
                <w:rFonts w:ascii="Times New Roman" w:hAnsi="Times New Roman" w:cs="Times New Roman"/>
                <w:sz w:val="16"/>
                <w:szCs w:val="16"/>
              </w:rPr>
              <w:t>UU</w:t>
            </w:r>
            <w:r w:rsidRPr="00407EBA">
              <w:rPr>
                <w:rFonts w:ascii="Times New Roman" w:hAnsi="Times New Roman" w:cs="Times New Roman"/>
                <w:sz w:val="16"/>
                <w:szCs w:val="16"/>
                <w:lang w:val="en-US"/>
              </w:rPr>
              <w:t>r</w:t>
            </w:r>
          </w:p>
        </w:tc>
        <w:tc>
          <w:tcPr>
            <w:tcW w:w="1020" w:type="dxa"/>
            <w:tcBorders>
              <w:top w:val="single" w:sz="4" w:space="0" w:color="auto"/>
              <w:bottom w:val="single" w:sz="4" w:space="0" w:color="auto"/>
            </w:tcBorders>
            <w:shd w:val="clear" w:color="auto" w:fill="auto"/>
            <w:vAlign w:val="center"/>
          </w:tcPr>
          <w:p w:rsidR="00267622" w:rsidRPr="00407EBA" w:rsidRDefault="00267622" w:rsidP="00456305">
            <w:pPr>
              <w:widowControl w:val="0"/>
              <w:spacing w:after="0" w:line="240" w:lineRule="auto"/>
              <w:jc w:val="center"/>
              <w:rPr>
                <w:rFonts w:ascii="Times New Roman" w:hAnsi="Times New Roman" w:cs="Times New Roman"/>
                <w:sz w:val="16"/>
                <w:szCs w:val="16"/>
              </w:rPr>
            </w:pPr>
            <w:r>
              <w:rPr>
                <w:rFonts w:ascii="Times New Roman" w:hAnsi="Times New Roman" w:cs="Times New Roman"/>
                <w:sz w:val="16"/>
                <w:szCs w:val="16"/>
                <w:lang w:val="en-US"/>
              </w:rPr>
              <w:t>Catalyst</w:t>
            </w:r>
          </w:p>
        </w:tc>
        <w:tc>
          <w:tcPr>
            <w:tcW w:w="1650" w:type="dxa"/>
            <w:tcBorders>
              <w:top w:val="single" w:sz="4" w:space="0" w:color="auto"/>
              <w:bottom w:val="single" w:sz="4" w:space="0" w:color="auto"/>
            </w:tcBorders>
            <w:shd w:val="clear" w:color="auto" w:fill="auto"/>
            <w:vAlign w:val="center"/>
          </w:tcPr>
          <w:p w:rsidR="00267622" w:rsidRPr="00407EBA" w:rsidRDefault="00267622" w:rsidP="00456305">
            <w:pPr>
              <w:widowControl w:val="0"/>
              <w:spacing w:after="0" w:line="240" w:lineRule="auto"/>
              <w:jc w:val="center"/>
              <w:rPr>
                <w:rFonts w:ascii="Times New Roman" w:hAnsi="Times New Roman" w:cs="Times New Roman"/>
                <w:sz w:val="16"/>
                <w:szCs w:val="16"/>
              </w:rPr>
            </w:pPr>
            <w:proofErr w:type="spellStart"/>
            <w:r w:rsidRPr="00407EBA">
              <w:rPr>
                <w:rFonts w:ascii="Times New Roman" w:hAnsi="Times New Roman" w:cs="Times New Roman"/>
                <w:sz w:val="16"/>
                <w:szCs w:val="16"/>
              </w:rPr>
              <w:t>Gel</w:t>
            </w:r>
            <w:proofErr w:type="spellEnd"/>
            <w:r>
              <w:rPr>
                <w:rFonts w:ascii="Times New Roman" w:hAnsi="Times New Roman" w:cs="Times New Roman"/>
                <w:sz w:val="16"/>
                <w:szCs w:val="16"/>
                <w:lang w:val="en-US"/>
              </w:rPr>
              <w:t xml:space="preserve"> </w:t>
            </w:r>
            <w:proofErr w:type="spellStart"/>
            <w:r w:rsidRPr="00407EBA">
              <w:rPr>
                <w:rFonts w:ascii="Times New Roman" w:hAnsi="Times New Roman" w:cs="Times New Roman"/>
                <w:sz w:val="16"/>
                <w:szCs w:val="16"/>
              </w:rPr>
              <w:t>fraction</w:t>
            </w:r>
            <w:proofErr w:type="spellEnd"/>
            <w:r w:rsidRPr="00407EBA">
              <w:rPr>
                <w:rFonts w:ascii="Times New Roman" w:hAnsi="Times New Roman" w:cs="Times New Roman"/>
                <w:sz w:val="16"/>
                <w:szCs w:val="16"/>
              </w:rPr>
              <w:t>,</w:t>
            </w:r>
            <w:r>
              <w:rPr>
                <w:rFonts w:ascii="Times New Roman" w:hAnsi="Times New Roman" w:cs="Times New Roman"/>
                <w:sz w:val="16"/>
                <w:szCs w:val="16"/>
                <w:lang w:val="en-US"/>
              </w:rPr>
              <w:t xml:space="preserve"> </w:t>
            </w:r>
            <w:r w:rsidRPr="00407EBA">
              <w:rPr>
                <w:rFonts w:ascii="Times New Roman" w:hAnsi="Times New Roman" w:cs="Times New Roman"/>
                <w:sz w:val="16"/>
                <w:szCs w:val="16"/>
              </w:rPr>
              <w:t>%</w:t>
            </w:r>
          </w:p>
        </w:tc>
        <w:tc>
          <w:tcPr>
            <w:tcW w:w="673" w:type="dxa"/>
            <w:tcBorders>
              <w:top w:val="single" w:sz="4" w:space="0" w:color="auto"/>
              <w:bottom w:val="single" w:sz="4" w:space="0" w:color="auto"/>
            </w:tcBorders>
            <w:shd w:val="clear" w:color="auto" w:fill="auto"/>
            <w:vAlign w:val="center"/>
          </w:tcPr>
          <w:p w:rsidR="00267622" w:rsidRPr="00407EBA" w:rsidRDefault="00267622" w:rsidP="00456305">
            <w:pPr>
              <w:widowControl w:val="0"/>
              <w:spacing w:after="0" w:line="240" w:lineRule="auto"/>
              <w:jc w:val="center"/>
              <w:rPr>
                <w:rFonts w:ascii="Times New Roman" w:hAnsi="Times New Roman" w:cs="Times New Roman"/>
                <w:sz w:val="16"/>
                <w:szCs w:val="16"/>
              </w:rPr>
            </w:pPr>
            <w:r>
              <w:rPr>
                <w:rFonts w:ascii="Times New Roman" w:hAnsi="Times New Roman" w:cs="Times New Roman"/>
                <w:i/>
                <w:iCs/>
                <w:sz w:val="16"/>
                <w:szCs w:val="16"/>
              </w:rPr>
              <w:t>ε</w:t>
            </w:r>
            <w:r w:rsidRPr="00407EBA">
              <w:rPr>
                <w:rFonts w:ascii="Times New Roman" w:hAnsi="Times New Roman" w:cs="Times New Roman"/>
                <w:sz w:val="16"/>
                <w:szCs w:val="16"/>
              </w:rPr>
              <w:t>, %</w:t>
            </w:r>
          </w:p>
        </w:tc>
        <w:tc>
          <w:tcPr>
            <w:tcW w:w="921" w:type="dxa"/>
            <w:tcBorders>
              <w:top w:val="single" w:sz="4" w:space="0" w:color="auto"/>
              <w:bottom w:val="single" w:sz="4" w:space="0" w:color="auto"/>
            </w:tcBorders>
            <w:shd w:val="clear" w:color="auto" w:fill="auto"/>
            <w:vAlign w:val="center"/>
          </w:tcPr>
          <w:p w:rsidR="00267622" w:rsidRPr="00407EBA" w:rsidRDefault="00267622" w:rsidP="00456305">
            <w:pPr>
              <w:widowControl w:val="0"/>
              <w:spacing w:after="0" w:line="240" w:lineRule="auto"/>
              <w:jc w:val="center"/>
              <w:rPr>
                <w:rFonts w:ascii="Times New Roman" w:hAnsi="Times New Roman" w:cs="Times New Roman"/>
                <w:sz w:val="16"/>
                <w:szCs w:val="16"/>
              </w:rPr>
            </w:pPr>
            <w:r>
              <w:rPr>
                <w:rFonts w:ascii="Times New Roman" w:hAnsi="Times New Roman" w:cs="Times New Roman"/>
                <w:i/>
                <w:iCs/>
                <w:sz w:val="16"/>
                <w:szCs w:val="16"/>
              </w:rPr>
              <w:t>σ</w:t>
            </w:r>
            <w:r w:rsidRPr="00407EBA">
              <w:rPr>
                <w:rFonts w:ascii="Times New Roman" w:hAnsi="Times New Roman" w:cs="Times New Roman"/>
                <w:sz w:val="16"/>
                <w:szCs w:val="16"/>
              </w:rPr>
              <w:t xml:space="preserve">, </w:t>
            </w:r>
            <w:proofErr w:type="spellStart"/>
            <w:r w:rsidRPr="00407EBA">
              <w:rPr>
                <w:rFonts w:ascii="Times New Roman" w:hAnsi="Times New Roman" w:cs="Times New Roman"/>
                <w:sz w:val="16"/>
                <w:szCs w:val="16"/>
              </w:rPr>
              <w:t>MPa</w:t>
            </w:r>
            <w:proofErr w:type="spellEnd"/>
          </w:p>
        </w:tc>
        <w:tc>
          <w:tcPr>
            <w:tcW w:w="1602" w:type="dxa"/>
            <w:tcBorders>
              <w:top w:val="single" w:sz="4" w:space="0" w:color="auto"/>
              <w:bottom w:val="single" w:sz="4" w:space="0" w:color="auto"/>
            </w:tcBorders>
            <w:vAlign w:val="center"/>
          </w:tcPr>
          <w:p w:rsidR="00267622" w:rsidRPr="008D771C" w:rsidRDefault="00267622" w:rsidP="00456305">
            <w:pPr>
              <w:widowControl w:val="0"/>
              <w:spacing w:after="0" w:line="240" w:lineRule="auto"/>
              <w:jc w:val="center"/>
              <w:rPr>
                <w:rFonts w:ascii="Times New Roman" w:hAnsi="Times New Roman" w:cs="Times New Roman"/>
                <w:sz w:val="16"/>
                <w:szCs w:val="16"/>
                <w:lang w:val="en-US"/>
              </w:rPr>
            </w:pPr>
            <w:proofErr w:type="spellStart"/>
            <w:r w:rsidRPr="00407EBA">
              <w:rPr>
                <w:rFonts w:ascii="Times New Roman" w:hAnsi="Times New Roman" w:cs="Times New Roman"/>
                <w:sz w:val="16"/>
                <w:szCs w:val="16"/>
              </w:rPr>
              <w:t>Gel</w:t>
            </w:r>
            <w:proofErr w:type="spellEnd"/>
            <w:r>
              <w:rPr>
                <w:rFonts w:ascii="Times New Roman" w:hAnsi="Times New Roman" w:cs="Times New Roman"/>
                <w:sz w:val="16"/>
                <w:szCs w:val="16"/>
                <w:lang w:val="en-US"/>
              </w:rPr>
              <w:t xml:space="preserve"> </w:t>
            </w:r>
            <w:proofErr w:type="spellStart"/>
            <w:r w:rsidRPr="00407EBA">
              <w:rPr>
                <w:rFonts w:ascii="Times New Roman" w:hAnsi="Times New Roman" w:cs="Times New Roman"/>
                <w:sz w:val="16"/>
                <w:szCs w:val="16"/>
              </w:rPr>
              <w:t>fraction</w:t>
            </w:r>
            <w:proofErr w:type="spellEnd"/>
            <w:r w:rsidRPr="00407EBA">
              <w:rPr>
                <w:rFonts w:ascii="Times New Roman" w:hAnsi="Times New Roman" w:cs="Times New Roman"/>
                <w:sz w:val="16"/>
                <w:szCs w:val="16"/>
              </w:rPr>
              <w:t>,</w:t>
            </w:r>
            <w:r>
              <w:rPr>
                <w:rFonts w:ascii="Times New Roman" w:hAnsi="Times New Roman" w:cs="Times New Roman"/>
                <w:sz w:val="16"/>
                <w:szCs w:val="16"/>
                <w:lang w:val="en-US"/>
              </w:rPr>
              <w:t xml:space="preserve"> </w:t>
            </w:r>
            <w:r w:rsidRPr="00407EBA">
              <w:rPr>
                <w:rFonts w:ascii="Times New Roman" w:hAnsi="Times New Roman" w:cs="Times New Roman"/>
                <w:sz w:val="16"/>
                <w:szCs w:val="16"/>
              </w:rPr>
              <w:t>%</w:t>
            </w:r>
            <w:r w:rsidRPr="008D771C">
              <w:rPr>
                <w:rFonts w:ascii="Times New Roman" w:hAnsi="Times New Roman" w:cs="Times New Roman"/>
                <w:b/>
                <w:bCs/>
                <w:i/>
                <w:iCs/>
                <w:sz w:val="16"/>
                <w:szCs w:val="16"/>
                <w:vertAlign w:val="superscript"/>
                <w:lang w:val="en-US"/>
              </w:rPr>
              <w:t>a</w:t>
            </w:r>
          </w:p>
        </w:tc>
        <w:tc>
          <w:tcPr>
            <w:tcW w:w="780" w:type="dxa"/>
            <w:tcBorders>
              <w:top w:val="single" w:sz="4" w:space="0" w:color="auto"/>
              <w:bottom w:val="single" w:sz="4" w:space="0" w:color="auto"/>
            </w:tcBorders>
            <w:vAlign w:val="center"/>
          </w:tcPr>
          <w:p w:rsidR="00267622" w:rsidRPr="008D771C" w:rsidRDefault="00267622" w:rsidP="00456305">
            <w:pPr>
              <w:widowControl w:val="0"/>
              <w:spacing w:after="0" w:line="240" w:lineRule="auto"/>
              <w:jc w:val="center"/>
              <w:rPr>
                <w:rFonts w:ascii="Times New Roman" w:hAnsi="Times New Roman" w:cs="Times New Roman"/>
                <w:sz w:val="16"/>
                <w:szCs w:val="16"/>
                <w:lang w:val="en-US"/>
              </w:rPr>
            </w:pPr>
            <w:r>
              <w:rPr>
                <w:rFonts w:ascii="Times New Roman" w:hAnsi="Times New Roman" w:cs="Times New Roman"/>
                <w:i/>
                <w:iCs/>
                <w:sz w:val="16"/>
                <w:szCs w:val="16"/>
              </w:rPr>
              <w:t>ε</w:t>
            </w:r>
            <w:r w:rsidRPr="00407EBA">
              <w:rPr>
                <w:rFonts w:ascii="Times New Roman" w:hAnsi="Times New Roman" w:cs="Times New Roman"/>
                <w:sz w:val="16"/>
                <w:szCs w:val="16"/>
              </w:rPr>
              <w:t>, %</w:t>
            </w:r>
            <w:r w:rsidRPr="008D771C">
              <w:rPr>
                <w:rFonts w:ascii="Times New Roman" w:hAnsi="Times New Roman" w:cs="Times New Roman"/>
                <w:b/>
                <w:bCs/>
                <w:i/>
                <w:iCs/>
                <w:sz w:val="16"/>
                <w:szCs w:val="16"/>
                <w:vertAlign w:val="superscript"/>
                <w:lang w:val="en-US"/>
              </w:rPr>
              <w:t>a</w:t>
            </w:r>
          </w:p>
        </w:tc>
        <w:tc>
          <w:tcPr>
            <w:tcW w:w="1033" w:type="dxa"/>
            <w:tcBorders>
              <w:top w:val="single" w:sz="4" w:space="0" w:color="auto"/>
              <w:bottom w:val="single" w:sz="4" w:space="0" w:color="auto"/>
            </w:tcBorders>
            <w:vAlign w:val="center"/>
          </w:tcPr>
          <w:p w:rsidR="00267622" w:rsidRPr="008D771C" w:rsidRDefault="00267622" w:rsidP="00456305">
            <w:pPr>
              <w:widowControl w:val="0"/>
              <w:spacing w:after="0" w:line="240" w:lineRule="auto"/>
              <w:jc w:val="center"/>
              <w:rPr>
                <w:rFonts w:ascii="Times New Roman" w:hAnsi="Times New Roman" w:cs="Times New Roman"/>
                <w:sz w:val="16"/>
                <w:szCs w:val="16"/>
                <w:lang w:val="en-US"/>
              </w:rPr>
            </w:pPr>
            <w:r>
              <w:rPr>
                <w:rFonts w:ascii="Times New Roman" w:hAnsi="Times New Roman" w:cs="Times New Roman"/>
                <w:i/>
                <w:iCs/>
                <w:sz w:val="16"/>
                <w:szCs w:val="16"/>
              </w:rPr>
              <w:t>σ</w:t>
            </w:r>
            <w:r w:rsidRPr="00407EBA">
              <w:rPr>
                <w:rFonts w:ascii="Times New Roman" w:hAnsi="Times New Roman" w:cs="Times New Roman"/>
                <w:sz w:val="16"/>
                <w:szCs w:val="16"/>
              </w:rPr>
              <w:t xml:space="preserve">, </w:t>
            </w:r>
            <w:proofErr w:type="spellStart"/>
            <w:r w:rsidRPr="00407EBA">
              <w:rPr>
                <w:rFonts w:ascii="Times New Roman" w:hAnsi="Times New Roman" w:cs="Times New Roman"/>
                <w:sz w:val="16"/>
                <w:szCs w:val="16"/>
              </w:rPr>
              <w:t>MPa</w:t>
            </w:r>
            <w:proofErr w:type="spellEnd"/>
            <w:r w:rsidRPr="008D771C">
              <w:rPr>
                <w:rFonts w:ascii="Times New Roman" w:hAnsi="Times New Roman" w:cs="Times New Roman"/>
                <w:b/>
                <w:bCs/>
                <w:i/>
                <w:iCs/>
                <w:sz w:val="16"/>
                <w:szCs w:val="16"/>
                <w:vertAlign w:val="superscript"/>
                <w:lang w:val="en-US"/>
              </w:rPr>
              <w:t>a</w:t>
            </w:r>
          </w:p>
        </w:tc>
        <w:tc>
          <w:tcPr>
            <w:tcW w:w="969" w:type="dxa"/>
            <w:tcBorders>
              <w:top w:val="single" w:sz="4" w:space="0" w:color="auto"/>
              <w:bottom w:val="single" w:sz="4" w:space="0" w:color="auto"/>
            </w:tcBorders>
            <w:vAlign w:val="center"/>
          </w:tcPr>
          <w:p w:rsidR="00267622" w:rsidRPr="008D771C" w:rsidRDefault="00267622" w:rsidP="00456305">
            <w:pPr>
              <w:widowControl w:val="0"/>
              <w:spacing w:after="0" w:line="240" w:lineRule="auto"/>
              <w:jc w:val="center"/>
              <w:rPr>
                <w:rFonts w:ascii="Times New Roman" w:hAnsi="Times New Roman" w:cs="Times New Roman"/>
                <w:sz w:val="16"/>
                <w:szCs w:val="16"/>
                <w:lang w:val="en-US"/>
              </w:rPr>
            </w:pPr>
            <w:proofErr w:type="spellStart"/>
            <w:r w:rsidRPr="00407EBA">
              <w:rPr>
                <w:rFonts w:ascii="Times New Roman" w:hAnsi="Times New Roman" w:cs="Times New Roman"/>
                <w:i/>
                <w:iCs/>
                <w:sz w:val="16"/>
                <w:szCs w:val="16"/>
              </w:rPr>
              <w:t>T</w:t>
            </w:r>
            <w:r w:rsidRPr="008D771C">
              <w:rPr>
                <w:rFonts w:ascii="Times New Roman" w:hAnsi="Times New Roman" w:cs="Times New Roman"/>
                <w:sz w:val="16"/>
                <w:szCs w:val="16"/>
                <w:vertAlign w:val="subscript"/>
              </w:rPr>
              <w:t>g</w:t>
            </w:r>
            <w:proofErr w:type="spellEnd"/>
            <w:r w:rsidRPr="00407EBA">
              <w:rPr>
                <w:rFonts w:ascii="Times New Roman" w:hAnsi="Times New Roman" w:cs="Times New Roman"/>
                <w:sz w:val="16"/>
                <w:szCs w:val="16"/>
              </w:rPr>
              <w:t>, °C</w:t>
            </w:r>
            <w:r w:rsidRPr="008D771C">
              <w:rPr>
                <w:rFonts w:ascii="Times New Roman" w:hAnsi="Times New Roman" w:cs="Times New Roman"/>
                <w:b/>
                <w:bCs/>
                <w:i/>
                <w:iCs/>
                <w:sz w:val="16"/>
                <w:szCs w:val="16"/>
                <w:vertAlign w:val="superscript"/>
                <w:lang w:val="en-US"/>
              </w:rPr>
              <w:t>a</w:t>
            </w:r>
          </w:p>
        </w:tc>
      </w:tr>
      <w:tr w:rsidR="00267622" w:rsidRPr="00407EBA" w:rsidTr="00456305">
        <w:trPr>
          <w:trHeight w:val="227"/>
        </w:trPr>
        <w:tc>
          <w:tcPr>
            <w:tcW w:w="1046" w:type="dxa"/>
            <w:tcBorders>
              <w:top w:val="single" w:sz="4" w:space="0" w:color="auto"/>
            </w:tcBorders>
            <w:shd w:val="clear" w:color="auto" w:fill="auto"/>
            <w:vAlign w:val="center"/>
          </w:tcPr>
          <w:p w:rsidR="00267622" w:rsidRPr="00407EBA" w:rsidRDefault="00267622" w:rsidP="00456305">
            <w:pPr>
              <w:widowControl w:val="0"/>
              <w:spacing w:after="0" w:line="240" w:lineRule="auto"/>
              <w:jc w:val="center"/>
              <w:rPr>
                <w:rFonts w:ascii="Times New Roman" w:hAnsi="Times New Roman" w:cs="Times New Roman"/>
                <w:b/>
                <w:bCs/>
                <w:sz w:val="16"/>
                <w:szCs w:val="16"/>
                <w:lang w:val="en-US"/>
              </w:rPr>
            </w:pPr>
            <w:r w:rsidRPr="00407EBA">
              <w:rPr>
                <w:rFonts w:ascii="Times New Roman" w:hAnsi="Times New Roman" w:cs="Times New Roman"/>
                <w:b/>
                <w:bCs/>
                <w:sz w:val="16"/>
                <w:szCs w:val="16"/>
                <w:lang w:val="en-US"/>
              </w:rPr>
              <w:t>1</w:t>
            </w:r>
          </w:p>
        </w:tc>
        <w:tc>
          <w:tcPr>
            <w:tcW w:w="1020" w:type="dxa"/>
            <w:tcBorders>
              <w:top w:val="single" w:sz="4" w:space="0" w:color="auto"/>
            </w:tcBorders>
            <w:shd w:val="clear" w:color="auto" w:fill="auto"/>
            <w:vAlign w:val="center"/>
          </w:tcPr>
          <w:p w:rsidR="00267622" w:rsidRPr="00407EBA" w:rsidRDefault="00267622" w:rsidP="00456305">
            <w:pPr>
              <w:widowControl w:val="0"/>
              <w:spacing w:after="0" w:line="240" w:lineRule="auto"/>
              <w:jc w:val="center"/>
              <w:rPr>
                <w:rFonts w:ascii="Times New Roman" w:hAnsi="Times New Roman" w:cs="Times New Roman"/>
                <w:sz w:val="16"/>
                <w:szCs w:val="16"/>
              </w:rPr>
            </w:pPr>
            <w:r w:rsidRPr="00407EBA">
              <w:rPr>
                <w:rFonts w:ascii="Times New Roman" w:hAnsi="Times New Roman" w:cs="Times New Roman"/>
                <w:sz w:val="16"/>
                <w:szCs w:val="16"/>
                <w:lang w:val="en-US"/>
              </w:rPr>
              <w:t>DBTL</w:t>
            </w:r>
          </w:p>
        </w:tc>
        <w:tc>
          <w:tcPr>
            <w:tcW w:w="1650" w:type="dxa"/>
            <w:tcBorders>
              <w:top w:val="single" w:sz="4" w:space="0" w:color="auto"/>
            </w:tcBorders>
            <w:shd w:val="clear" w:color="auto" w:fill="auto"/>
            <w:vAlign w:val="center"/>
          </w:tcPr>
          <w:p w:rsidR="00267622" w:rsidRPr="00407EBA" w:rsidRDefault="00267622" w:rsidP="00456305">
            <w:pPr>
              <w:widowControl w:val="0"/>
              <w:spacing w:after="0" w:line="240" w:lineRule="auto"/>
              <w:jc w:val="center"/>
              <w:rPr>
                <w:rFonts w:ascii="Times New Roman" w:hAnsi="Times New Roman" w:cs="Times New Roman"/>
                <w:sz w:val="16"/>
                <w:szCs w:val="16"/>
              </w:rPr>
            </w:pPr>
            <w:r w:rsidRPr="00407EBA">
              <w:rPr>
                <w:rFonts w:ascii="Times New Roman" w:hAnsi="Times New Roman" w:cs="Times New Roman"/>
                <w:sz w:val="16"/>
                <w:szCs w:val="16"/>
              </w:rPr>
              <w:t>90</w:t>
            </w:r>
          </w:p>
        </w:tc>
        <w:tc>
          <w:tcPr>
            <w:tcW w:w="673" w:type="dxa"/>
            <w:tcBorders>
              <w:top w:val="single" w:sz="4" w:space="0" w:color="auto"/>
            </w:tcBorders>
            <w:shd w:val="clear" w:color="auto" w:fill="auto"/>
            <w:vAlign w:val="center"/>
          </w:tcPr>
          <w:p w:rsidR="00267622" w:rsidRPr="00407EBA" w:rsidRDefault="00267622" w:rsidP="00456305">
            <w:pPr>
              <w:widowControl w:val="0"/>
              <w:spacing w:after="0" w:line="240" w:lineRule="auto"/>
              <w:jc w:val="center"/>
              <w:rPr>
                <w:rFonts w:ascii="Times New Roman" w:hAnsi="Times New Roman" w:cs="Times New Roman"/>
                <w:sz w:val="16"/>
                <w:szCs w:val="16"/>
                <w:lang w:val="en-US"/>
              </w:rPr>
            </w:pPr>
            <w:r w:rsidRPr="00407EBA">
              <w:rPr>
                <w:rFonts w:ascii="Times New Roman" w:hAnsi="Times New Roman" w:cs="Times New Roman"/>
                <w:sz w:val="16"/>
                <w:szCs w:val="16"/>
                <w:lang w:val="en-US"/>
              </w:rPr>
              <w:t>58</w:t>
            </w:r>
          </w:p>
        </w:tc>
        <w:tc>
          <w:tcPr>
            <w:tcW w:w="921" w:type="dxa"/>
            <w:tcBorders>
              <w:top w:val="single" w:sz="4" w:space="0" w:color="auto"/>
            </w:tcBorders>
            <w:shd w:val="clear" w:color="auto" w:fill="auto"/>
            <w:vAlign w:val="center"/>
          </w:tcPr>
          <w:p w:rsidR="00267622" w:rsidRPr="00407EBA" w:rsidRDefault="00267622" w:rsidP="00456305">
            <w:pPr>
              <w:widowControl w:val="0"/>
              <w:spacing w:after="0" w:line="240" w:lineRule="auto"/>
              <w:jc w:val="center"/>
              <w:rPr>
                <w:rFonts w:ascii="Times New Roman" w:hAnsi="Times New Roman" w:cs="Times New Roman"/>
                <w:sz w:val="16"/>
                <w:szCs w:val="16"/>
              </w:rPr>
            </w:pPr>
            <w:r w:rsidRPr="00407EBA">
              <w:rPr>
                <w:rFonts w:ascii="Times New Roman" w:hAnsi="Times New Roman" w:cs="Times New Roman"/>
                <w:sz w:val="16"/>
                <w:szCs w:val="16"/>
              </w:rPr>
              <w:t>10.0</w:t>
            </w:r>
          </w:p>
        </w:tc>
        <w:tc>
          <w:tcPr>
            <w:tcW w:w="1602" w:type="dxa"/>
            <w:tcBorders>
              <w:top w:val="single" w:sz="4" w:space="0" w:color="auto"/>
            </w:tcBorders>
            <w:vAlign w:val="center"/>
          </w:tcPr>
          <w:p w:rsidR="00267622" w:rsidRPr="00407EBA" w:rsidRDefault="00267622" w:rsidP="00456305">
            <w:pPr>
              <w:widowControl w:val="0"/>
              <w:spacing w:after="0" w:line="240" w:lineRule="auto"/>
              <w:jc w:val="center"/>
              <w:rPr>
                <w:rFonts w:ascii="Times New Roman" w:hAnsi="Times New Roman" w:cs="Times New Roman"/>
                <w:sz w:val="16"/>
                <w:szCs w:val="16"/>
              </w:rPr>
            </w:pPr>
            <w:r w:rsidRPr="00407EBA">
              <w:rPr>
                <w:rFonts w:ascii="Times New Roman" w:hAnsi="Times New Roman" w:cs="Times New Roman"/>
                <w:sz w:val="16"/>
                <w:szCs w:val="16"/>
              </w:rPr>
              <w:t>93</w:t>
            </w:r>
          </w:p>
        </w:tc>
        <w:tc>
          <w:tcPr>
            <w:tcW w:w="780" w:type="dxa"/>
            <w:tcBorders>
              <w:top w:val="single" w:sz="4" w:space="0" w:color="auto"/>
            </w:tcBorders>
            <w:vAlign w:val="center"/>
          </w:tcPr>
          <w:p w:rsidR="00267622" w:rsidRPr="00407EBA" w:rsidRDefault="00267622" w:rsidP="00456305">
            <w:pPr>
              <w:widowControl w:val="0"/>
              <w:spacing w:after="0" w:line="240" w:lineRule="auto"/>
              <w:jc w:val="center"/>
              <w:rPr>
                <w:rFonts w:ascii="Times New Roman" w:hAnsi="Times New Roman" w:cs="Times New Roman"/>
                <w:sz w:val="16"/>
                <w:szCs w:val="16"/>
              </w:rPr>
            </w:pPr>
            <w:r w:rsidRPr="00407EBA">
              <w:rPr>
                <w:rFonts w:ascii="Times New Roman" w:hAnsi="Times New Roman" w:cs="Times New Roman"/>
                <w:sz w:val="16"/>
                <w:szCs w:val="16"/>
              </w:rPr>
              <w:t>34</w:t>
            </w:r>
          </w:p>
        </w:tc>
        <w:tc>
          <w:tcPr>
            <w:tcW w:w="1033" w:type="dxa"/>
            <w:tcBorders>
              <w:top w:val="single" w:sz="4" w:space="0" w:color="auto"/>
            </w:tcBorders>
            <w:vAlign w:val="center"/>
          </w:tcPr>
          <w:p w:rsidR="00267622" w:rsidRPr="00407EBA" w:rsidRDefault="00267622" w:rsidP="00456305">
            <w:pPr>
              <w:widowControl w:val="0"/>
              <w:spacing w:after="0" w:line="240" w:lineRule="auto"/>
              <w:jc w:val="center"/>
              <w:rPr>
                <w:rFonts w:ascii="Times New Roman" w:hAnsi="Times New Roman" w:cs="Times New Roman"/>
                <w:sz w:val="16"/>
                <w:szCs w:val="16"/>
                <w:lang w:val="en-US"/>
              </w:rPr>
            </w:pPr>
            <w:r w:rsidRPr="00407EBA">
              <w:rPr>
                <w:rFonts w:ascii="Times New Roman" w:hAnsi="Times New Roman" w:cs="Times New Roman"/>
                <w:sz w:val="16"/>
                <w:szCs w:val="16"/>
              </w:rPr>
              <w:t>1</w:t>
            </w:r>
            <w:r w:rsidRPr="00407EBA">
              <w:rPr>
                <w:rFonts w:ascii="Times New Roman" w:hAnsi="Times New Roman" w:cs="Times New Roman"/>
                <w:sz w:val="16"/>
                <w:szCs w:val="16"/>
                <w:lang w:val="en-US"/>
              </w:rPr>
              <w:t>1</w:t>
            </w:r>
            <w:r w:rsidRPr="00407EBA">
              <w:rPr>
                <w:rFonts w:ascii="Times New Roman" w:hAnsi="Times New Roman" w:cs="Times New Roman"/>
                <w:sz w:val="16"/>
                <w:szCs w:val="16"/>
              </w:rPr>
              <w:t>.</w:t>
            </w:r>
            <w:r w:rsidRPr="00407EBA">
              <w:rPr>
                <w:rFonts w:ascii="Times New Roman" w:hAnsi="Times New Roman" w:cs="Times New Roman"/>
                <w:sz w:val="16"/>
                <w:szCs w:val="16"/>
                <w:lang w:val="en-US"/>
              </w:rPr>
              <w:t>0</w:t>
            </w:r>
          </w:p>
        </w:tc>
        <w:tc>
          <w:tcPr>
            <w:tcW w:w="969" w:type="dxa"/>
            <w:tcBorders>
              <w:top w:val="single" w:sz="4" w:space="0" w:color="auto"/>
            </w:tcBorders>
            <w:vAlign w:val="center"/>
          </w:tcPr>
          <w:p w:rsidR="00267622" w:rsidRPr="00407EBA" w:rsidRDefault="00267622" w:rsidP="00456305">
            <w:pPr>
              <w:widowControl w:val="0"/>
              <w:spacing w:after="0" w:line="240" w:lineRule="auto"/>
              <w:jc w:val="center"/>
              <w:rPr>
                <w:rFonts w:ascii="Times New Roman" w:hAnsi="Times New Roman" w:cs="Times New Roman"/>
                <w:sz w:val="16"/>
                <w:szCs w:val="16"/>
                <w:lang w:val="en-US"/>
              </w:rPr>
            </w:pPr>
            <w:r w:rsidRPr="00407EBA">
              <w:rPr>
                <w:rFonts w:ascii="Times New Roman" w:hAnsi="Times New Roman" w:cs="Times New Roman"/>
                <w:sz w:val="16"/>
                <w:szCs w:val="16"/>
                <w:lang w:val="en-US"/>
              </w:rPr>
              <w:noBreakHyphen/>
              <w:t>120/81</w:t>
            </w:r>
          </w:p>
        </w:tc>
      </w:tr>
      <w:tr w:rsidR="00267622" w:rsidRPr="00407EBA" w:rsidTr="00456305">
        <w:trPr>
          <w:trHeight w:val="227"/>
        </w:trPr>
        <w:tc>
          <w:tcPr>
            <w:tcW w:w="1046" w:type="dxa"/>
            <w:shd w:val="clear" w:color="auto" w:fill="auto"/>
            <w:vAlign w:val="center"/>
          </w:tcPr>
          <w:p w:rsidR="00267622" w:rsidRPr="00407EBA" w:rsidRDefault="00267622" w:rsidP="00456305">
            <w:pPr>
              <w:widowControl w:val="0"/>
              <w:spacing w:after="0" w:line="240" w:lineRule="auto"/>
              <w:jc w:val="center"/>
              <w:rPr>
                <w:rFonts w:ascii="Times New Roman" w:hAnsi="Times New Roman" w:cs="Times New Roman"/>
                <w:b/>
                <w:bCs/>
                <w:sz w:val="16"/>
                <w:szCs w:val="16"/>
                <w:lang w:val="en-US"/>
              </w:rPr>
            </w:pPr>
            <w:r w:rsidRPr="00407EBA">
              <w:rPr>
                <w:rFonts w:ascii="Times New Roman" w:hAnsi="Times New Roman" w:cs="Times New Roman"/>
                <w:b/>
                <w:bCs/>
                <w:sz w:val="16"/>
                <w:szCs w:val="16"/>
                <w:lang w:val="en-US"/>
              </w:rPr>
              <w:t>2</w:t>
            </w:r>
          </w:p>
        </w:tc>
        <w:tc>
          <w:tcPr>
            <w:tcW w:w="1020" w:type="dxa"/>
            <w:shd w:val="clear" w:color="auto" w:fill="auto"/>
            <w:vAlign w:val="center"/>
          </w:tcPr>
          <w:p w:rsidR="00267622" w:rsidRPr="00407EBA" w:rsidRDefault="00267622" w:rsidP="00456305">
            <w:pPr>
              <w:widowControl w:val="0"/>
              <w:spacing w:after="0" w:line="240" w:lineRule="auto"/>
              <w:jc w:val="center"/>
              <w:rPr>
                <w:rFonts w:ascii="Times New Roman" w:hAnsi="Times New Roman" w:cs="Times New Roman"/>
                <w:sz w:val="16"/>
                <w:szCs w:val="16"/>
              </w:rPr>
            </w:pPr>
            <w:r w:rsidRPr="00407EBA">
              <w:rPr>
                <w:rFonts w:ascii="Times New Roman" w:hAnsi="Times New Roman" w:cs="Times New Roman"/>
                <w:sz w:val="16"/>
                <w:szCs w:val="16"/>
                <w:lang w:val="en-US"/>
              </w:rPr>
              <w:t>Bi</w:t>
            </w:r>
            <w:r w:rsidRPr="00407EBA">
              <w:rPr>
                <w:rFonts w:ascii="Times New Roman" w:hAnsi="Times New Roman" w:cs="Times New Roman"/>
                <w:sz w:val="16"/>
                <w:szCs w:val="16"/>
                <w:lang w:val="en-US"/>
              </w:rPr>
              <w:noBreakHyphen/>
              <w:t>NDE</w:t>
            </w:r>
          </w:p>
        </w:tc>
        <w:tc>
          <w:tcPr>
            <w:tcW w:w="1650" w:type="dxa"/>
            <w:shd w:val="clear" w:color="auto" w:fill="auto"/>
            <w:vAlign w:val="center"/>
          </w:tcPr>
          <w:p w:rsidR="00267622" w:rsidRPr="00407EBA" w:rsidRDefault="00267622" w:rsidP="00456305">
            <w:pPr>
              <w:widowControl w:val="0"/>
              <w:spacing w:after="0" w:line="240" w:lineRule="auto"/>
              <w:jc w:val="center"/>
              <w:rPr>
                <w:rFonts w:ascii="Times New Roman" w:hAnsi="Times New Roman" w:cs="Times New Roman"/>
                <w:sz w:val="16"/>
                <w:szCs w:val="16"/>
              </w:rPr>
            </w:pPr>
            <w:r w:rsidRPr="00407EBA">
              <w:rPr>
                <w:rFonts w:ascii="Times New Roman" w:hAnsi="Times New Roman" w:cs="Times New Roman"/>
                <w:sz w:val="16"/>
                <w:szCs w:val="16"/>
              </w:rPr>
              <w:t>85</w:t>
            </w:r>
          </w:p>
        </w:tc>
        <w:tc>
          <w:tcPr>
            <w:tcW w:w="673" w:type="dxa"/>
            <w:shd w:val="clear" w:color="auto" w:fill="auto"/>
            <w:vAlign w:val="center"/>
          </w:tcPr>
          <w:p w:rsidR="00267622" w:rsidRPr="00407EBA" w:rsidRDefault="00267622" w:rsidP="00456305">
            <w:pPr>
              <w:widowControl w:val="0"/>
              <w:spacing w:after="0" w:line="240" w:lineRule="auto"/>
              <w:jc w:val="center"/>
              <w:rPr>
                <w:rFonts w:ascii="Times New Roman" w:hAnsi="Times New Roman" w:cs="Times New Roman"/>
                <w:sz w:val="16"/>
                <w:szCs w:val="16"/>
              </w:rPr>
            </w:pPr>
            <w:r w:rsidRPr="00407EBA">
              <w:rPr>
                <w:rFonts w:ascii="Times New Roman" w:hAnsi="Times New Roman" w:cs="Times New Roman"/>
                <w:sz w:val="16"/>
                <w:szCs w:val="16"/>
              </w:rPr>
              <w:t>300</w:t>
            </w:r>
          </w:p>
        </w:tc>
        <w:tc>
          <w:tcPr>
            <w:tcW w:w="921" w:type="dxa"/>
            <w:shd w:val="clear" w:color="auto" w:fill="auto"/>
            <w:vAlign w:val="center"/>
          </w:tcPr>
          <w:p w:rsidR="00267622" w:rsidRPr="00407EBA" w:rsidRDefault="00267622" w:rsidP="00456305">
            <w:pPr>
              <w:widowControl w:val="0"/>
              <w:spacing w:after="0" w:line="240" w:lineRule="auto"/>
              <w:jc w:val="center"/>
              <w:rPr>
                <w:rFonts w:ascii="Times New Roman" w:hAnsi="Times New Roman" w:cs="Times New Roman"/>
                <w:sz w:val="16"/>
                <w:szCs w:val="16"/>
              </w:rPr>
            </w:pPr>
            <w:r w:rsidRPr="00407EBA">
              <w:rPr>
                <w:rFonts w:ascii="Times New Roman" w:hAnsi="Times New Roman" w:cs="Times New Roman"/>
                <w:sz w:val="16"/>
                <w:szCs w:val="16"/>
              </w:rPr>
              <w:t>6.5</w:t>
            </w:r>
          </w:p>
        </w:tc>
        <w:tc>
          <w:tcPr>
            <w:tcW w:w="1602" w:type="dxa"/>
            <w:vAlign w:val="center"/>
          </w:tcPr>
          <w:p w:rsidR="00267622" w:rsidRPr="00407EBA" w:rsidRDefault="00267622" w:rsidP="00456305">
            <w:pPr>
              <w:widowControl w:val="0"/>
              <w:spacing w:after="0" w:line="240" w:lineRule="auto"/>
              <w:jc w:val="center"/>
              <w:rPr>
                <w:rFonts w:ascii="Times New Roman" w:hAnsi="Times New Roman" w:cs="Times New Roman"/>
                <w:sz w:val="16"/>
                <w:szCs w:val="16"/>
              </w:rPr>
            </w:pPr>
            <w:r w:rsidRPr="00407EBA">
              <w:rPr>
                <w:rFonts w:ascii="Times New Roman" w:hAnsi="Times New Roman" w:cs="Times New Roman"/>
                <w:sz w:val="16"/>
                <w:szCs w:val="16"/>
              </w:rPr>
              <w:t>91</w:t>
            </w:r>
          </w:p>
        </w:tc>
        <w:tc>
          <w:tcPr>
            <w:tcW w:w="780" w:type="dxa"/>
            <w:vAlign w:val="center"/>
          </w:tcPr>
          <w:p w:rsidR="00267622" w:rsidRPr="00407EBA" w:rsidRDefault="00267622" w:rsidP="00456305">
            <w:pPr>
              <w:widowControl w:val="0"/>
              <w:spacing w:after="0" w:line="240" w:lineRule="auto"/>
              <w:jc w:val="center"/>
              <w:rPr>
                <w:rFonts w:ascii="Times New Roman" w:hAnsi="Times New Roman" w:cs="Times New Roman"/>
                <w:sz w:val="16"/>
                <w:szCs w:val="16"/>
              </w:rPr>
            </w:pPr>
            <w:r w:rsidRPr="00407EBA">
              <w:rPr>
                <w:rFonts w:ascii="Times New Roman" w:hAnsi="Times New Roman" w:cs="Times New Roman"/>
                <w:sz w:val="16"/>
                <w:szCs w:val="16"/>
              </w:rPr>
              <w:t>160</w:t>
            </w:r>
          </w:p>
        </w:tc>
        <w:tc>
          <w:tcPr>
            <w:tcW w:w="1033" w:type="dxa"/>
            <w:vAlign w:val="center"/>
          </w:tcPr>
          <w:p w:rsidR="00267622" w:rsidRPr="00407EBA" w:rsidRDefault="00267622" w:rsidP="00456305">
            <w:pPr>
              <w:widowControl w:val="0"/>
              <w:spacing w:after="0" w:line="240" w:lineRule="auto"/>
              <w:jc w:val="center"/>
              <w:rPr>
                <w:rFonts w:ascii="Times New Roman" w:hAnsi="Times New Roman" w:cs="Times New Roman"/>
                <w:sz w:val="16"/>
                <w:szCs w:val="16"/>
              </w:rPr>
            </w:pPr>
            <w:r w:rsidRPr="00407EBA">
              <w:rPr>
                <w:rFonts w:ascii="Times New Roman" w:hAnsi="Times New Roman" w:cs="Times New Roman"/>
                <w:sz w:val="16"/>
                <w:szCs w:val="16"/>
                <w:lang w:val="en-US"/>
              </w:rPr>
              <w:t>7.0</w:t>
            </w:r>
          </w:p>
        </w:tc>
        <w:tc>
          <w:tcPr>
            <w:tcW w:w="969" w:type="dxa"/>
            <w:vAlign w:val="center"/>
          </w:tcPr>
          <w:p w:rsidR="00267622" w:rsidRPr="00407EBA" w:rsidRDefault="00267622" w:rsidP="00456305">
            <w:pPr>
              <w:widowControl w:val="0"/>
              <w:spacing w:after="0" w:line="240" w:lineRule="auto"/>
              <w:jc w:val="center"/>
              <w:rPr>
                <w:rFonts w:ascii="Times New Roman" w:hAnsi="Times New Roman" w:cs="Times New Roman"/>
                <w:sz w:val="16"/>
                <w:szCs w:val="16"/>
                <w:lang w:val="en-US"/>
              </w:rPr>
            </w:pPr>
            <w:r w:rsidRPr="00407EBA">
              <w:rPr>
                <w:rFonts w:ascii="Times New Roman" w:hAnsi="Times New Roman" w:cs="Times New Roman"/>
                <w:sz w:val="16"/>
                <w:szCs w:val="16"/>
                <w:lang w:val="en-US"/>
              </w:rPr>
              <w:noBreakHyphen/>
              <w:t>116/59</w:t>
            </w:r>
          </w:p>
        </w:tc>
      </w:tr>
      <w:tr w:rsidR="00267622" w:rsidRPr="00407EBA" w:rsidTr="00456305">
        <w:trPr>
          <w:trHeight w:val="227"/>
        </w:trPr>
        <w:tc>
          <w:tcPr>
            <w:tcW w:w="1046" w:type="dxa"/>
            <w:tcBorders>
              <w:bottom w:val="single" w:sz="4" w:space="0" w:color="auto"/>
            </w:tcBorders>
            <w:shd w:val="clear" w:color="auto" w:fill="auto"/>
            <w:vAlign w:val="center"/>
          </w:tcPr>
          <w:p w:rsidR="00267622" w:rsidRPr="00407EBA" w:rsidRDefault="00267622" w:rsidP="00456305">
            <w:pPr>
              <w:widowControl w:val="0"/>
              <w:spacing w:after="0" w:line="240" w:lineRule="auto"/>
              <w:jc w:val="center"/>
              <w:rPr>
                <w:rFonts w:ascii="Times New Roman" w:hAnsi="Times New Roman" w:cs="Times New Roman"/>
                <w:b/>
                <w:bCs/>
                <w:sz w:val="16"/>
                <w:szCs w:val="16"/>
                <w:lang w:val="en-US"/>
              </w:rPr>
            </w:pPr>
            <w:r w:rsidRPr="00407EBA">
              <w:rPr>
                <w:rFonts w:ascii="Times New Roman" w:hAnsi="Times New Roman" w:cs="Times New Roman"/>
                <w:b/>
                <w:bCs/>
                <w:sz w:val="16"/>
                <w:szCs w:val="16"/>
                <w:lang w:val="en-US"/>
              </w:rPr>
              <w:t>3</w:t>
            </w:r>
          </w:p>
        </w:tc>
        <w:tc>
          <w:tcPr>
            <w:tcW w:w="1020" w:type="dxa"/>
            <w:tcBorders>
              <w:bottom w:val="single" w:sz="4" w:space="0" w:color="auto"/>
            </w:tcBorders>
            <w:shd w:val="clear" w:color="auto" w:fill="auto"/>
            <w:vAlign w:val="center"/>
          </w:tcPr>
          <w:p w:rsidR="00267622" w:rsidRPr="00407EBA" w:rsidRDefault="00267622" w:rsidP="00456305">
            <w:pPr>
              <w:widowControl w:val="0"/>
              <w:spacing w:after="0" w:line="240" w:lineRule="auto"/>
              <w:jc w:val="center"/>
              <w:rPr>
                <w:rFonts w:ascii="Times New Roman" w:hAnsi="Times New Roman" w:cs="Times New Roman"/>
                <w:sz w:val="16"/>
                <w:szCs w:val="16"/>
              </w:rPr>
            </w:pPr>
            <w:r w:rsidRPr="00407EBA">
              <w:rPr>
                <w:rFonts w:ascii="Times New Roman" w:hAnsi="Times New Roman" w:cs="Times New Roman"/>
                <w:sz w:val="16"/>
                <w:szCs w:val="16"/>
                <w:lang w:val="en-US"/>
              </w:rPr>
              <w:t>DETC</w:t>
            </w:r>
          </w:p>
        </w:tc>
        <w:tc>
          <w:tcPr>
            <w:tcW w:w="1650" w:type="dxa"/>
            <w:tcBorders>
              <w:bottom w:val="single" w:sz="4" w:space="0" w:color="auto"/>
            </w:tcBorders>
            <w:shd w:val="clear" w:color="auto" w:fill="auto"/>
            <w:vAlign w:val="center"/>
          </w:tcPr>
          <w:p w:rsidR="00267622" w:rsidRPr="00407EBA" w:rsidRDefault="00267622" w:rsidP="00456305">
            <w:pPr>
              <w:widowControl w:val="0"/>
              <w:spacing w:after="0" w:line="240" w:lineRule="auto"/>
              <w:jc w:val="center"/>
              <w:rPr>
                <w:rFonts w:ascii="Times New Roman" w:hAnsi="Times New Roman" w:cs="Times New Roman"/>
                <w:sz w:val="16"/>
                <w:szCs w:val="16"/>
              </w:rPr>
            </w:pPr>
            <w:r w:rsidRPr="00407EBA">
              <w:rPr>
                <w:rFonts w:ascii="Times New Roman" w:hAnsi="Times New Roman" w:cs="Times New Roman"/>
                <w:sz w:val="16"/>
                <w:szCs w:val="16"/>
              </w:rPr>
              <w:t>90</w:t>
            </w:r>
          </w:p>
        </w:tc>
        <w:tc>
          <w:tcPr>
            <w:tcW w:w="673" w:type="dxa"/>
            <w:tcBorders>
              <w:bottom w:val="single" w:sz="4" w:space="0" w:color="auto"/>
            </w:tcBorders>
            <w:shd w:val="clear" w:color="auto" w:fill="auto"/>
            <w:vAlign w:val="center"/>
          </w:tcPr>
          <w:p w:rsidR="00267622" w:rsidRPr="00407EBA" w:rsidRDefault="00267622" w:rsidP="00456305">
            <w:pPr>
              <w:widowControl w:val="0"/>
              <w:spacing w:after="0" w:line="240" w:lineRule="auto"/>
              <w:jc w:val="center"/>
              <w:rPr>
                <w:rFonts w:ascii="Times New Roman" w:hAnsi="Times New Roman" w:cs="Times New Roman"/>
                <w:sz w:val="16"/>
                <w:szCs w:val="16"/>
                <w:lang w:val="en-US"/>
              </w:rPr>
            </w:pPr>
            <w:r w:rsidRPr="00407EBA">
              <w:rPr>
                <w:rFonts w:ascii="Times New Roman" w:hAnsi="Times New Roman" w:cs="Times New Roman"/>
                <w:sz w:val="16"/>
                <w:szCs w:val="16"/>
              </w:rPr>
              <w:t>5</w:t>
            </w:r>
            <w:r w:rsidRPr="00407EBA">
              <w:rPr>
                <w:rFonts w:ascii="Times New Roman" w:hAnsi="Times New Roman" w:cs="Times New Roman"/>
                <w:sz w:val="16"/>
                <w:szCs w:val="16"/>
                <w:lang w:val="en-US"/>
              </w:rPr>
              <w:t>3</w:t>
            </w:r>
          </w:p>
        </w:tc>
        <w:tc>
          <w:tcPr>
            <w:tcW w:w="921" w:type="dxa"/>
            <w:tcBorders>
              <w:bottom w:val="single" w:sz="4" w:space="0" w:color="auto"/>
            </w:tcBorders>
            <w:shd w:val="clear" w:color="auto" w:fill="auto"/>
            <w:vAlign w:val="center"/>
          </w:tcPr>
          <w:p w:rsidR="00267622" w:rsidRPr="00407EBA" w:rsidRDefault="00267622" w:rsidP="00456305">
            <w:pPr>
              <w:widowControl w:val="0"/>
              <w:spacing w:after="0" w:line="240" w:lineRule="auto"/>
              <w:jc w:val="center"/>
              <w:rPr>
                <w:rFonts w:ascii="Times New Roman" w:hAnsi="Times New Roman" w:cs="Times New Roman"/>
                <w:sz w:val="16"/>
                <w:szCs w:val="16"/>
                <w:lang w:val="en-US"/>
              </w:rPr>
            </w:pPr>
            <w:r w:rsidRPr="00407EBA">
              <w:rPr>
                <w:rFonts w:ascii="Times New Roman" w:hAnsi="Times New Roman" w:cs="Times New Roman"/>
                <w:sz w:val="16"/>
                <w:szCs w:val="16"/>
              </w:rPr>
              <w:t>10.</w:t>
            </w:r>
            <w:r w:rsidRPr="00407EBA">
              <w:rPr>
                <w:rFonts w:ascii="Times New Roman" w:hAnsi="Times New Roman" w:cs="Times New Roman"/>
                <w:sz w:val="16"/>
                <w:szCs w:val="16"/>
                <w:lang w:val="en-US"/>
              </w:rPr>
              <w:t>5</w:t>
            </w:r>
          </w:p>
        </w:tc>
        <w:tc>
          <w:tcPr>
            <w:tcW w:w="1602" w:type="dxa"/>
            <w:tcBorders>
              <w:bottom w:val="single" w:sz="4" w:space="0" w:color="auto"/>
            </w:tcBorders>
            <w:vAlign w:val="center"/>
          </w:tcPr>
          <w:p w:rsidR="00267622" w:rsidRPr="00407EBA" w:rsidRDefault="00267622" w:rsidP="00456305">
            <w:pPr>
              <w:widowControl w:val="0"/>
              <w:spacing w:after="0" w:line="240" w:lineRule="auto"/>
              <w:jc w:val="center"/>
              <w:rPr>
                <w:rFonts w:ascii="Times New Roman" w:hAnsi="Times New Roman" w:cs="Times New Roman"/>
                <w:sz w:val="16"/>
                <w:szCs w:val="16"/>
              </w:rPr>
            </w:pPr>
            <w:r w:rsidRPr="00407EBA">
              <w:rPr>
                <w:rFonts w:ascii="Times New Roman" w:hAnsi="Times New Roman" w:cs="Times New Roman"/>
                <w:sz w:val="16"/>
                <w:szCs w:val="16"/>
              </w:rPr>
              <w:t>92</w:t>
            </w:r>
          </w:p>
        </w:tc>
        <w:tc>
          <w:tcPr>
            <w:tcW w:w="780" w:type="dxa"/>
            <w:tcBorders>
              <w:bottom w:val="single" w:sz="4" w:space="0" w:color="auto"/>
            </w:tcBorders>
            <w:vAlign w:val="center"/>
          </w:tcPr>
          <w:p w:rsidR="00267622" w:rsidRPr="00407EBA" w:rsidRDefault="00267622" w:rsidP="00456305">
            <w:pPr>
              <w:widowControl w:val="0"/>
              <w:spacing w:after="0" w:line="240" w:lineRule="auto"/>
              <w:jc w:val="center"/>
              <w:rPr>
                <w:rFonts w:ascii="Times New Roman" w:hAnsi="Times New Roman" w:cs="Times New Roman"/>
                <w:sz w:val="16"/>
                <w:szCs w:val="16"/>
              </w:rPr>
            </w:pPr>
            <w:r w:rsidRPr="00407EBA">
              <w:rPr>
                <w:rFonts w:ascii="Times New Roman" w:hAnsi="Times New Roman" w:cs="Times New Roman"/>
                <w:sz w:val="16"/>
                <w:szCs w:val="16"/>
              </w:rPr>
              <w:t>44</w:t>
            </w:r>
          </w:p>
        </w:tc>
        <w:tc>
          <w:tcPr>
            <w:tcW w:w="1033" w:type="dxa"/>
            <w:tcBorders>
              <w:bottom w:val="single" w:sz="4" w:space="0" w:color="auto"/>
            </w:tcBorders>
            <w:vAlign w:val="center"/>
          </w:tcPr>
          <w:p w:rsidR="00267622" w:rsidRPr="00407EBA" w:rsidRDefault="00267622" w:rsidP="00456305">
            <w:pPr>
              <w:widowControl w:val="0"/>
              <w:spacing w:after="0" w:line="240" w:lineRule="auto"/>
              <w:jc w:val="center"/>
              <w:rPr>
                <w:rFonts w:ascii="Times New Roman" w:hAnsi="Times New Roman" w:cs="Times New Roman"/>
                <w:sz w:val="16"/>
                <w:szCs w:val="16"/>
                <w:lang w:val="en-US"/>
              </w:rPr>
            </w:pPr>
            <w:r w:rsidRPr="00407EBA">
              <w:rPr>
                <w:rFonts w:ascii="Times New Roman" w:hAnsi="Times New Roman" w:cs="Times New Roman"/>
                <w:sz w:val="16"/>
                <w:szCs w:val="16"/>
              </w:rPr>
              <w:t>10.</w:t>
            </w:r>
            <w:r w:rsidRPr="00407EBA">
              <w:rPr>
                <w:rFonts w:ascii="Times New Roman" w:hAnsi="Times New Roman" w:cs="Times New Roman"/>
                <w:sz w:val="16"/>
                <w:szCs w:val="16"/>
                <w:lang w:val="en-US"/>
              </w:rPr>
              <w:t>0</w:t>
            </w:r>
          </w:p>
        </w:tc>
        <w:tc>
          <w:tcPr>
            <w:tcW w:w="969" w:type="dxa"/>
            <w:tcBorders>
              <w:bottom w:val="single" w:sz="4" w:space="0" w:color="auto"/>
            </w:tcBorders>
            <w:vAlign w:val="center"/>
          </w:tcPr>
          <w:p w:rsidR="00267622" w:rsidRPr="00407EBA" w:rsidRDefault="00267622" w:rsidP="00456305">
            <w:pPr>
              <w:widowControl w:val="0"/>
              <w:spacing w:after="0" w:line="240" w:lineRule="auto"/>
              <w:jc w:val="center"/>
              <w:rPr>
                <w:rFonts w:ascii="Times New Roman" w:hAnsi="Times New Roman" w:cs="Times New Roman"/>
                <w:sz w:val="16"/>
                <w:szCs w:val="16"/>
                <w:lang w:val="en-US"/>
              </w:rPr>
            </w:pPr>
            <w:r w:rsidRPr="00407EBA">
              <w:rPr>
                <w:rFonts w:ascii="Times New Roman" w:hAnsi="Times New Roman" w:cs="Times New Roman"/>
                <w:sz w:val="16"/>
                <w:szCs w:val="16"/>
                <w:lang w:val="en-US"/>
              </w:rPr>
              <w:noBreakHyphen/>
              <w:t>127/94</w:t>
            </w:r>
          </w:p>
        </w:tc>
      </w:tr>
    </w:tbl>
    <w:p w:rsidR="00267622" w:rsidRPr="00F90942" w:rsidRDefault="00267622" w:rsidP="00267622">
      <w:pPr>
        <w:pStyle w:val="Header1"/>
        <w:spacing w:before="60"/>
        <w:jc w:val="both"/>
        <w:rPr>
          <w:rFonts w:ascii="Times New Roman" w:hAnsi="Times New Roman" w:cs="Times New Roman"/>
          <w:b w:val="0"/>
          <w:bCs/>
          <w:sz w:val="16"/>
          <w:szCs w:val="16"/>
        </w:rPr>
      </w:pPr>
      <w:proofErr w:type="spellStart"/>
      <w:r w:rsidRPr="008D771C">
        <w:rPr>
          <w:rFonts w:ascii="Times New Roman" w:hAnsi="Times New Roman" w:cs="Times New Roman"/>
          <w:i/>
          <w:sz w:val="16"/>
          <w:szCs w:val="16"/>
          <w:vertAlign w:val="superscript"/>
        </w:rPr>
        <w:t>a</w:t>
      </w:r>
      <w:proofErr w:type="spellEnd"/>
      <w:r>
        <w:rPr>
          <w:rFonts w:ascii="Times New Roman" w:hAnsi="Times New Roman" w:cs="Times New Roman"/>
          <w:i/>
          <w:sz w:val="16"/>
          <w:szCs w:val="16"/>
          <w:vertAlign w:val="superscript"/>
        </w:rPr>
        <w:t xml:space="preserve"> </w:t>
      </w:r>
      <w:r>
        <w:rPr>
          <w:rFonts w:ascii="Times New Roman" w:hAnsi="Times New Roman" w:cs="Times New Roman"/>
          <w:b w:val="0"/>
          <w:bCs/>
          <w:iCs/>
          <w:sz w:val="16"/>
          <w:szCs w:val="16"/>
        </w:rPr>
        <w:t xml:space="preserve">in 1 month </w:t>
      </w:r>
      <w:r w:rsidRPr="00F90942">
        <w:rPr>
          <w:rFonts w:ascii="Times New Roman" w:hAnsi="Times New Roman" w:cs="Times New Roman"/>
          <w:b w:val="0"/>
          <w:bCs/>
          <w:iCs/>
          <w:sz w:val="16"/>
          <w:szCs w:val="16"/>
        </w:rPr>
        <w:t>of aging under normal conditions</w:t>
      </w:r>
      <w:r>
        <w:rPr>
          <w:rFonts w:ascii="Times New Roman" w:hAnsi="Times New Roman" w:cs="Times New Roman"/>
          <w:b w:val="0"/>
          <w:bCs/>
          <w:iCs/>
          <w:sz w:val="16"/>
          <w:szCs w:val="16"/>
        </w:rPr>
        <w:t>.</w:t>
      </w:r>
    </w:p>
    <w:p w:rsidR="00267622" w:rsidRDefault="00267622" w:rsidP="0055422B">
      <w:pPr>
        <w:widowControl w:val="0"/>
        <w:spacing w:after="0"/>
        <w:ind w:firstLine="284"/>
        <w:jc w:val="both"/>
        <w:rPr>
          <w:rFonts w:ascii="Times New Roman" w:hAnsi="Times New Roman" w:cs="Times New Roman"/>
          <w:sz w:val="18"/>
          <w:szCs w:val="18"/>
          <w:lang w:val="en-US"/>
        </w:rPr>
        <w:sectPr w:rsidR="00267622" w:rsidSect="00267622">
          <w:endnotePr>
            <w:numFmt w:val="chicago"/>
          </w:endnotePr>
          <w:type w:val="continuous"/>
          <w:pgSz w:w="11906" w:h="16838" w:code="9"/>
          <w:pgMar w:top="1134" w:right="1134" w:bottom="1134" w:left="1134" w:header="709" w:footer="709" w:gutter="0"/>
          <w:cols w:space="282"/>
          <w:docGrid w:linePitch="360"/>
        </w:sectPr>
      </w:pPr>
    </w:p>
    <w:p w:rsidR="007148F8" w:rsidRPr="007148F8" w:rsidRDefault="007148F8" w:rsidP="000E37EE">
      <w:pPr>
        <w:widowControl w:val="0"/>
        <w:spacing w:after="0"/>
        <w:jc w:val="both"/>
        <w:rPr>
          <w:rFonts w:ascii="Times New Roman" w:hAnsi="Times New Roman" w:cs="Times New Roman"/>
          <w:sz w:val="18"/>
          <w:szCs w:val="18"/>
          <w:lang w:val="en-US"/>
        </w:rPr>
      </w:pPr>
      <w:proofErr w:type="gramStart"/>
      <w:r w:rsidRPr="007148F8">
        <w:rPr>
          <w:rFonts w:ascii="Times New Roman" w:hAnsi="Times New Roman" w:cs="Times New Roman"/>
          <w:sz w:val="18"/>
          <w:szCs w:val="18"/>
          <w:lang w:val="en-US"/>
        </w:rPr>
        <w:lastRenderedPageBreak/>
        <w:t>hydrolytically</w:t>
      </w:r>
      <w:proofErr w:type="gramEnd"/>
      <w:r w:rsidRPr="007148F8">
        <w:rPr>
          <w:rFonts w:ascii="Times New Roman" w:hAnsi="Times New Roman" w:cs="Times New Roman"/>
          <w:sz w:val="18"/>
          <w:szCs w:val="18"/>
          <w:lang w:val="en-US"/>
        </w:rPr>
        <w:t xml:space="preserve"> unstable </w:t>
      </w:r>
      <w:proofErr w:type="spellStart"/>
      <w:r w:rsidRPr="007148F8">
        <w:rPr>
          <w:rFonts w:ascii="Times New Roman" w:hAnsi="Times New Roman" w:cs="Times New Roman"/>
          <w:sz w:val="18"/>
          <w:szCs w:val="18"/>
          <w:lang w:val="en-US"/>
        </w:rPr>
        <w:t>O</w:t>
      </w:r>
      <w:r w:rsidR="0055422B">
        <w:rPr>
          <w:rFonts w:ascii="Times New Roman" w:hAnsi="Times New Roman" w:cs="Times New Roman"/>
          <w:sz w:val="18"/>
          <w:szCs w:val="18"/>
          <w:lang w:val="en-US"/>
        </w:rPr>
        <w:t>Et</w:t>
      </w:r>
      <w:proofErr w:type="spellEnd"/>
      <w:r w:rsidR="0055422B">
        <w:rPr>
          <w:rFonts w:ascii="Times New Roman" w:hAnsi="Times New Roman" w:cs="Times New Roman"/>
          <w:sz w:val="18"/>
          <w:szCs w:val="18"/>
          <w:lang w:val="en-US"/>
        </w:rPr>
        <w:t xml:space="preserve"> units</w:t>
      </w:r>
      <w:r w:rsidRPr="007148F8">
        <w:rPr>
          <w:rFonts w:ascii="Times New Roman" w:hAnsi="Times New Roman" w:cs="Times New Roman"/>
          <w:sz w:val="18"/>
          <w:szCs w:val="18"/>
          <w:lang w:val="en-US"/>
        </w:rPr>
        <w:t xml:space="preserve">, </w:t>
      </w:r>
      <w:r w:rsidR="0055422B">
        <w:rPr>
          <w:rFonts w:ascii="Times New Roman" w:hAnsi="Times New Roman" w:cs="Times New Roman"/>
          <w:sz w:val="18"/>
          <w:szCs w:val="18"/>
          <w:lang w:val="en-US"/>
        </w:rPr>
        <w:t xml:space="preserve">affording </w:t>
      </w:r>
      <w:r w:rsidRPr="007148F8">
        <w:rPr>
          <w:rFonts w:ascii="Times New Roman" w:hAnsi="Times New Roman" w:cs="Times New Roman"/>
          <w:sz w:val="18"/>
          <w:szCs w:val="18"/>
          <w:lang w:val="en-US"/>
        </w:rPr>
        <w:t xml:space="preserve">colorless transparent films (Table 1). The mass fraction of the siloxane component, including the </w:t>
      </w:r>
      <w:r w:rsidR="0055422B">
        <w:rPr>
          <w:rFonts w:ascii="Times New Roman" w:hAnsi="Times New Roman" w:cs="Times New Roman"/>
          <w:sz w:val="18"/>
          <w:szCs w:val="18"/>
          <w:lang w:val="en-US"/>
        </w:rPr>
        <w:t xml:space="preserve">terminal </w:t>
      </w:r>
      <w:r w:rsidRPr="007148F8">
        <w:rPr>
          <w:rFonts w:ascii="Times New Roman" w:hAnsi="Times New Roman" w:cs="Times New Roman"/>
          <w:sz w:val="18"/>
          <w:szCs w:val="18"/>
          <w:lang w:val="en-US"/>
        </w:rPr>
        <w:t xml:space="preserve">groups after the </w:t>
      </w:r>
      <w:r w:rsidR="0055422B">
        <w:rPr>
          <w:rFonts w:ascii="Times New Roman" w:hAnsi="Times New Roman" w:cs="Times New Roman"/>
          <w:sz w:val="18"/>
          <w:szCs w:val="18"/>
          <w:lang w:val="en-US"/>
        </w:rPr>
        <w:t xml:space="preserve">network </w:t>
      </w:r>
      <w:r w:rsidRPr="007148F8">
        <w:rPr>
          <w:rFonts w:ascii="Times New Roman" w:hAnsi="Times New Roman" w:cs="Times New Roman"/>
          <w:sz w:val="18"/>
          <w:szCs w:val="18"/>
          <w:lang w:val="en-US"/>
        </w:rPr>
        <w:t>formation, was 68 wt %.</w:t>
      </w:r>
    </w:p>
    <w:p w:rsidR="007148F8" w:rsidRPr="007148F8" w:rsidRDefault="007148F8" w:rsidP="007148F8">
      <w:pPr>
        <w:spacing w:after="0"/>
        <w:ind w:firstLine="284"/>
        <w:jc w:val="both"/>
        <w:rPr>
          <w:rFonts w:ascii="Times New Roman" w:hAnsi="Times New Roman" w:cs="Times New Roman"/>
          <w:sz w:val="18"/>
          <w:szCs w:val="18"/>
          <w:lang w:val="en-US"/>
        </w:rPr>
      </w:pPr>
      <w:r w:rsidRPr="007148F8">
        <w:rPr>
          <w:rFonts w:ascii="Times New Roman" w:hAnsi="Times New Roman" w:cs="Times New Roman"/>
          <w:sz w:val="18"/>
          <w:szCs w:val="18"/>
          <w:lang w:val="en-US"/>
        </w:rPr>
        <w:t xml:space="preserve">It is known that all three catalysts </w:t>
      </w:r>
      <w:r w:rsidR="000034F2">
        <w:rPr>
          <w:rFonts w:ascii="Times New Roman" w:hAnsi="Times New Roman" w:cs="Times New Roman"/>
          <w:sz w:val="18"/>
          <w:szCs w:val="18"/>
          <w:lang w:val="en-US"/>
        </w:rPr>
        <w:t xml:space="preserve">promote </w:t>
      </w:r>
      <w:r w:rsidRPr="007148F8">
        <w:rPr>
          <w:rFonts w:ascii="Times New Roman" w:hAnsi="Times New Roman" w:cs="Times New Roman"/>
          <w:sz w:val="18"/>
          <w:szCs w:val="18"/>
          <w:lang w:val="en-US"/>
        </w:rPr>
        <w:t>both the urethane formation and cross-linking reaction, and in the second case, the catalyst activity decreases in the series DBTL</w:t>
      </w:r>
      <w:r w:rsidR="000034F2">
        <w:rPr>
          <w:rFonts w:ascii="Times New Roman" w:hAnsi="Times New Roman" w:cs="Times New Roman"/>
          <w:sz w:val="18"/>
          <w:szCs w:val="18"/>
          <w:lang w:val="en-US"/>
        </w:rPr>
        <w:t xml:space="preserve"> </w:t>
      </w:r>
      <w:r w:rsidRPr="007148F8">
        <w:rPr>
          <w:rFonts w:ascii="Times New Roman" w:hAnsi="Times New Roman" w:cs="Times New Roman"/>
          <w:sz w:val="18"/>
          <w:szCs w:val="18"/>
          <w:lang w:val="en-US"/>
        </w:rPr>
        <w:t>&gt;</w:t>
      </w:r>
      <w:r w:rsidR="000034F2">
        <w:rPr>
          <w:rFonts w:ascii="Times New Roman" w:hAnsi="Times New Roman" w:cs="Times New Roman"/>
          <w:sz w:val="18"/>
          <w:szCs w:val="18"/>
          <w:lang w:val="en-US"/>
        </w:rPr>
        <w:t xml:space="preserve"> </w:t>
      </w:r>
      <w:r w:rsidRPr="007148F8">
        <w:rPr>
          <w:rFonts w:ascii="Times New Roman" w:hAnsi="Times New Roman" w:cs="Times New Roman"/>
          <w:sz w:val="18"/>
          <w:szCs w:val="18"/>
          <w:lang w:val="en-US"/>
        </w:rPr>
        <w:t>DET</w:t>
      </w:r>
      <w:r w:rsidR="000034F2">
        <w:rPr>
          <w:rFonts w:ascii="Times New Roman" w:hAnsi="Times New Roman" w:cs="Times New Roman"/>
          <w:sz w:val="18"/>
          <w:szCs w:val="18"/>
          <w:lang w:val="en-US"/>
        </w:rPr>
        <w:t>D</w:t>
      </w:r>
      <w:r w:rsidRPr="007148F8">
        <w:rPr>
          <w:rFonts w:ascii="Times New Roman" w:hAnsi="Times New Roman" w:cs="Times New Roman"/>
          <w:sz w:val="18"/>
          <w:szCs w:val="18"/>
          <w:lang w:val="en-US"/>
        </w:rPr>
        <w:t>C</w:t>
      </w:r>
      <w:r w:rsidR="000034F2">
        <w:rPr>
          <w:rFonts w:ascii="Times New Roman" w:hAnsi="Times New Roman" w:cs="Times New Roman"/>
          <w:sz w:val="18"/>
          <w:szCs w:val="18"/>
          <w:lang w:val="en-US"/>
        </w:rPr>
        <w:t xml:space="preserve"> </w:t>
      </w:r>
      <w:r w:rsidRPr="007148F8">
        <w:rPr>
          <w:rFonts w:ascii="Times New Roman" w:hAnsi="Times New Roman" w:cs="Times New Roman"/>
          <w:sz w:val="18"/>
          <w:szCs w:val="18"/>
          <w:lang w:val="en-US"/>
        </w:rPr>
        <w:t>&gt;</w:t>
      </w:r>
      <w:r w:rsidR="000034F2">
        <w:rPr>
          <w:rFonts w:ascii="Times New Roman" w:hAnsi="Times New Roman" w:cs="Times New Roman"/>
          <w:sz w:val="18"/>
          <w:szCs w:val="18"/>
          <w:lang w:val="en-US"/>
        </w:rPr>
        <w:br/>
      </w:r>
      <w:r w:rsidRPr="007148F8">
        <w:rPr>
          <w:rFonts w:ascii="Times New Roman" w:hAnsi="Times New Roman" w:cs="Times New Roman"/>
          <w:sz w:val="18"/>
          <w:szCs w:val="18"/>
          <w:lang w:val="en-US"/>
        </w:rPr>
        <w:t xml:space="preserve">Bi-ND </w:t>
      </w:r>
      <w:r w:rsidR="000034F2">
        <w:rPr>
          <w:rFonts w:ascii="Times New Roman" w:hAnsi="Times New Roman" w:cs="Times New Roman"/>
          <w:sz w:val="18"/>
          <w:szCs w:val="18"/>
          <w:lang w:val="en-US"/>
        </w:rPr>
        <w:t>[6]</w:t>
      </w:r>
      <w:r w:rsidRPr="007148F8">
        <w:rPr>
          <w:rFonts w:ascii="Times New Roman" w:hAnsi="Times New Roman" w:cs="Times New Roman"/>
          <w:sz w:val="18"/>
          <w:szCs w:val="18"/>
          <w:lang w:val="en-US"/>
        </w:rPr>
        <w:t>.</w:t>
      </w:r>
    </w:p>
    <w:p w:rsidR="001B3B62" w:rsidRDefault="007148F8" w:rsidP="007148F8">
      <w:pPr>
        <w:spacing w:after="0"/>
        <w:ind w:firstLine="284"/>
        <w:jc w:val="both"/>
        <w:rPr>
          <w:rFonts w:ascii="Times New Roman" w:hAnsi="Times New Roman" w:cs="Times New Roman"/>
          <w:sz w:val="18"/>
          <w:szCs w:val="18"/>
          <w:lang w:val="en-US"/>
        </w:rPr>
      </w:pPr>
      <w:r w:rsidRPr="007148F8">
        <w:rPr>
          <w:rFonts w:ascii="Times New Roman" w:hAnsi="Times New Roman" w:cs="Times New Roman"/>
          <w:sz w:val="18"/>
          <w:szCs w:val="18"/>
          <w:lang w:val="en-US"/>
        </w:rPr>
        <w:t xml:space="preserve">To study the effect of </w:t>
      </w:r>
      <w:r w:rsidR="00EE4872">
        <w:rPr>
          <w:rFonts w:ascii="Times New Roman" w:hAnsi="Times New Roman" w:cs="Times New Roman"/>
          <w:sz w:val="18"/>
          <w:szCs w:val="18"/>
          <w:lang w:val="en-US"/>
        </w:rPr>
        <w:t xml:space="preserve">the </w:t>
      </w:r>
      <w:r w:rsidRPr="007148F8">
        <w:rPr>
          <w:rFonts w:ascii="Times New Roman" w:hAnsi="Times New Roman" w:cs="Times New Roman"/>
          <w:sz w:val="18"/>
          <w:szCs w:val="18"/>
          <w:lang w:val="en-US"/>
        </w:rPr>
        <w:t xml:space="preserve">catalysts on this process, </w:t>
      </w:r>
      <w:r w:rsidR="00EE4872">
        <w:rPr>
          <w:rFonts w:ascii="Times New Roman" w:hAnsi="Times New Roman" w:cs="Times New Roman"/>
          <w:sz w:val="18"/>
          <w:szCs w:val="18"/>
          <w:lang w:val="en-US"/>
        </w:rPr>
        <w:t xml:space="preserve">the </w:t>
      </w:r>
      <w:r w:rsidRPr="007148F8">
        <w:rPr>
          <w:rFonts w:ascii="Times New Roman" w:hAnsi="Times New Roman" w:cs="Times New Roman"/>
          <w:sz w:val="18"/>
          <w:szCs w:val="18"/>
          <w:lang w:val="en-US"/>
        </w:rPr>
        <w:t xml:space="preserve">model </w:t>
      </w:r>
      <w:proofErr w:type="spellStart"/>
      <w:r w:rsidRPr="007148F8">
        <w:rPr>
          <w:rFonts w:ascii="Times New Roman" w:hAnsi="Times New Roman" w:cs="Times New Roman"/>
          <w:sz w:val="18"/>
          <w:szCs w:val="18"/>
          <w:lang w:val="en-US"/>
        </w:rPr>
        <w:t>polysiloxane</w:t>
      </w:r>
      <w:r w:rsidR="009738C6">
        <w:rPr>
          <w:rFonts w:ascii="Times New Roman" w:hAnsi="Times New Roman" w:cs="Times New Roman"/>
          <w:sz w:val="18"/>
          <w:szCs w:val="18"/>
          <w:lang w:val="en-US"/>
        </w:rPr>
        <w:t>–</w:t>
      </w:r>
      <w:r w:rsidRPr="007148F8">
        <w:rPr>
          <w:rFonts w:ascii="Times New Roman" w:hAnsi="Times New Roman" w:cs="Times New Roman"/>
          <w:sz w:val="18"/>
          <w:szCs w:val="18"/>
          <w:lang w:val="en-US"/>
        </w:rPr>
        <w:t>ureas</w:t>
      </w:r>
      <w:proofErr w:type="spellEnd"/>
      <w:r w:rsidRPr="007148F8">
        <w:rPr>
          <w:rFonts w:ascii="Times New Roman" w:hAnsi="Times New Roman" w:cs="Times New Roman"/>
          <w:sz w:val="18"/>
          <w:szCs w:val="18"/>
          <w:lang w:val="en-US"/>
        </w:rPr>
        <w:t xml:space="preserve"> (</w:t>
      </w:r>
      <w:proofErr w:type="spellStart"/>
      <w:r w:rsidRPr="007148F8">
        <w:rPr>
          <w:rFonts w:ascii="Times New Roman" w:hAnsi="Times New Roman" w:cs="Times New Roman"/>
          <w:sz w:val="18"/>
          <w:szCs w:val="18"/>
          <w:lang w:val="en-US"/>
        </w:rPr>
        <w:t>PSUrs</w:t>
      </w:r>
      <w:proofErr w:type="spellEnd"/>
      <w:r w:rsidRPr="007148F8">
        <w:rPr>
          <w:rFonts w:ascii="Times New Roman" w:hAnsi="Times New Roman" w:cs="Times New Roman"/>
          <w:sz w:val="18"/>
          <w:szCs w:val="18"/>
          <w:lang w:val="en-US"/>
        </w:rPr>
        <w:t>, Scheme S2</w:t>
      </w:r>
      <w:r w:rsidR="009738C6">
        <w:rPr>
          <w:rFonts w:ascii="Times New Roman" w:hAnsi="Times New Roman" w:cs="Times New Roman"/>
          <w:sz w:val="18"/>
          <w:szCs w:val="18"/>
          <w:lang w:val="en-US"/>
        </w:rPr>
        <w:t xml:space="preserve"> in the ESI</w:t>
      </w:r>
      <w:r w:rsidRPr="007148F8">
        <w:rPr>
          <w:rFonts w:ascii="Times New Roman" w:hAnsi="Times New Roman" w:cs="Times New Roman"/>
          <w:sz w:val="18"/>
          <w:szCs w:val="18"/>
          <w:lang w:val="en-US"/>
        </w:rPr>
        <w:t>) were synthesized</w:t>
      </w:r>
      <w:r w:rsidR="009738C6">
        <w:rPr>
          <w:rFonts w:ascii="Times New Roman" w:hAnsi="Times New Roman" w:cs="Times New Roman"/>
          <w:sz w:val="18"/>
          <w:szCs w:val="18"/>
          <w:lang w:val="en-US"/>
        </w:rPr>
        <w:t>. T</w:t>
      </w:r>
      <w:r w:rsidRPr="007148F8">
        <w:rPr>
          <w:rFonts w:ascii="Times New Roman" w:hAnsi="Times New Roman" w:cs="Times New Roman"/>
          <w:sz w:val="18"/>
          <w:szCs w:val="18"/>
          <w:lang w:val="en-US"/>
        </w:rPr>
        <w:t>he content of the siloxane component in all samples was 83 wt %.</w:t>
      </w:r>
    </w:p>
    <w:p w:rsidR="005C74E4" w:rsidRDefault="005C74E4" w:rsidP="00FA1F57">
      <w:pPr>
        <w:widowControl w:val="0"/>
        <w:spacing w:after="0"/>
        <w:ind w:firstLine="284"/>
        <w:jc w:val="both"/>
        <w:rPr>
          <w:rFonts w:ascii="Times New Roman" w:hAnsi="Times New Roman" w:cs="Times New Roman"/>
          <w:sz w:val="18"/>
          <w:szCs w:val="18"/>
          <w:lang w:val="en-US"/>
        </w:rPr>
      </w:pPr>
      <w:r w:rsidRPr="005C74E4">
        <w:rPr>
          <w:rFonts w:ascii="Times New Roman" w:hAnsi="Times New Roman" w:cs="Times New Roman"/>
          <w:sz w:val="18"/>
          <w:szCs w:val="18"/>
          <w:lang w:val="en-US"/>
        </w:rPr>
        <w:t xml:space="preserve">The reaction of </w:t>
      </w:r>
      <w:r w:rsidR="003D12DD">
        <w:rPr>
          <w:rFonts w:ascii="Times New Roman" w:hAnsi="Times New Roman" w:cs="Times New Roman"/>
          <w:sz w:val="18"/>
          <w:szCs w:val="18"/>
          <w:lang w:val="en-US"/>
        </w:rPr>
        <w:t xml:space="preserve">the </w:t>
      </w:r>
      <w:proofErr w:type="spellStart"/>
      <w:r w:rsidRPr="005C74E4">
        <w:rPr>
          <w:rFonts w:ascii="Times New Roman" w:hAnsi="Times New Roman" w:cs="Times New Roman"/>
          <w:sz w:val="18"/>
          <w:szCs w:val="18"/>
          <w:lang w:val="en-US"/>
        </w:rPr>
        <w:t>oligodiamine</w:t>
      </w:r>
      <w:proofErr w:type="spellEnd"/>
      <w:r w:rsidRPr="005C74E4">
        <w:rPr>
          <w:rFonts w:ascii="Times New Roman" w:hAnsi="Times New Roman" w:cs="Times New Roman"/>
          <w:sz w:val="18"/>
          <w:szCs w:val="18"/>
          <w:lang w:val="en-US"/>
        </w:rPr>
        <w:t xml:space="preserve"> with H</w:t>
      </w:r>
      <w:r w:rsidRPr="003D12DD">
        <w:rPr>
          <w:rFonts w:ascii="Times New Roman" w:hAnsi="Times New Roman" w:cs="Times New Roman"/>
          <w:sz w:val="18"/>
          <w:szCs w:val="18"/>
          <w:vertAlign w:val="subscript"/>
          <w:lang w:val="en-US"/>
        </w:rPr>
        <w:t>12</w:t>
      </w:r>
      <w:r w:rsidRPr="005C74E4">
        <w:rPr>
          <w:rFonts w:ascii="Times New Roman" w:hAnsi="Times New Roman" w:cs="Times New Roman"/>
          <w:sz w:val="18"/>
          <w:szCs w:val="18"/>
          <w:lang w:val="en-US"/>
        </w:rPr>
        <w:t>-MDI does not require</w:t>
      </w:r>
      <w:r w:rsidR="00491E9B">
        <w:rPr>
          <w:rFonts w:ascii="Times New Roman" w:hAnsi="Times New Roman" w:cs="Times New Roman"/>
          <w:sz w:val="18"/>
          <w:szCs w:val="18"/>
          <w:lang w:val="en-US"/>
        </w:rPr>
        <w:t xml:space="preserve"> the addition of a</w:t>
      </w:r>
      <w:r w:rsidRPr="005C74E4">
        <w:rPr>
          <w:rFonts w:ascii="Times New Roman" w:hAnsi="Times New Roman" w:cs="Times New Roman"/>
          <w:sz w:val="18"/>
          <w:szCs w:val="18"/>
          <w:lang w:val="en-US"/>
        </w:rPr>
        <w:t xml:space="preserve"> </w:t>
      </w:r>
      <w:r w:rsidR="00491E9B" w:rsidRPr="005C74E4">
        <w:rPr>
          <w:rFonts w:ascii="Times New Roman" w:hAnsi="Times New Roman" w:cs="Times New Roman"/>
          <w:sz w:val="18"/>
          <w:szCs w:val="18"/>
          <w:lang w:val="en-US"/>
        </w:rPr>
        <w:t>catalyst and proceeds</w:t>
      </w:r>
      <w:r w:rsidRPr="005C74E4">
        <w:rPr>
          <w:rFonts w:ascii="Times New Roman" w:hAnsi="Times New Roman" w:cs="Times New Roman"/>
          <w:sz w:val="18"/>
          <w:szCs w:val="18"/>
          <w:lang w:val="en-US"/>
        </w:rPr>
        <w:t xml:space="preserve"> at room temperature. In this case, </w:t>
      </w:r>
      <w:r w:rsidR="00283198">
        <w:rPr>
          <w:rFonts w:ascii="Times New Roman" w:hAnsi="Times New Roman" w:cs="Times New Roman"/>
          <w:sz w:val="18"/>
          <w:szCs w:val="18"/>
          <w:lang w:val="en-US"/>
        </w:rPr>
        <w:t xml:space="preserve">the </w:t>
      </w:r>
      <w:r w:rsidRPr="005C74E4">
        <w:rPr>
          <w:rFonts w:ascii="Times New Roman" w:hAnsi="Times New Roman" w:cs="Times New Roman"/>
          <w:sz w:val="18"/>
          <w:szCs w:val="18"/>
          <w:lang w:val="en-US"/>
        </w:rPr>
        <w:t xml:space="preserve">catalysts can only affect the formation of a cross-linked polymer. The synthesis was carried out at room temperature by mixing </w:t>
      </w:r>
      <w:r w:rsidR="00491E9B">
        <w:rPr>
          <w:rFonts w:ascii="Times New Roman" w:hAnsi="Times New Roman" w:cs="Times New Roman"/>
          <w:sz w:val="18"/>
          <w:szCs w:val="18"/>
          <w:lang w:val="en-US"/>
        </w:rPr>
        <w:t xml:space="preserve">the </w:t>
      </w:r>
      <w:r w:rsidRPr="005C74E4">
        <w:rPr>
          <w:rFonts w:ascii="Times New Roman" w:hAnsi="Times New Roman" w:cs="Times New Roman"/>
          <w:sz w:val="18"/>
          <w:szCs w:val="18"/>
          <w:lang w:val="en-US"/>
        </w:rPr>
        <w:t xml:space="preserve">solutions of </w:t>
      </w:r>
      <w:r w:rsidR="00491E9B">
        <w:rPr>
          <w:rFonts w:ascii="Times New Roman" w:hAnsi="Times New Roman" w:cs="Times New Roman"/>
          <w:sz w:val="18"/>
          <w:szCs w:val="18"/>
          <w:lang w:val="en-US"/>
        </w:rPr>
        <w:t xml:space="preserve">the </w:t>
      </w:r>
      <w:r w:rsidRPr="005C74E4">
        <w:rPr>
          <w:rFonts w:ascii="Times New Roman" w:hAnsi="Times New Roman" w:cs="Times New Roman"/>
          <w:sz w:val="18"/>
          <w:szCs w:val="18"/>
          <w:lang w:val="en-US"/>
        </w:rPr>
        <w:t xml:space="preserve">diisocyanate and DAS. The solution was cast onto a cellophane substrate. The polymer was formed by evaporation of the solvent under the </w:t>
      </w:r>
      <w:r w:rsidR="00FA1F57">
        <w:rPr>
          <w:rFonts w:ascii="Times New Roman" w:hAnsi="Times New Roman" w:cs="Times New Roman"/>
          <w:sz w:val="18"/>
          <w:szCs w:val="18"/>
          <w:lang w:val="en-US"/>
        </w:rPr>
        <w:t>effect</w:t>
      </w:r>
      <w:r w:rsidRPr="005C74E4">
        <w:rPr>
          <w:rFonts w:ascii="Times New Roman" w:hAnsi="Times New Roman" w:cs="Times New Roman"/>
          <w:sz w:val="18"/>
          <w:szCs w:val="18"/>
          <w:lang w:val="en-US"/>
        </w:rPr>
        <w:t xml:space="preserve"> of atmospheric moisture. </w:t>
      </w:r>
      <w:r w:rsidR="00FA1F57">
        <w:rPr>
          <w:rFonts w:ascii="Times New Roman" w:hAnsi="Times New Roman" w:cs="Times New Roman"/>
          <w:sz w:val="18"/>
          <w:szCs w:val="18"/>
          <w:lang w:val="en-US"/>
        </w:rPr>
        <w:t>The m</w:t>
      </w:r>
      <w:r w:rsidRPr="005C74E4">
        <w:rPr>
          <w:rFonts w:ascii="Times New Roman" w:hAnsi="Times New Roman" w:cs="Times New Roman"/>
          <w:sz w:val="18"/>
          <w:szCs w:val="18"/>
          <w:lang w:val="en-US"/>
        </w:rPr>
        <w:t xml:space="preserve">odel </w:t>
      </w:r>
      <w:proofErr w:type="spellStart"/>
      <w:r w:rsidRPr="005C74E4">
        <w:rPr>
          <w:rFonts w:ascii="Times New Roman" w:hAnsi="Times New Roman" w:cs="Times New Roman"/>
          <w:sz w:val="18"/>
          <w:szCs w:val="18"/>
          <w:lang w:val="en-US"/>
        </w:rPr>
        <w:t>PSUrs</w:t>
      </w:r>
      <w:proofErr w:type="spellEnd"/>
      <w:r w:rsidRPr="005C74E4">
        <w:rPr>
          <w:rFonts w:ascii="Times New Roman" w:hAnsi="Times New Roman" w:cs="Times New Roman"/>
          <w:sz w:val="18"/>
          <w:szCs w:val="18"/>
          <w:lang w:val="en-US"/>
        </w:rPr>
        <w:t xml:space="preserve"> (Table 2) </w:t>
      </w:r>
      <w:r w:rsidR="00FA1F57">
        <w:rPr>
          <w:rFonts w:ascii="Times New Roman" w:hAnsi="Times New Roman" w:cs="Times New Roman"/>
          <w:sz w:val="18"/>
          <w:szCs w:val="18"/>
          <w:lang w:val="en-US"/>
        </w:rPr>
        <w:t>were</w:t>
      </w:r>
      <w:r w:rsidRPr="005C74E4">
        <w:rPr>
          <w:rFonts w:ascii="Times New Roman" w:hAnsi="Times New Roman" w:cs="Times New Roman"/>
          <w:sz w:val="18"/>
          <w:szCs w:val="18"/>
          <w:lang w:val="en-US"/>
        </w:rPr>
        <w:t xml:space="preserve"> also colorless and transparent.</w:t>
      </w:r>
    </w:p>
    <w:p w:rsidR="00FA1F57" w:rsidRPr="007148F8" w:rsidRDefault="00FA1F57" w:rsidP="00FA1F57">
      <w:pPr>
        <w:spacing w:before="200" w:after="120"/>
        <w:jc w:val="both"/>
        <w:rPr>
          <w:rFonts w:ascii="Times New Roman" w:hAnsi="Times New Roman" w:cs="Times New Roman"/>
          <w:sz w:val="16"/>
          <w:szCs w:val="16"/>
          <w:lang w:val="en-US"/>
        </w:rPr>
      </w:pPr>
      <w:r w:rsidRPr="007148F8">
        <w:rPr>
          <w:rFonts w:ascii="Times New Roman" w:hAnsi="Times New Roman" w:cs="Times New Roman"/>
          <w:b/>
          <w:bCs/>
          <w:sz w:val="16"/>
          <w:szCs w:val="16"/>
          <w:lang w:val="en-US"/>
        </w:rPr>
        <w:t>Table 2.</w:t>
      </w:r>
      <w:r w:rsidRPr="007148F8">
        <w:rPr>
          <w:rFonts w:ascii="Times New Roman" w:hAnsi="Times New Roman" w:cs="Times New Roman"/>
          <w:sz w:val="16"/>
          <w:szCs w:val="16"/>
          <w:lang w:val="en-US"/>
        </w:rPr>
        <w:t xml:space="preserve"> Main characteristics of </w:t>
      </w:r>
      <w:r>
        <w:rPr>
          <w:rFonts w:ascii="Times New Roman" w:hAnsi="Times New Roman" w:cs="Times New Roman"/>
          <w:sz w:val="16"/>
          <w:szCs w:val="16"/>
          <w:lang w:val="en-US"/>
        </w:rPr>
        <w:t xml:space="preserve">the </w:t>
      </w:r>
      <w:r w:rsidR="00D80B89">
        <w:rPr>
          <w:rFonts w:ascii="Times New Roman" w:hAnsi="Times New Roman" w:cs="Times New Roman"/>
          <w:sz w:val="16"/>
          <w:szCs w:val="16"/>
          <w:lang w:val="en-US"/>
        </w:rPr>
        <w:t>model</w:t>
      </w:r>
      <w:r>
        <w:rPr>
          <w:rFonts w:ascii="Times New Roman" w:hAnsi="Times New Roman" w:cs="Times New Roman"/>
          <w:sz w:val="16"/>
          <w:szCs w:val="16"/>
          <w:lang w:val="en-US"/>
        </w:rPr>
        <w:t xml:space="preserve"> </w:t>
      </w:r>
      <w:proofErr w:type="spellStart"/>
      <w:r w:rsidRPr="007148F8">
        <w:rPr>
          <w:rFonts w:ascii="Times New Roman" w:hAnsi="Times New Roman" w:cs="Times New Roman"/>
          <w:sz w:val="16"/>
          <w:szCs w:val="16"/>
          <w:lang w:val="en-US"/>
        </w:rPr>
        <w:t>polysiloxane</w:t>
      </w:r>
      <w:r>
        <w:rPr>
          <w:rFonts w:ascii="Times New Roman" w:hAnsi="Times New Roman" w:cs="Times New Roman"/>
          <w:sz w:val="16"/>
          <w:szCs w:val="16"/>
          <w:lang w:val="en-US"/>
        </w:rPr>
        <w:t>–</w:t>
      </w:r>
      <w:r w:rsidRPr="007148F8">
        <w:rPr>
          <w:rFonts w:ascii="Times New Roman" w:hAnsi="Times New Roman" w:cs="Times New Roman"/>
          <w:sz w:val="16"/>
          <w:szCs w:val="16"/>
          <w:lang w:val="en-US"/>
        </w:rPr>
        <w:t>ureas</w:t>
      </w:r>
      <w:proofErr w:type="spellEnd"/>
    </w:p>
    <w:tbl>
      <w:tblPr>
        <w:tblStyle w:val="af2"/>
        <w:tblW w:w="484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14"/>
        <w:gridCol w:w="1121"/>
        <w:gridCol w:w="1392"/>
        <w:gridCol w:w="657"/>
        <w:gridCol w:w="862"/>
      </w:tblGrid>
      <w:tr w:rsidR="00FA1F57" w:rsidRPr="00407EBA" w:rsidTr="00456305">
        <w:trPr>
          <w:trHeight w:val="268"/>
          <w:jc w:val="center"/>
        </w:trPr>
        <w:tc>
          <w:tcPr>
            <w:tcW w:w="714" w:type="dxa"/>
            <w:tcBorders>
              <w:top w:val="single" w:sz="4" w:space="0" w:color="auto"/>
              <w:bottom w:val="single" w:sz="4" w:space="0" w:color="auto"/>
            </w:tcBorders>
            <w:vAlign w:val="center"/>
          </w:tcPr>
          <w:p w:rsidR="00FA1F57" w:rsidRPr="00407EBA" w:rsidRDefault="00FA1F57" w:rsidP="00456305">
            <w:pPr>
              <w:pStyle w:val="MainText"/>
              <w:widowControl w:val="0"/>
              <w:ind w:firstLine="0"/>
              <w:jc w:val="center"/>
              <w:rPr>
                <w:sz w:val="16"/>
                <w:szCs w:val="16"/>
              </w:rPr>
            </w:pPr>
            <w:proofErr w:type="spellStart"/>
            <w:r w:rsidRPr="00407EBA">
              <w:rPr>
                <w:rFonts w:eastAsia="Calibri"/>
                <w:sz w:val="16"/>
                <w:szCs w:val="16"/>
              </w:rPr>
              <w:t>PSUr</w:t>
            </w:r>
            <w:proofErr w:type="spellEnd"/>
          </w:p>
        </w:tc>
        <w:tc>
          <w:tcPr>
            <w:tcW w:w="1121" w:type="dxa"/>
            <w:tcBorders>
              <w:top w:val="single" w:sz="4" w:space="0" w:color="auto"/>
              <w:bottom w:val="single" w:sz="4" w:space="0" w:color="auto"/>
            </w:tcBorders>
            <w:vAlign w:val="center"/>
          </w:tcPr>
          <w:p w:rsidR="00FA1F57" w:rsidRPr="00407EBA" w:rsidRDefault="00FA1F57" w:rsidP="00456305">
            <w:pPr>
              <w:pStyle w:val="MainText"/>
              <w:widowControl w:val="0"/>
              <w:ind w:firstLine="0"/>
              <w:jc w:val="center"/>
              <w:rPr>
                <w:sz w:val="16"/>
                <w:szCs w:val="16"/>
                <w:lang w:val="ru-RU"/>
              </w:rPr>
            </w:pPr>
            <w:proofErr w:type="spellStart"/>
            <w:r w:rsidRPr="00407EBA">
              <w:rPr>
                <w:rFonts w:eastAsia="Calibri"/>
                <w:sz w:val="16"/>
                <w:szCs w:val="16"/>
                <w:lang w:val="ru-RU"/>
              </w:rPr>
              <w:t>Catalyst</w:t>
            </w:r>
            <w:proofErr w:type="spellEnd"/>
          </w:p>
        </w:tc>
        <w:tc>
          <w:tcPr>
            <w:tcW w:w="1392" w:type="dxa"/>
            <w:tcBorders>
              <w:top w:val="single" w:sz="4" w:space="0" w:color="auto"/>
              <w:bottom w:val="single" w:sz="4" w:space="0" w:color="auto"/>
            </w:tcBorders>
            <w:vAlign w:val="center"/>
          </w:tcPr>
          <w:p w:rsidR="00FA1F57" w:rsidRPr="00407EBA" w:rsidRDefault="00FA1F57" w:rsidP="00456305">
            <w:pPr>
              <w:pStyle w:val="MainText"/>
              <w:widowControl w:val="0"/>
              <w:ind w:firstLine="0"/>
              <w:jc w:val="center"/>
              <w:rPr>
                <w:sz w:val="16"/>
                <w:szCs w:val="16"/>
                <w:lang w:val="ru-RU"/>
              </w:rPr>
            </w:pPr>
            <w:r w:rsidRPr="00407EBA">
              <w:rPr>
                <w:rFonts w:eastAsia="Calibri"/>
                <w:sz w:val="16"/>
                <w:szCs w:val="16"/>
                <w:lang w:val="hu-HU"/>
              </w:rPr>
              <w:t>Gel</w:t>
            </w:r>
            <w:r>
              <w:rPr>
                <w:rFonts w:eastAsia="Calibri"/>
                <w:sz w:val="16"/>
                <w:szCs w:val="16"/>
                <w:lang w:val="hu-HU"/>
              </w:rPr>
              <w:t xml:space="preserve"> </w:t>
            </w:r>
            <w:r w:rsidRPr="00407EBA">
              <w:rPr>
                <w:rFonts w:eastAsia="Calibri"/>
                <w:sz w:val="16"/>
                <w:szCs w:val="16"/>
                <w:lang w:val="hu-HU"/>
              </w:rPr>
              <w:t>fraction, %</w:t>
            </w:r>
          </w:p>
        </w:tc>
        <w:tc>
          <w:tcPr>
            <w:tcW w:w="657" w:type="dxa"/>
            <w:tcBorders>
              <w:top w:val="single" w:sz="4" w:space="0" w:color="auto"/>
              <w:bottom w:val="single" w:sz="4" w:space="0" w:color="auto"/>
            </w:tcBorders>
            <w:vAlign w:val="center"/>
          </w:tcPr>
          <w:p w:rsidR="00FA1F57" w:rsidRPr="00407EBA" w:rsidRDefault="008D771C" w:rsidP="00456305">
            <w:pPr>
              <w:pStyle w:val="MainText"/>
              <w:widowControl w:val="0"/>
              <w:ind w:firstLine="0"/>
              <w:jc w:val="center"/>
              <w:rPr>
                <w:sz w:val="16"/>
                <w:szCs w:val="16"/>
                <w:lang w:val="ru-RU"/>
              </w:rPr>
            </w:pPr>
            <w:r>
              <w:rPr>
                <w:i/>
                <w:iCs/>
                <w:sz w:val="16"/>
                <w:szCs w:val="16"/>
              </w:rPr>
              <w:t>ε</w:t>
            </w:r>
            <w:r w:rsidR="00FA1F57" w:rsidRPr="00407EBA">
              <w:rPr>
                <w:rFonts w:eastAsia="Calibri"/>
                <w:sz w:val="16"/>
                <w:szCs w:val="16"/>
                <w:lang w:val="hu-HU"/>
              </w:rPr>
              <w:t>, %</w:t>
            </w:r>
          </w:p>
        </w:tc>
        <w:tc>
          <w:tcPr>
            <w:tcW w:w="862" w:type="dxa"/>
            <w:tcBorders>
              <w:top w:val="single" w:sz="4" w:space="0" w:color="auto"/>
              <w:bottom w:val="single" w:sz="4" w:space="0" w:color="auto"/>
            </w:tcBorders>
            <w:vAlign w:val="center"/>
          </w:tcPr>
          <w:p w:rsidR="00FA1F57" w:rsidRPr="00407EBA" w:rsidRDefault="00FA1F57" w:rsidP="00456305">
            <w:pPr>
              <w:pStyle w:val="MainText"/>
              <w:widowControl w:val="0"/>
              <w:ind w:firstLine="0"/>
              <w:jc w:val="center"/>
              <w:rPr>
                <w:sz w:val="16"/>
                <w:szCs w:val="16"/>
                <w:lang w:val="ru-RU"/>
              </w:rPr>
            </w:pPr>
            <w:r>
              <w:rPr>
                <w:rFonts w:eastAsia="Calibri"/>
                <w:i/>
                <w:iCs/>
                <w:sz w:val="16"/>
                <w:szCs w:val="16"/>
                <w:lang w:val="hu-HU"/>
              </w:rPr>
              <w:t>σ</w:t>
            </w:r>
            <w:r w:rsidRPr="00407EBA">
              <w:rPr>
                <w:rFonts w:eastAsia="Calibri"/>
                <w:sz w:val="16"/>
                <w:szCs w:val="16"/>
                <w:lang w:val="hu-HU"/>
              </w:rPr>
              <w:t xml:space="preserve">, </w:t>
            </w:r>
            <w:r>
              <w:rPr>
                <w:rFonts w:eastAsia="Calibri"/>
                <w:sz w:val="16"/>
                <w:szCs w:val="16"/>
                <w:lang w:val="hu-HU"/>
              </w:rPr>
              <w:t>MPA</w:t>
            </w:r>
          </w:p>
        </w:tc>
      </w:tr>
      <w:tr w:rsidR="00FA1F57" w:rsidRPr="00407EBA" w:rsidTr="00456305">
        <w:trPr>
          <w:trHeight w:val="227"/>
          <w:jc w:val="center"/>
        </w:trPr>
        <w:tc>
          <w:tcPr>
            <w:tcW w:w="714" w:type="dxa"/>
            <w:tcBorders>
              <w:top w:val="single" w:sz="4" w:space="0" w:color="auto"/>
            </w:tcBorders>
            <w:vAlign w:val="center"/>
          </w:tcPr>
          <w:p w:rsidR="00FA1F57" w:rsidRPr="00407EBA" w:rsidRDefault="00FA1F57" w:rsidP="00456305">
            <w:pPr>
              <w:pStyle w:val="MainText"/>
              <w:widowControl w:val="0"/>
              <w:ind w:firstLine="0"/>
              <w:jc w:val="center"/>
              <w:rPr>
                <w:b/>
                <w:bCs/>
                <w:sz w:val="16"/>
                <w:szCs w:val="16"/>
              </w:rPr>
            </w:pPr>
            <w:r w:rsidRPr="00407EBA">
              <w:rPr>
                <w:rFonts w:eastAsia="Calibri"/>
                <w:b/>
                <w:bCs/>
                <w:sz w:val="16"/>
                <w:szCs w:val="16"/>
              </w:rPr>
              <w:t>1</w:t>
            </w:r>
          </w:p>
        </w:tc>
        <w:tc>
          <w:tcPr>
            <w:tcW w:w="1121" w:type="dxa"/>
            <w:tcBorders>
              <w:top w:val="single" w:sz="4" w:space="0" w:color="auto"/>
            </w:tcBorders>
            <w:vAlign w:val="center"/>
          </w:tcPr>
          <w:p w:rsidR="00FA1F57" w:rsidRPr="00407EBA" w:rsidRDefault="00FA1F57" w:rsidP="00456305">
            <w:pPr>
              <w:pStyle w:val="MainText"/>
              <w:widowControl w:val="0"/>
              <w:ind w:firstLine="0"/>
              <w:jc w:val="center"/>
              <w:rPr>
                <w:sz w:val="16"/>
                <w:szCs w:val="16"/>
              </w:rPr>
            </w:pPr>
            <w:r w:rsidRPr="00407EBA">
              <w:rPr>
                <w:rFonts w:eastAsia="Calibri"/>
                <w:sz w:val="16"/>
                <w:szCs w:val="16"/>
              </w:rPr>
              <w:t>DBTL</w:t>
            </w:r>
          </w:p>
        </w:tc>
        <w:tc>
          <w:tcPr>
            <w:tcW w:w="1392" w:type="dxa"/>
            <w:tcBorders>
              <w:top w:val="single" w:sz="4" w:space="0" w:color="auto"/>
            </w:tcBorders>
            <w:vAlign w:val="center"/>
          </w:tcPr>
          <w:p w:rsidR="00FA1F57" w:rsidRPr="00407EBA" w:rsidRDefault="00FA1F57" w:rsidP="00456305">
            <w:pPr>
              <w:pStyle w:val="MainText"/>
              <w:widowControl w:val="0"/>
              <w:ind w:firstLine="0"/>
              <w:jc w:val="center"/>
              <w:rPr>
                <w:sz w:val="16"/>
                <w:szCs w:val="16"/>
              </w:rPr>
            </w:pPr>
            <w:r w:rsidRPr="00407EBA">
              <w:rPr>
                <w:rFonts w:eastAsia="Calibri"/>
                <w:sz w:val="16"/>
                <w:szCs w:val="16"/>
              </w:rPr>
              <w:t>91</w:t>
            </w:r>
          </w:p>
        </w:tc>
        <w:tc>
          <w:tcPr>
            <w:tcW w:w="657" w:type="dxa"/>
            <w:tcBorders>
              <w:top w:val="single" w:sz="4" w:space="0" w:color="auto"/>
            </w:tcBorders>
            <w:vAlign w:val="center"/>
          </w:tcPr>
          <w:p w:rsidR="00FA1F57" w:rsidRPr="00407EBA" w:rsidRDefault="00FA1F57" w:rsidP="00456305">
            <w:pPr>
              <w:pStyle w:val="MainText"/>
              <w:widowControl w:val="0"/>
              <w:ind w:firstLine="0"/>
              <w:jc w:val="center"/>
              <w:rPr>
                <w:sz w:val="16"/>
                <w:szCs w:val="16"/>
              </w:rPr>
            </w:pPr>
            <w:r w:rsidRPr="00407EBA">
              <w:rPr>
                <w:rFonts w:eastAsia="Calibri"/>
                <w:sz w:val="16"/>
                <w:szCs w:val="16"/>
              </w:rPr>
              <w:t>45</w:t>
            </w:r>
          </w:p>
        </w:tc>
        <w:tc>
          <w:tcPr>
            <w:tcW w:w="862" w:type="dxa"/>
            <w:tcBorders>
              <w:top w:val="single" w:sz="4" w:space="0" w:color="auto"/>
            </w:tcBorders>
            <w:vAlign w:val="center"/>
          </w:tcPr>
          <w:p w:rsidR="00FA1F57" w:rsidRPr="00407EBA" w:rsidRDefault="00FA1F57" w:rsidP="00456305">
            <w:pPr>
              <w:pStyle w:val="MainText"/>
              <w:widowControl w:val="0"/>
              <w:ind w:firstLine="0"/>
              <w:jc w:val="center"/>
              <w:rPr>
                <w:sz w:val="16"/>
                <w:szCs w:val="16"/>
              </w:rPr>
            </w:pPr>
            <w:r w:rsidRPr="00407EBA">
              <w:rPr>
                <w:rFonts w:eastAsia="Calibri"/>
                <w:sz w:val="16"/>
                <w:szCs w:val="16"/>
              </w:rPr>
              <w:t>3.5</w:t>
            </w:r>
          </w:p>
        </w:tc>
      </w:tr>
      <w:tr w:rsidR="00FA1F57" w:rsidRPr="00407EBA" w:rsidTr="00456305">
        <w:trPr>
          <w:trHeight w:val="227"/>
          <w:jc w:val="center"/>
        </w:trPr>
        <w:tc>
          <w:tcPr>
            <w:tcW w:w="714" w:type="dxa"/>
            <w:vAlign w:val="center"/>
          </w:tcPr>
          <w:p w:rsidR="00FA1F57" w:rsidRPr="00407EBA" w:rsidRDefault="00FA1F57" w:rsidP="00456305">
            <w:pPr>
              <w:pStyle w:val="MainText"/>
              <w:widowControl w:val="0"/>
              <w:ind w:firstLine="0"/>
              <w:jc w:val="center"/>
              <w:rPr>
                <w:b/>
                <w:bCs/>
                <w:sz w:val="16"/>
                <w:szCs w:val="16"/>
              </w:rPr>
            </w:pPr>
            <w:r w:rsidRPr="00407EBA">
              <w:rPr>
                <w:rFonts w:eastAsia="Calibri"/>
                <w:b/>
                <w:bCs/>
                <w:sz w:val="16"/>
                <w:szCs w:val="16"/>
              </w:rPr>
              <w:t>2</w:t>
            </w:r>
          </w:p>
        </w:tc>
        <w:tc>
          <w:tcPr>
            <w:tcW w:w="1121" w:type="dxa"/>
            <w:vAlign w:val="center"/>
          </w:tcPr>
          <w:p w:rsidR="00FA1F57" w:rsidRPr="00407EBA" w:rsidRDefault="00FA1F57" w:rsidP="00456305">
            <w:pPr>
              <w:pStyle w:val="MainText"/>
              <w:widowControl w:val="0"/>
              <w:ind w:firstLine="0"/>
              <w:jc w:val="center"/>
              <w:rPr>
                <w:sz w:val="16"/>
                <w:szCs w:val="16"/>
              </w:rPr>
            </w:pPr>
            <w:r w:rsidRPr="00407EBA">
              <w:rPr>
                <w:rFonts w:eastAsia="Calibri"/>
                <w:sz w:val="16"/>
                <w:szCs w:val="16"/>
              </w:rPr>
              <w:t>Bi</w:t>
            </w:r>
            <w:r w:rsidRPr="00407EBA">
              <w:rPr>
                <w:rFonts w:eastAsia="Calibri"/>
                <w:sz w:val="16"/>
                <w:szCs w:val="16"/>
              </w:rPr>
              <w:noBreakHyphen/>
              <w:t>NDE</w:t>
            </w:r>
          </w:p>
        </w:tc>
        <w:tc>
          <w:tcPr>
            <w:tcW w:w="1392" w:type="dxa"/>
            <w:vAlign w:val="center"/>
          </w:tcPr>
          <w:p w:rsidR="00FA1F57" w:rsidRPr="00407EBA" w:rsidRDefault="00FA1F57" w:rsidP="00456305">
            <w:pPr>
              <w:pStyle w:val="MainText"/>
              <w:widowControl w:val="0"/>
              <w:ind w:firstLine="0"/>
              <w:jc w:val="center"/>
              <w:rPr>
                <w:sz w:val="16"/>
                <w:szCs w:val="16"/>
              </w:rPr>
            </w:pPr>
            <w:r w:rsidRPr="00407EBA">
              <w:rPr>
                <w:rFonts w:eastAsia="Calibri"/>
                <w:sz w:val="16"/>
                <w:szCs w:val="16"/>
              </w:rPr>
              <w:t>88</w:t>
            </w:r>
          </w:p>
        </w:tc>
        <w:tc>
          <w:tcPr>
            <w:tcW w:w="657" w:type="dxa"/>
            <w:vAlign w:val="center"/>
          </w:tcPr>
          <w:p w:rsidR="00FA1F57" w:rsidRPr="00407EBA" w:rsidRDefault="00FA1F57" w:rsidP="00456305">
            <w:pPr>
              <w:pStyle w:val="MainText"/>
              <w:widowControl w:val="0"/>
              <w:ind w:firstLine="0"/>
              <w:jc w:val="center"/>
              <w:rPr>
                <w:sz w:val="16"/>
                <w:szCs w:val="16"/>
              </w:rPr>
            </w:pPr>
            <w:r w:rsidRPr="00407EBA">
              <w:rPr>
                <w:rFonts w:eastAsia="Calibri"/>
                <w:sz w:val="16"/>
                <w:szCs w:val="16"/>
              </w:rPr>
              <w:t>120</w:t>
            </w:r>
          </w:p>
        </w:tc>
        <w:tc>
          <w:tcPr>
            <w:tcW w:w="862" w:type="dxa"/>
            <w:vAlign w:val="center"/>
          </w:tcPr>
          <w:p w:rsidR="00FA1F57" w:rsidRPr="00407EBA" w:rsidRDefault="00FA1F57" w:rsidP="00456305">
            <w:pPr>
              <w:pStyle w:val="MainText"/>
              <w:widowControl w:val="0"/>
              <w:ind w:firstLine="0"/>
              <w:jc w:val="center"/>
              <w:rPr>
                <w:sz w:val="16"/>
                <w:szCs w:val="16"/>
                <w:lang w:val="ru-RU"/>
              </w:rPr>
            </w:pPr>
            <w:r w:rsidRPr="00407EBA">
              <w:rPr>
                <w:rFonts w:eastAsia="Calibri"/>
                <w:sz w:val="16"/>
                <w:szCs w:val="16"/>
                <w:lang w:val="ru-RU"/>
              </w:rPr>
              <w:t>3</w:t>
            </w:r>
            <w:r w:rsidRPr="00407EBA">
              <w:rPr>
                <w:rFonts w:eastAsia="Calibri"/>
                <w:sz w:val="16"/>
                <w:szCs w:val="16"/>
              </w:rPr>
              <w:t>.</w:t>
            </w:r>
            <w:r w:rsidRPr="00407EBA">
              <w:rPr>
                <w:rFonts w:eastAsia="Calibri"/>
                <w:sz w:val="16"/>
                <w:szCs w:val="16"/>
                <w:lang w:val="ru-RU"/>
              </w:rPr>
              <w:t>0</w:t>
            </w:r>
          </w:p>
        </w:tc>
      </w:tr>
      <w:tr w:rsidR="00FA1F57" w:rsidRPr="00407EBA" w:rsidTr="00456305">
        <w:trPr>
          <w:trHeight w:val="227"/>
          <w:jc w:val="center"/>
        </w:trPr>
        <w:tc>
          <w:tcPr>
            <w:tcW w:w="714" w:type="dxa"/>
            <w:tcBorders>
              <w:bottom w:val="single" w:sz="4" w:space="0" w:color="auto"/>
            </w:tcBorders>
            <w:vAlign w:val="center"/>
          </w:tcPr>
          <w:p w:rsidR="00FA1F57" w:rsidRPr="00407EBA" w:rsidRDefault="00FA1F57" w:rsidP="00456305">
            <w:pPr>
              <w:pStyle w:val="MainText"/>
              <w:widowControl w:val="0"/>
              <w:ind w:firstLine="0"/>
              <w:jc w:val="center"/>
              <w:rPr>
                <w:b/>
                <w:bCs/>
                <w:sz w:val="16"/>
                <w:szCs w:val="16"/>
              </w:rPr>
            </w:pPr>
            <w:r w:rsidRPr="00407EBA">
              <w:rPr>
                <w:rFonts w:eastAsia="Calibri"/>
                <w:b/>
                <w:bCs/>
                <w:sz w:val="16"/>
                <w:szCs w:val="16"/>
              </w:rPr>
              <w:t>3</w:t>
            </w:r>
          </w:p>
        </w:tc>
        <w:tc>
          <w:tcPr>
            <w:tcW w:w="1121" w:type="dxa"/>
            <w:tcBorders>
              <w:bottom w:val="single" w:sz="4" w:space="0" w:color="auto"/>
            </w:tcBorders>
            <w:vAlign w:val="center"/>
          </w:tcPr>
          <w:p w:rsidR="00FA1F57" w:rsidRPr="00407EBA" w:rsidRDefault="00FA1F57" w:rsidP="00456305">
            <w:pPr>
              <w:pStyle w:val="MainText"/>
              <w:widowControl w:val="0"/>
              <w:ind w:firstLine="0"/>
              <w:jc w:val="center"/>
              <w:rPr>
                <w:sz w:val="16"/>
                <w:szCs w:val="16"/>
              </w:rPr>
            </w:pPr>
            <w:r w:rsidRPr="00407EBA">
              <w:rPr>
                <w:rFonts w:eastAsia="Calibri"/>
                <w:sz w:val="16"/>
                <w:szCs w:val="16"/>
              </w:rPr>
              <w:t>DETC</w:t>
            </w:r>
          </w:p>
        </w:tc>
        <w:tc>
          <w:tcPr>
            <w:tcW w:w="1392" w:type="dxa"/>
            <w:tcBorders>
              <w:bottom w:val="single" w:sz="4" w:space="0" w:color="auto"/>
            </w:tcBorders>
            <w:vAlign w:val="center"/>
          </w:tcPr>
          <w:p w:rsidR="00FA1F57" w:rsidRPr="00407EBA" w:rsidRDefault="00FA1F57" w:rsidP="00456305">
            <w:pPr>
              <w:pStyle w:val="MainText"/>
              <w:widowControl w:val="0"/>
              <w:ind w:firstLine="0"/>
              <w:jc w:val="center"/>
              <w:rPr>
                <w:sz w:val="16"/>
                <w:szCs w:val="16"/>
              </w:rPr>
            </w:pPr>
            <w:r w:rsidRPr="00407EBA">
              <w:rPr>
                <w:rFonts w:eastAsia="Calibri"/>
                <w:sz w:val="16"/>
                <w:szCs w:val="16"/>
              </w:rPr>
              <w:t>91</w:t>
            </w:r>
          </w:p>
        </w:tc>
        <w:tc>
          <w:tcPr>
            <w:tcW w:w="657" w:type="dxa"/>
            <w:tcBorders>
              <w:bottom w:val="single" w:sz="4" w:space="0" w:color="auto"/>
            </w:tcBorders>
            <w:vAlign w:val="center"/>
          </w:tcPr>
          <w:p w:rsidR="00FA1F57" w:rsidRPr="00407EBA" w:rsidRDefault="00FA1F57" w:rsidP="00456305">
            <w:pPr>
              <w:pStyle w:val="MainText"/>
              <w:widowControl w:val="0"/>
              <w:ind w:firstLine="0"/>
              <w:jc w:val="center"/>
              <w:rPr>
                <w:sz w:val="16"/>
                <w:szCs w:val="16"/>
              </w:rPr>
            </w:pPr>
            <w:r w:rsidRPr="00407EBA">
              <w:rPr>
                <w:rFonts w:eastAsia="Calibri"/>
                <w:sz w:val="16"/>
                <w:szCs w:val="16"/>
              </w:rPr>
              <w:t>31</w:t>
            </w:r>
          </w:p>
        </w:tc>
        <w:tc>
          <w:tcPr>
            <w:tcW w:w="862" w:type="dxa"/>
            <w:tcBorders>
              <w:bottom w:val="single" w:sz="4" w:space="0" w:color="auto"/>
            </w:tcBorders>
            <w:vAlign w:val="center"/>
          </w:tcPr>
          <w:p w:rsidR="00FA1F57" w:rsidRPr="00407EBA" w:rsidRDefault="00FA1F57" w:rsidP="00456305">
            <w:pPr>
              <w:pStyle w:val="MainText"/>
              <w:widowControl w:val="0"/>
              <w:ind w:firstLine="0"/>
              <w:jc w:val="center"/>
              <w:rPr>
                <w:sz w:val="16"/>
                <w:szCs w:val="16"/>
              </w:rPr>
            </w:pPr>
            <w:r w:rsidRPr="00407EBA">
              <w:rPr>
                <w:rFonts w:eastAsia="Calibri"/>
                <w:sz w:val="16"/>
                <w:szCs w:val="16"/>
              </w:rPr>
              <w:t>3.8</w:t>
            </w:r>
          </w:p>
        </w:tc>
      </w:tr>
    </w:tbl>
    <w:p w:rsidR="001B3B62" w:rsidRDefault="005C74E4" w:rsidP="00FA1F57">
      <w:pPr>
        <w:spacing w:before="200" w:after="0"/>
        <w:ind w:firstLine="284"/>
        <w:jc w:val="both"/>
        <w:rPr>
          <w:rFonts w:ascii="Times New Roman" w:hAnsi="Times New Roman" w:cs="Times New Roman"/>
          <w:sz w:val="18"/>
          <w:szCs w:val="18"/>
          <w:lang w:val="en-US"/>
        </w:rPr>
      </w:pPr>
      <w:r w:rsidRPr="005C74E4">
        <w:rPr>
          <w:rFonts w:ascii="Times New Roman" w:hAnsi="Times New Roman" w:cs="Times New Roman"/>
          <w:sz w:val="18"/>
          <w:szCs w:val="18"/>
          <w:lang w:val="en-US"/>
        </w:rPr>
        <w:t>Fig</w:t>
      </w:r>
      <w:r w:rsidR="00FA1F57">
        <w:rPr>
          <w:rFonts w:ascii="Times New Roman" w:hAnsi="Times New Roman" w:cs="Times New Roman"/>
          <w:sz w:val="18"/>
          <w:szCs w:val="18"/>
          <w:lang w:val="en-US"/>
        </w:rPr>
        <w:t>ure</w:t>
      </w:r>
      <w:r w:rsidRPr="005C74E4">
        <w:rPr>
          <w:rFonts w:ascii="Times New Roman" w:hAnsi="Times New Roman" w:cs="Times New Roman"/>
          <w:sz w:val="18"/>
          <w:szCs w:val="18"/>
          <w:lang w:val="en-US"/>
        </w:rPr>
        <w:t xml:space="preserve"> S1 </w:t>
      </w:r>
      <w:r w:rsidR="00FA1F57">
        <w:rPr>
          <w:rFonts w:ascii="Times New Roman" w:hAnsi="Times New Roman" w:cs="Times New Roman"/>
          <w:sz w:val="18"/>
          <w:szCs w:val="18"/>
          <w:lang w:val="en-US"/>
        </w:rPr>
        <w:t xml:space="preserve">in the ESI </w:t>
      </w:r>
      <w:r w:rsidRPr="005C74E4">
        <w:rPr>
          <w:rFonts w:ascii="Times New Roman" w:hAnsi="Times New Roman" w:cs="Times New Roman"/>
          <w:sz w:val="18"/>
          <w:szCs w:val="18"/>
          <w:lang w:val="en-US"/>
        </w:rPr>
        <w:t>shows the stress</w:t>
      </w:r>
      <w:r w:rsidR="001703F6">
        <w:rPr>
          <w:rFonts w:ascii="Times New Roman" w:hAnsi="Times New Roman" w:cs="Times New Roman"/>
          <w:sz w:val="18"/>
          <w:szCs w:val="18"/>
          <w:lang w:val="en-US"/>
        </w:rPr>
        <w:t>–</w:t>
      </w:r>
      <w:r w:rsidRPr="005C74E4">
        <w:rPr>
          <w:rFonts w:ascii="Times New Roman" w:hAnsi="Times New Roman" w:cs="Times New Roman"/>
          <w:sz w:val="18"/>
          <w:szCs w:val="18"/>
          <w:lang w:val="en-US"/>
        </w:rPr>
        <w:t xml:space="preserve">strain curves of the </w:t>
      </w:r>
      <w:proofErr w:type="spellStart"/>
      <w:r w:rsidRPr="005C74E4">
        <w:rPr>
          <w:rFonts w:ascii="Times New Roman" w:hAnsi="Times New Roman" w:cs="Times New Roman"/>
          <w:sz w:val="18"/>
          <w:szCs w:val="18"/>
          <w:lang w:val="en-US"/>
        </w:rPr>
        <w:t>PSP</w:t>
      </w:r>
      <w:r w:rsidR="001703F6">
        <w:rPr>
          <w:rFonts w:ascii="Times New Roman" w:hAnsi="Times New Roman" w:cs="Times New Roman"/>
          <w:sz w:val="18"/>
          <w:szCs w:val="18"/>
          <w:lang w:val="en-US"/>
        </w:rPr>
        <w:t>O</w:t>
      </w:r>
      <w:r w:rsidRPr="005C74E4">
        <w:rPr>
          <w:rFonts w:ascii="Times New Roman" w:hAnsi="Times New Roman" w:cs="Times New Roman"/>
          <w:sz w:val="18"/>
          <w:szCs w:val="18"/>
          <w:lang w:val="en-US"/>
        </w:rPr>
        <w:t>UUrs</w:t>
      </w:r>
      <w:proofErr w:type="spellEnd"/>
      <w:r w:rsidR="001703F6">
        <w:rPr>
          <w:rFonts w:ascii="Times New Roman" w:hAnsi="Times New Roman" w:cs="Times New Roman"/>
          <w:sz w:val="18"/>
          <w:szCs w:val="18"/>
          <w:lang w:val="en-US"/>
        </w:rPr>
        <w:t xml:space="preserve"> explored</w:t>
      </w:r>
      <w:r w:rsidRPr="005C74E4">
        <w:rPr>
          <w:rFonts w:ascii="Times New Roman" w:hAnsi="Times New Roman" w:cs="Times New Roman"/>
          <w:sz w:val="18"/>
          <w:szCs w:val="18"/>
          <w:lang w:val="en-US"/>
        </w:rPr>
        <w:t xml:space="preserve">. It is </w:t>
      </w:r>
      <w:r w:rsidR="003A1F94">
        <w:rPr>
          <w:rFonts w:ascii="Times New Roman" w:hAnsi="Times New Roman" w:cs="Times New Roman"/>
          <w:sz w:val="18"/>
          <w:szCs w:val="18"/>
          <w:lang w:val="en-US"/>
        </w:rPr>
        <w:t xml:space="preserve">obvious </w:t>
      </w:r>
      <w:r w:rsidRPr="005C74E4">
        <w:rPr>
          <w:rFonts w:ascii="Times New Roman" w:hAnsi="Times New Roman" w:cs="Times New Roman"/>
          <w:sz w:val="18"/>
          <w:szCs w:val="18"/>
          <w:lang w:val="en-US"/>
        </w:rPr>
        <w:t xml:space="preserve">that the use of different catalysts affects the </w:t>
      </w:r>
      <w:r w:rsidR="006A0AAC" w:rsidRPr="005C74E4">
        <w:rPr>
          <w:rFonts w:ascii="Times New Roman" w:hAnsi="Times New Roman" w:cs="Times New Roman"/>
          <w:sz w:val="18"/>
          <w:szCs w:val="18"/>
          <w:lang w:val="en-US"/>
        </w:rPr>
        <w:t>stress</w:t>
      </w:r>
      <w:r w:rsidR="006A0AAC">
        <w:rPr>
          <w:rFonts w:ascii="Times New Roman" w:hAnsi="Times New Roman" w:cs="Times New Roman"/>
          <w:sz w:val="18"/>
          <w:szCs w:val="18"/>
          <w:lang w:val="en-US"/>
        </w:rPr>
        <w:t>–</w:t>
      </w:r>
      <w:r w:rsidR="006A0AAC" w:rsidRPr="005C74E4">
        <w:rPr>
          <w:rFonts w:ascii="Times New Roman" w:hAnsi="Times New Roman" w:cs="Times New Roman"/>
          <w:sz w:val="18"/>
          <w:szCs w:val="18"/>
          <w:lang w:val="en-US"/>
        </w:rPr>
        <w:t xml:space="preserve">strain </w:t>
      </w:r>
      <w:r w:rsidRPr="005C74E4">
        <w:rPr>
          <w:rFonts w:ascii="Times New Roman" w:hAnsi="Times New Roman" w:cs="Times New Roman"/>
          <w:sz w:val="18"/>
          <w:szCs w:val="18"/>
          <w:lang w:val="en-US"/>
        </w:rPr>
        <w:t>characteristics of the polymers (curves 1</w:t>
      </w:r>
      <w:r w:rsidR="006A0AAC">
        <w:rPr>
          <w:rFonts w:ascii="Times New Roman" w:hAnsi="Times New Roman" w:cs="Times New Roman"/>
          <w:sz w:val="18"/>
          <w:szCs w:val="18"/>
          <w:lang w:val="en-US"/>
        </w:rPr>
        <w:t>–</w:t>
      </w:r>
      <w:r w:rsidRPr="005C74E4">
        <w:rPr>
          <w:rFonts w:ascii="Times New Roman" w:hAnsi="Times New Roman" w:cs="Times New Roman"/>
          <w:sz w:val="18"/>
          <w:szCs w:val="18"/>
          <w:lang w:val="en-US"/>
        </w:rPr>
        <w:t xml:space="preserve">3). It should be noted that the use of Bi-ND (sample </w:t>
      </w:r>
      <w:proofErr w:type="spellStart"/>
      <w:r w:rsidRPr="005C74E4">
        <w:rPr>
          <w:rFonts w:ascii="Times New Roman" w:hAnsi="Times New Roman" w:cs="Times New Roman"/>
          <w:sz w:val="18"/>
          <w:szCs w:val="18"/>
          <w:lang w:val="en-US"/>
        </w:rPr>
        <w:t>PSP</w:t>
      </w:r>
      <w:r w:rsidR="006A0AAC">
        <w:rPr>
          <w:rFonts w:ascii="Times New Roman" w:hAnsi="Times New Roman" w:cs="Times New Roman"/>
          <w:sz w:val="18"/>
          <w:szCs w:val="18"/>
          <w:lang w:val="en-US"/>
        </w:rPr>
        <w:t>O</w:t>
      </w:r>
      <w:r w:rsidRPr="005C74E4">
        <w:rPr>
          <w:rFonts w:ascii="Times New Roman" w:hAnsi="Times New Roman" w:cs="Times New Roman"/>
          <w:sz w:val="18"/>
          <w:szCs w:val="18"/>
          <w:lang w:val="en-US"/>
        </w:rPr>
        <w:t>UUr</w:t>
      </w:r>
      <w:proofErr w:type="spellEnd"/>
      <w:r w:rsidRPr="005C74E4">
        <w:rPr>
          <w:rFonts w:ascii="Times New Roman" w:hAnsi="Times New Roman" w:cs="Times New Roman"/>
          <w:sz w:val="18"/>
          <w:szCs w:val="18"/>
          <w:lang w:val="en-US"/>
        </w:rPr>
        <w:t xml:space="preserve"> </w:t>
      </w:r>
      <w:r w:rsidRPr="006A0AAC">
        <w:rPr>
          <w:rFonts w:ascii="Times New Roman" w:hAnsi="Times New Roman" w:cs="Times New Roman"/>
          <w:b/>
          <w:bCs/>
          <w:sz w:val="18"/>
          <w:szCs w:val="18"/>
          <w:lang w:val="en-US"/>
        </w:rPr>
        <w:t>2</w:t>
      </w:r>
      <w:r w:rsidRPr="005C74E4">
        <w:rPr>
          <w:rFonts w:ascii="Times New Roman" w:hAnsi="Times New Roman" w:cs="Times New Roman"/>
          <w:sz w:val="18"/>
          <w:szCs w:val="18"/>
          <w:lang w:val="en-US"/>
        </w:rPr>
        <w:t>) leads to a decrease in the elastic modulus</w:t>
      </w:r>
      <w:r w:rsidR="006A0AAC">
        <w:rPr>
          <w:rFonts w:ascii="Times New Roman" w:hAnsi="Times New Roman" w:cs="Times New Roman"/>
          <w:sz w:val="18"/>
          <w:szCs w:val="18"/>
          <w:lang w:val="en-US"/>
        </w:rPr>
        <w:t xml:space="preserve"> and</w:t>
      </w:r>
      <w:r w:rsidRPr="005C74E4">
        <w:rPr>
          <w:rFonts w:ascii="Times New Roman" w:hAnsi="Times New Roman" w:cs="Times New Roman"/>
          <w:sz w:val="18"/>
          <w:szCs w:val="18"/>
          <w:lang w:val="en-US"/>
        </w:rPr>
        <w:t xml:space="preserve"> tensile strength</w:t>
      </w:r>
      <w:r w:rsidR="00E0763A">
        <w:rPr>
          <w:rFonts w:ascii="Times New Roman" w:hAnsi="Times New Roman" w:cs="Times New Roman"/>
          <w:sz w:val="18"/>
          <w:szCs w:val="18"/>
          <w:lang w:val="en-US"/>
        </w:rPr>
        <w:t xml:space="preserve">, as well as </w:t>
      </w:r>
      <w:r w:rsidRPr="005C74E4">
        <w:rPr>
          <w:rFonts w:ascii="Times New Roman" w:hAnsi="Times New Roman" w:cs="Times New Roman"/>
          <w:sz w:val="18"/>
          <w:szCs w:val="18"/>
          <w:lang w:val="en-US"/>
        </w:rPr>
        <w:t xml:space="preserve">an increase in the relative </w:t>
      </w:r>
      <w:r w:rsidR="00E0763A">
        <w:rPr>
          <w:rFonts w:ascii="Times New Roman" w:hAnsi="Times New Roman" w:cs="Times New Roman"/>
          <w:sz w:val="18"/>
          <w:szCs w:val="18"/>
          <w:lang w:val="en-US"/>
        </w:rPr>
        <w:t xml:space="preserve">elongation </w:t>
      </w:r>
      <w:r w:rsidRPr="005C74E4">
        <w:rPr>
          <w:rFonts w:ascii="Times New Roman" w:hAnsi="Times New Roman" w:cs="Times New Roman"/>
          <w:sz w:val="18"/>
          <w:szCs w:val="18"/>
          <w:lang w:val="en-US"/>
        </w:rPr>
        <w:t>at break (Table 1, Fig. S1</w:t>
      </w:r>
      <w:r w:rsidR="00E0763A">
        <w:rPr>
          <w:rFonts w:ascii="Times New Roman" w:hAnsi="Times New Roman" w:cs="Times New Roman"/>
          <w:sz w:val="18"/>
          <w:szCs w:val="18"/>
          <w:lang w:val="en-US"/>
        </w:rPr>
        <w:t xml:space="preserve"> in the ESI</w:t>
      </w:r>
      <w:r w:rsidRPr="005C74E4">
        <w:rPr>
          <w:rFonts w:ascii="Times New Roman" w:hAnsi="Times New Roman" w:cs="Times New Roman"/>
          <w:sz w:val="18"/>
          <w:szCs w:val="18"/>
          <w:lang w:val="en-US"/>
        </w:rPr>
        <w:t>)</w:t>
      </w:r>
      <w:r w:rsidR="00E0763A">
        <w:rPr>
          <w:rFonts w:ascii="Times New Roman" w:hAnsi="Times New Roman" w:cs="Times New Roman"/>
          <w:sz w:val="18"/>
          <w:szCs w:val="18"/>
          <w:lang w:val="en-US"/>
        </w:rPr>
        <w:t xml:space="preserve">. </w:t>
      </w:r>
      <w:r w:rsidR="004F73D8">
        <w:rPr>
          <w:rFonts w:ascii="Times New Roman" w:hAnsi="Times New Roman" w:cs="Times New Roman"/>
          <w:sz w:val="18"/>
          <w:szCs w:val="18"/>
          <w:lang w:val="en-US"/>
        </w:rPr>
        <w:t>Furthermore</w:t>
      </w:r>
      <w:r w:rsidRPr="005C74E4">
        <w:rPr>
          <w:rFonts w:ascii="Times New Roman" w:hAnsi="Times New Roman" w:cs="Times New Roman"/>
          <w:sz w:val="18"/>
          <w:szCs w:val="18"/>
          <w:lang w:val="en-US"/>
        </w:rPr>
        <w:t xml:space="preserve">, </w:t>
      </w:r>
      <w:r w:rsidR="004F73D8">
        <w:rPr>
          <w:rFonts w:ascii="Times New Roman" w:hAnsi="Times New Roman" w:cs="Times New Roman"/>
          <w:sz w:val="18"/>
          <w:szCs w:val="18"/>
          <w:lang w:val="en-US"/>
        </w:rPr>
        <w:t xml:space="preserve">in the case of </w:t>
      </w:r>
      <w:proofErr w:type="spellStart"/>
      <w:r w:rsidRPr="005C74E4">
        <w:rPr>
          <w:rFonts w:ascii="Times New Roman" w:hAnsi="Times New Roman" w:cs="Times New Roman"/>
          <w:sz w:val="18"/>
          <w:szCs w:val="18"/>
          <w:lang w:val="en-US"/>
        </w:rPr>
        <w:t>PSP</w:t>
      </w:r>
      <w:r w:rsidR="00E0763A">
        <w:rPr>
          <w:rFonts w:ascii="Times New Roman" w:hAnsi="Times New Roman" w:cs="Times New Roman"/>
          <w:sz w:val="18"/>
          <w:szCs w:val="18"/>
          <w:lang w:val="en-US"/>
        </w:rPr>
        <w:t>O</w:t>
      </w:r>
      <w:r w:rsidRPr="005C74E4">
        <w:rPr>
          <w:rFonts w:ascii="Times New Roman" w:hAnsi="Times New Roman" w:cs="Times New Roman"/>
          <w:sz w:val="18"/>
          <w:szCs w:val="18"/>
          <w:lang w:val="en-US"/>
        </w:rPr>
        <w:t>UUr</w:t>
      </w:r>
      <w:proofErr w:type="spellEnd"/>
      <w:r w:rsidRPr="005C74E4">
        <w:rPr>
          <w:rFonts w:ascii="Times New Roman" w:hAnsi="Times New Roman" w:cs="Times New Roman"/>
          <w:sz w:val="18"/>
          <w:szCs w:val="18"/>
          <w:lang w:val="en-US"/>
        </w:rPr>
        <w:t xml:space="preserve"> </w:t>
      </w:r>
      <w:r w:rsidRPr="00E0763A">
        <w:rPr>
          <w:rFonts w:ascii="Times New Roman" w:hAnsi="Times New Roman" w:cs="Times New Roman"/>
          <w:b/>
          <w:bCs/>
          <w:sz w:val="18"/>
          <w:szCs w:val="18"/>
          <w:lang w:val="en-US"/>
        </w:rPr>
        <w:t>2</w:t>
      </w:r>
      <w:r w:rsidRPr="005C74E4">
        <w:rPr>
          <w:rFonts w:ascii="Times New Roman" w:hAnsi="Times New Roman" w:cs="Times New Roman"/>
          <w:sz w:val="18"/>
          <w:szCs w:val="18"/>
          <w:lang w:val="en-US"/>
        </w:rPr>
        <w:t xml:space="preserve">, </w:t>
      </w:r>
      <w:r w:rsidR="004F73D8">
        <w:rPr>
          <w:rFonts w:ascii="Times New Roman" w:hAnsi="Times New Roman" w:cs="Times New Roman"/>
          <w:sz w:val="18"/>
          <w:szCs w:val="18"/>
          <w:lang w:val="en-US"/>
        </w:rPr>
        <w:t xml:space="preserve">the deformation of the material leads to its </w:t>
      </w:r>
      <w:r w:rsidRPr="005C74E4">
        <w:rPr>
          <w:rFonts w:ascii="Times New Roman" w:hAnsi="Times New Roman" w:cs="Times New Roman"/>
          <w:sz w:val="18"/>
          <w:szCs w:val="18"/>
          <w:lang w:val="en-US"/>
        </w:rPr>
        <w:t>strengthening. The samples synthesized using DBTL and DET</w:t>
      </w:r>
      <w:r w:rsidR="004F73D8">
        <w:rPr>
          <w:rFonts w:ascii="Times New Roman" w:hAnsi="Times New Roman" w:cs="Times New Roman"/>
          <w:sz w:val="18"/>
          <w:szCs w:val="18"/>
          <w:lang w:val="en-US"/>
        </w:rPr>
        <w:t>D</w:t>
      </w:r>
      <w:r w:rsidRPr="005C74E4">
        <w:rPr>
          <w:rFonts w:ascii="Times New Roman" w:hAnsi="Times New Roman" w:cs="Times New Roman"/>
          <w:sz w:val="18"/>
          <w:szCs w:val="18"/>
          <w:lang w:val="en-US"/>
        </w:rPr>
        <w:t xml:space="preserve">C have similar </w:t>
      </w:r>
      <w:r w:rsidR="004F73D8" w:rsidRPr="005C74E4">
        <w:rPr>
          <w:rFonts w:ascii="Times New Roman" w:hAnsi="Times New Roman" w:cs="Times New Roman"/>
          <w:sz w:val="18"/>
          <w:szCs w:val="18"/>
          <w:lang w:val="en-US"/>
        </w:rPr>
        <w:t>stress</w:t>
      </w:r>
      <w:r w:rsidR="004F73D8">
        <w:rPr>
          <w:rFonts w:ascii="Times New Roman" w:hAnsi="Times New Roman" w:cs="Times New Roman"/>
          <w:sz w:val="18"/>
          <w:szCs w:val="18"/>
          <w:lang w:val="en-US"/>
        </w:rPr>
        <w:t>–</w:t>
      </w:r>
      <w:r w:rsidR="004F73D8" w:rsidRPr="005C74E4">
        <w:rPr>
          <w:rFonts w:ascii="Times New Roman" w:hAnsi="Times New Roman" w:cs="Times New Roman"/>
          <w:sz w:val="18"/>
          <w:szCs w:val="18"/>
          <w:lang w:val="en-US"/>
        </w:rPr>
        <w:t>strain</w:t>
      </w:r>
      <w:r w:rsidRPr="005C74E4">
        <w:rPr>
          <w:rFonts w:ascii="Times New Roman" w:hAnsi="Times New Roman" w:cs="Times New Roman"/>
          <w:sz w:val="18"/>
          <w:szCs w:val="18"/>
          <w:lang w:val="en-US"/>
        </w:rPr>
        <w:t xml:space="preserve"> characteristics and the degree of cross</w:t>
      </w:r>
      <w:r w:rsidR="004F73D8">
        <w:rPr>
          <w:rFonts w:ascii="Times New Roman" w:hAnsi="Times New Roman" w:cs="Times New Roman"/>
          <w:sz w:val="18"/>
          <w:szCs w:val="18"/>
          <w:lang w:val="en-US"/>
        </w:rPr>
        <w:t>-</w:t>
      </w:r>
      <w:r w:rsidRPr="005C74E4">
        <w:rPr>
          <w:rFonts w:ascii="Times New Roman" w:hAnsi="Times New Roman" w:cs="Times New Roman"/>
          <w:sz w:val="18"/>
          <w:szCs w:val="18"/>
          <w:lang w:val="en-US"/>
        </w:rPr>
        <w:t xml:space="preserve">linking. Similar dependences </w:t>
      </w:r>
      <w:r w:rsidR="00EC6A2F">
        <w:rPr>
          <w:rFonts w:ascii="Times New Roman" w:hAnsi="Times New Roman" w:cs="Times New Roman"/>
          <w:sz w:val="18"/>
          <w:szCs w:val="18"/>
          <w:lang w:val="en-US"/>
        </w:rPr>
        <w:t>we</w:t>
      </w:r>
      <w:r w:rsidRPr="005C74E4">
        <w:rPr>
          <w:rFonts w:ascii="Times New Roman" w:hAnsi="Times New Roman" w:cs="Times New Roman"/>
          <w:sz w:val="18"/>
          <w:szCs w:val="18"/>
          <w:lang w:val="en-US"/>
        </w:rPr>
        <w:t xml:space="preserve">re </w:t>
      </w:r>
      <w:r w:rsidR="00B62F65">
        <w:rPr>
          <w:rFonts w:ascii="Times New Roman" w:hAnsi="Times New Roman" w:cs="Times New Roman"/>
          <w:sz w:val="18"/>
          <w:szCs w:val="18"/>
          <w:lang w:val="en-US"/>
        </w:rPr>
        <w:t xml:space="preserve">also </w:t>
      </w:r>
      <w:r w:rsidRPr="005C74E4">
        <w:rPr>
          <w:rFonts w:ascii="Times New Roman" w:hAnsi="Times New Roman" w:cs="Times New Roman"/>
          <w:sz w:val="18"/>
          <w:szCs w:val="18"/>
          <w:lang w:val="en-US"/>
        </w:rPr>
        <w:t xml:space="preserve">observed for </w:t>
      </w:r>
      <w:proofErr w:type="spellStart"/>
      <w:r w:rsidRPr="005C74E4">
        <w:rPr>
          <w:rFonts w:ascii="Times New Roman" w:hAnsi="Times New Roman" w:cs="Times New Roman"/>
          <w:sz w:val="18"/>
          <w:szCs w:val="18"/>
          <w:lang w:val="en-US"/>
        </w:rPr>
        <w:t>PSUrs</w:t>
      </w:r>
      <w:proofErr w:type="spellEnd"/>
      <w:r w:rsidRPr="005C74E4">
        <w:rPr>
          <w:rFonts w:ascii="Times New Roman" w:hAnsi="Times New Roman" w:cs="Times New Roman"/>
          <w:sz w:val="18"/>
          <w:szCs w:val="18"/>
          <w:lang w:val="en-US"/>
        </w:rPr>
        <w:t xml:space="preserve">. </w:t>
      </w:r>
      <w:proofErr w:type="spellStart"/>
      <w:r w:rsidRPr="005C74E4">
        <w:rPr>
          <w:rFonts w:ascii="Times New Roman" w:hAnsi="Times New Roman" w:cs="Times New Roman"/>
          <w:sz w:val="18"/>
          <w:szCs w:val="18"/>
          <w:lang w:val="en-US"/>
        </w:rPr>
        <w:t>PSUr</w:t>
      </w:r>
      <w:proofErr w:type="spellEnd"/>
      <w:r w:rsidRPr="005C74E4">
        <w:rPr>
          <w:rFonts w:ascii="Times New Roman" w:hAnsi="Times New Roman" w:cs="Times New Roman"/>
          <w:sz w:val="18"/>
          <w:szCs w:val="18"/>
          <w:lang w:val="en-US"/>
        </w:rPr>
        <w:t xml:space="preserve"> </w:t>
      </w:r>
      <w:r w:rsidRPr="00B62F65">
        <w:rPr>
          <w:rFonts w:ascii="Times New Roman" w:hAnsi="Times New Roman" w:cs="Times New Roman"/>
          <w:b/>
          <w:bCs/>
          <w:sz w:val="18"/>
          <w:szCs w:val="18"/>
          <w:lang w:val="en-US"/>
        </w:rPr>
        <w:t>2</w:t>
      </w:r>
      <w:r w:rsidRPr="005C74E4">
        <w:rPr>
          <w:rFonts w:ascii="Times New Roman" w:hAnsi="Times New Roman" w:cs="Times New Roman"/>
          <w:sz w:val="18"/>
          <w:szCs w:val="18"/>
          <w:lang w:val="en-US"/>
        </w:rPr>
        <w:t xml:space="preserve"> synthesized in the presence of Bi-ND </w:t>
      </w:r>
      <w:r w:rsidR="005C1614">
        <w:rPr>
          <w:rFonts w:ascii="Times New Roman" w:hAnsi="Times New Roman" w:cs="Times New Roman"/>
          <w:sz w:val="18"/>
          <w:szCs w:val="18"/>
          <w:lang w:val="en-US"/>
        </w:rPr>
        <w:t>showed</w:t>
      </w:r>
      <w:r w:rsidRPr="005C74E4">
        <w:rPr>
          <w:rFonts w:ascii="Times New Roman" w:hAnsi="Times New Roman" w:cs="Times New Roman"/>
          <w:sz w:val="18"/>
          <w:szCs w:val="18"/>
          <w:lang w:val="en-US"/>
        </w:rPr>
        <w:t xml:space="preserve"> a much higher relative elongation </w:t>
      </w:r>
      <w:r w:rsidR="005C1614">
        <w:rPr>
          <w:rFonts w:ascii="Times New Roman" w:hAnsi="Times New Roman" w:cs="Times New Roman"/>
          <w:sz w:val="18"/>
          <w:szCs w:val="18"/>
          <w:lang w:val="en-US"/>
        </w:rPr>
        <w:t xml:space="preserve">value </w:t>
      </w:r>
      <w:r w:rsidRPr="005C74E4">
        <w:rPr>
          <w:rFonts w:ascii="Times New Roman" w:hAnsi="Times New Roman" w:cs="Times New Roman"/>
          <w:sz w:val="18"/>
          <w:szCs w:val="18"/>
          <w:lang w:val="en-US"/>
        </w:rPr>
        <w:t>and slightly lower gel fraction and tensile strength (Table 2). This is probably due to the lower efficiency of this catalyst in the network structure formation.</w:t>
      </w:r>
    </w:p>
    <w:p w:rsidR="005C74E4" w:rsidRPr="005C74E4" w:rsidRDefault="005C1614" w:rsidP="005C74E4">
      <w:pPr>
        <w:spacing w:after="0"/>
        <w:ind w:firstLine="284"/>
        <w:jc w:val="both"/>
        <w:rPr>
          <w:rFonts w:ascii="Times New Roman" w:hAnsi="Times New Roman" w:cs="Times New Roman"/>
          <w:sz w:val="18"/>
          <w:szCs w:val="18"/>
          <w:lang w:val="en-US"/>
        </w:rPr>
      </w:pPr>
      <w:r>
        <w:rPr>
          <w:rFonts w:ascii="Times New Roman" w:hAnsi="Times New Roman" w:cs="Times New Roman"/>
          <w:sz w:val="18"/>
          <w:szCs w:val="18"/>
          <w:lang w:val="en-US"/>
        </w:rPr>
        <w:t>The c</w:t>
      </w:r>
      <w:r w:rsidR="005C74E4" w:rsidRPr="005C74E4">
        <w:rPr>
          <w:rFonts w:ascii="Times New Roman" w:hAnsi="Times New Roman" w:cs="Times New Roman"/>
          <w:sz w:val="18"/>
          <w:szCs w:val="18"/>
          <w:lang w:val="en-US"/>
        </w:rPr>
        <w:t xml:space="preserve">omparison of Tables 1 and 2 shows that the introduction of PPO into the polymer chain </w:t>
      </w:r>
      <w:r w:rsidR="00843FB7">
        <w:rPr>
          <w:rFonts w:ascii="Times New Roman" w:hAnsi="Times New Roman" w:cs="Times New Roman"/>
          <w:sz w:val="18"/>
          <w:szCs w:val="18"/>
          <w:lang w:val="en-US"/>
        </w:rPr>
        <w:t>enhances</w:t>
      </w:r>
      <w:r w:rsidR="005C74E4" w:rsidRPr="005C74E4">
        <w:rPr>
          <w:rFonts w:ascii="Times New Roman" w:hAnsi="Times New Roman" w:cs="Times New Roman"/>
          <w:sz w:val="18"/>
          <w:szCs w:val="18"/>
          <w:lang w:val="en-US"/>
        </w:rPr>
        <w:t xml:space="preserve"> the tensile strength in </w:t>
      </w:r>
      <w:proofErr w:type="spellStart"/>
      <w:r w:rsidR="005C74E4" w:rsidRPr="005C74E4">
        <w:rPr>
          <w:rFonts w:ascii="Times New Roman" w:hAnsi="Times New Roman" w:cs="Times New Roman"/>
          <w:sz w:val="18"/>
          <w:szCs w:val="18"/>
          <w:lang w:val="en-US"/>
        </w:rPr>
        <w:t>PSP</w:t>
      </w:r>
      <w:r>
        <w:rPr>
          <w:rFonts w:ascii="Times New Roman" w:hAnsi="Times New Roman" w:cs="Times New Roman"/>
          <w:sz w:val="18"/>
          <w:szCs w:val="18"/>
          <w:lang w:val="en-US"/>
        </w:rPr>
        <w:t>O</w:t>
      </w:r>
      <w:r w:rsidR="005C74E4" w:rsidRPr="005C74E4">
        <w:rPr>
          <w:rFonts w:ascii="Times New Roman" w:hAnsi="Times New Roman" w:cs="Times New Roman"/>
          <w:sz w:val="18"/>
          <w:szCs w:val="18"/>
          <w:lang w:val="en-US"/>
        </w:rPr>
        <w:t>UUrs</w:t>
      </w:r>
      <w:proofErr w:type="spellEnd"/>
      <w:r w:rsidR="005C74E4" w:rsidRPr="005C74E4">
        <w:rPr>
          <w:rFonts w:ascii="Times New Roman" w:hAnsi="Times New Roman" w:cs="Times New Roman"/>
          <w:sz w:val="18"/>
          <w:szCs w:val="18"/>
          <w:lang w:val="en-US"/>
        </w:rPr>
        <w:t xml:space="preserve"> compared to the corresponding </w:t>
      </w:r>
      <w:proofErr w:type="spellStart"/>
      <w:r w:rsidR="005C74E4" w:rsidRPr="005C74E4">
        <w:rPr>
          <w:rFonts w:ascii="Times New Roman" w:hAnsi="Times New Roman" w:cs="Times New Roman"/>
          <w:sz w:val="18"/>
          <w:szCs w:val="18"/>
          <w:lang w:val="en-US"/>
        </w:rPr>
        <w:t>PSUrs</w:t>
      </w:r>
      <w:proofErr w:type="spellEnd"/>
      <w:r w:rsidR="005C74E4" w:rsidRPr="005C74E4">
        <w:rPr>
          <w:rFonts w:ascii="Times New Roman" w:hAnsi="Times New Roman" w:cs="Times New Roman"/>
          <w:sz w:val="18"/>
          <w:szCs w:val="18"/>
          <w:lang w:val="en-US"/>
        </w:rPr>
        <w:t>.</w:t>
      </w:r>
    </w:p>
    <w:p w:rsidR="005C74E4" w:rsidRPr="005C74E4" w:rsidRDefault="005C1614" w:rsidP="005C74E4">
      <w:pPr>
        <w:spacing w:after="0"/>
        <w:ind w:firstLine="284"/>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The definition of </w:t>
      </w:r>
      <w:r w:rsidR="005C74E4" w:rsidRPr="005C74E4">
        <w:rPr>
          <w:rFonts w:ascii="Times New Roman" w:hAnsi="Times New Roman" w:cs="Times New Roman"/>
          <w:sz w:val="18"/>
          <w:szCs w:val="18"/>
          <w:lang w:val="en-US"/>
        </w:rPr>
        <w:t xml:space="preserve">the </w:t>
      </w:r>
      <w:r w:rsidRPr="005C74E4">
        <w:rPr>
          <w:rFonts w:ascii="Times New Roman" w:hAnsi="Times New Roman" w:cs="Times New Roman"/>
          <w:sz w:val="18"/>
          <w:szCs w:val="18"/>
          <w:lang w:val="en-US"/>
        </w:rPr>
        <w:t>stress</w:t>
      </w:r>
      <w:r>
        <w:rPr>
          <w:rFonts w:ascii="Times New Roman" w:hAnsi="Times New Roman" w:cs="Times New Roman"/>
          <w:sz w:val="18"/>
          <w:szCs w:val="18"/>
          <w:lang w:val="en-US"/>
        </w:rPr>
        <w:t>–</w:t>
      </w:r>
      <w:r w:rsidRPr="005C74E4">
        <w:rPr>
          <w:rFonts w:ascii="Times New Roman" w:hAnsi="Times New Roman" w:cs="Times New Roman"/>
          <w:sz w:val="18"/>
          <w:szCs w:val="18"/>
          <w:lang w:val="en-US"/>
        </w:rPr>
        <w:t xml:space="preserve">strain </w:t>
      </w:r>
      <w:r w:rsidR="005C74E4" w:rsidRPr="005C74E4">
        <w:rPr>
          <w:rFonts w:ascii="Times New Roman" w:hAnsi="Times New Roman" w:cs="Times New Roman"/>
          <w:sz w:val="18"/>
          <w:szCs w:val="18"/>
          <w:lang w:val="en-US"/>
        </w:rPr>
        <w:t xml:space="preserve">characteristics and gel fraction </w:t>
      </w:r>
      <w:r>
        <w:rPr>
          <w:rFonts w:ascii="Times New Roman" w:hAnsi="Times New Roman" w:cs="Times New Roman"/>
          <w:sz w:val="18"/>
          <w:szCs w:val="18"/>
          <w:lang w:val="en-US"/>
        </w:rPr>
        <w:t>in 1</w:t>
      </w:r>
      <w:r w:rsidR="005C74E4" w:rsidRPr="005C74E4">
        <w:rPr>
          <w:rFonts w:ascii="Times New Roman" w:hAnsi="Times New Roman" w:cs="Times New Roman"/>
          <w:sz w:val="18"/>
          <w:szCs w:val="18"/>
          <w:lang w:val="en-US"/>
        </w:rPr>
        <w:t xml:space="preserve"> month showed that the cross</w:t>
      </w:r>
      <w:r>
        <w:rPr>
          <w:rFonts w:ascii="Times New Roman" w:hAnsi="Times New Roman" w:cs="Times New Roman"/>
          <w:sz w:val="18"/>
          <w:szCs w:val="18"/>
          <w:lang w:val="en-US"/>
        </w:rPr>
        <w:t>-</w:t>
      </w:r>
      <w:r w:rsidR="005C74E4" w:rsidRPr="005C74E4">
        <w:rPr>
          <w:rFonts w:ascii="Times New Roman" w:hAnsi="Times New Roman" w:cs="Times New Roman"/>
          <w:sz w:val="18"/>
          <w:szCs w:val="18"/>
          <w:lang w:val="en-US"/>
        </w:rPr>
        <w:t xml:space="preserve">linking process continues in the films and leads to a decrease in </w:t>
      </w:r>
      <w:r>
        <w:rPr>
          <w:rFonts w:ascii="Times New Roman" w:hAnsi="Times New Roman" w:cs="Times New Roman"/>
          <w:sz w:val="18"/>
          <w:szCs w:val="18"/>
          <w:lang w:val="en-US"/>
        </w:rPr>
        <w:t xml:space="preserve">the </w:t>
      </w:r>
      <w:r w:rsidR="005C74E4" w:rsidRPr="005C74E4">
        <w:rPr>
          <w:rFonts w:ascii="Times New Roman" w:hAnsi="Times New Roman" w:cs="Times New Roman"/>
          <w:sz w:val="18"/>
          <w:szCs w:val="18"/>
          <w:lang w:val="en-US"/>
        </w:rPr>
        <w:t xml:space="preserve">relative </w:t>
      </w:r>
      <w:r>
        <w:rPr>
          <w:rFonts w:ascii="Times New Roman" w:hAnsi="Times New Roman" w:cs="Times New Roman"/>
          <w:sz w:val="18"/>
          <w:szCs w:val="18"/>
          <w:lang w:val="en-US"/>
        </w:rPr>
        <w:t xml:space="preserve">elongation </w:t>
      </w:r>
      <w:r w:rsidR="005C74E4" w:rsidRPr="005C74E4">
        <w:rPr>
          <w:rFonts w:ascii="Times New Roman" w:hAnsi="Times New Roman" w:cs="Times New Roman"/>
          <w:sz w:val="18"/>
          <w:szCs w:val="18"/>
          <w:lang w:val="en-US"/>
        </w:rPr>
        <w:t>and a slight increase in the gel fraction content and tensile strength.</w:t>
      </w:r>
    </w:p>
    <w:p w:rsidR="005C74E4" w:rsidRPr="005C74E4" w:rsidRDefault="00402247" w:rsidP="00402247">
      <w:pPr>
        <w:spacing w:after="0"/>
        <w:ind w:firstLine="284"/>
        <w:jc w:val="both"/>
        <w:rPr>
          <w:rFonts w:ascii="Times New Roman" w:hAnsi="Times New Roman" w:cs="Times New Roman"/>
          <w:sz w:val="18"/>
          <w:szCs w:val="18"/>
          <w:lang w:val="en-US"/>
        </w:rPr>
      </w:pPr>
      <w:r>
        <w:rPr>
          <w:rFonts w:ascii="Times New Roman" w:hAnsi="Times New Roman" w:cs="Times New Roman"/>
          <w:sz w:val="18"/>
          <w:szCs w:val="18"/>
          <w:lang w:val="en-US"/>
        </w:rPr>
        <w:lastRenderedPageBreak/>
        <w:t>For</w:t>
      </w:r>
      <w:r w:rsidR="005C74E4" w:rsidRPr="005C74E4">
        <w:rPr>
          <w:rFonts w:ascii="Times New Roman" w:hAnsi="Times New Roman" w:cs="Times New Roman"/>
          <w:sz w:val="18"/>
          <w:szCs w:val="18"/>
          <w:lang w:val="en-US"/>
        </w:rPr>
        <w:t xml:space="preserve"> all three samples, two different glass</w:t>
      </w:r>
      <w:r>
        <w:rPr>
          <w:rFonts w:ascii="Times New Roman" w:hAnsi="Times New Roman" w:cs="Times New Roman"/>
          <w:sz w:val="18"/>
          <w:szCs w:val="18"/>
          <w:lang w:val="en-US"/>
        </w:rPr>
        <w:t>-</w:t>
      </w:r>
      <w:r w:rsidR="005C74E4" w:rsidRPr="005C74E4">
        <w:rPr>
          <w:rFonts w:ascii="Times New Roman" w:hAnsi="Times New Roman" w:cs="Times New Roman"/>
          <w:sz w:val="18"/>
          <w:szCs w:val="18"/>
          <w:lang w:val="en-US"/>
        </w:rPr>
        <w:t xml:space="preserve">transition temperatures were observed, indicating </w:t>
      </w:r>
      <w:r>
        <w:rPr>
          <w:rFonts w:ascii="Times New Roman" w:hAnsi="Times New Roman" w:cs="Times New Roman"/>
          <w:sz w:val="18"/>
          <w:szCs w:val="18"/>
          <w:lang w:val="en-US"/>
        </w:rPr>
        <w:t xml:space="preserve">the occurrence of </w:t>
      </w:r>
      <w:r w:rsidR="005C74E4" w:rsidRPr="005C74E4">
        <w:rPr>
          <w:rFonts w:ascii="Times New Roman" w:hAnsi="Times New Roman" w:cs="Times New Roman"/>
          <w:sz w:val="18"/>
          <w:szCs w:val="18"/>
          <w:lang w:val="en-US"/>
        </w:rPr>
        <w:t xml:space="preserve">microphase separation and the formation of mixed phases. The values </w:t>
      </w:r>
      <w:r>
        <w:rPr>
          <w:rFonts w:ascii="Times New Roman" w:hAnsi="Times New Roman" w:cs="Times New Roman"/>
          <w:sz w:val="18"/>
          <w:szCs w:val="18"/>
          <w:lang w:val="en-US"/>
        </w:rPr>
        <w:t xml:space="preserve">of </w:t>
      </w:r>
      <w:proofErr w:type="spellStart"/>
      <w:r w:rsidRPr="00402247">
        <w:rPr>
          <w:rFonts w:ascii="Times New Roman" w:hAnsi="Times New Roman" w:cs="Times New Roman"/>
          <w:i/>
          <w:iCs/>
          <w:sz w:val="18"/>
          <w:szCs w:val="18"/>
          <w:lang w:val="en-US"/>
        </w:rPr>
        <w:t>T</w:t>
      </w:r>
      <w:r w:rsidRPr="00402247">
        <w:rPr>
          <w:rFonts w:ascii="Times New Roman" w:hAnsi="Times New Roman" w:cs="Times New Roman"/>
          <w:sz w:val="18"/>
          <w:szCs w:val="18"/>
          <w:vertAlign w:val="subscript"/>
          <w:lang w:val="en-US"/>
        </w:rPr>
        <w:t>g</w:t>
      </w:r>
      <w:proofErr w:type="spellEnd"/>
      <w:r>
        <w:rPr>
          <w:rFonts w:ascii="Times New Roman" w:hAnsi="Times New Roman" w:cs="Times New Roman"/>
          <w:sz w:val="18"/>
          <w:szCs w:val="18"/>
          <w:lang w:val="en-US"/>
        </w:rPr>
        <w:t xml:space="preserve"> we</w:t>
      </w:r>
      <w:r w:rsidR="005C74E4" w:rsidRPr="005C74E4">
        <w:rPr>
          <w:rFonts w:ascii="Times New Roman" w:hAnsi="Times New Roman" w:cs="Times New Roman"/>
          <w:sz w:val="18"/>
          <w:szCs w:val="18"/>
          <w:lang w:val="en-US"/>
        </w:rPr>
        <w:t>re determined by the phase composition and, in general, depend</w:t>
      </w:r>
      <w:r>
        <w:rPr>
          <w:rFonts w:ascii="Times New Roman" w:hAnsi="Times New Roman" w:cs="Times New Roman"/>
          <w:sz w:val="18"/>
          <w:szCs w:val="18"/>
          <w:lang w:val="en-US"/>
        </w:rPr>
        <w:t>ed</w:t>
      </w:r>
      <w:r w:rsidR="005C74E4" w:rsidRPr="005C74E4">
        <w:rPr>
          <w:rFonts w:ascii="Times New Roman" w:hAnsi="Times New Roman" w:cs="Times New Roman"/>
          <w:sz w:val="18"/>
          <w:szCs w:val="18"/>
          <w:lang w:val="en-US"/>
        </w:rPr>
        <w:t xml:space="preserve"> on the sample preparation conditions.</w:t>
      </w:r>
    </w:p>
    <w:p w:rsidR="005C74E4" w:rsidRDefault="005C74E4" w:rsidP="00071D12">
      <w:pPr>
        <w:spacing w:after="0"/>
        <w:ind w:firstLine="284"/>
        <w:jc w:val="both"/>
        <w:rPr>
          <w:rFonts w:ascii="Times New Roman" w:hAnsi="Times New Roman" w:cs="Times New Roman"/>
          <w:sz w:val="18"/>
          <w:szCs w:val="18"/>
          <w:lang w:val="en-US"/>
        </w:rPr>
      </w:pPr>
      <w:r w:rsidRPr="005C74E4">
        <w:rPr>
          <w:rFonts w:ascii="Times New Roman" w:hAnsi="Times New Roman" w:cs="Times New Roman"/>
          <w:sz w:val="18"/>
          <w:szCs w:val="18"/>
          <w:lang w:val="en-US"/>
        </w:rPr>
        <w:t>In the presence of three different catalysts, the rate</w:t>
      </w:r>
      <w:r w:rsidR="002B0175">
        <w:rPr>
          <w:rFonts w:ascii="Times New Roman" w:hAnsi="Times New Roman" w:cs="Times New Roman"/>
          <w:sz w:val="18"/>
          <w:szCs w:val="18"/>
          <w:lang w:val="en-US"/>
        </w:rPr>
        <w:t>s</w:t>
      </w:r>
      <w:r w:rsidRPr="005C74E4">
        <w:rPr>
          <w:rFonts w:ascii="Times New Roman" w:hAnsi="Times New Roman" w:cs="Times New Roman"/>
          <w:sz w:val="18"/>
          <w:szCs w:val="18"/>
          <w:lang w:val="en-US"/>
        </w:rPr>
        <w:t xml:space="preserve"> of sample formation </w:t>
      </w:r>
      <w:r w:rsidR="002B0175">
        <w:rPr>
          <w:rFonts w:ascii="Times New Roman" w:hAnsi="Times New Roman" w:cs="Times New Roman"/>
          <w:sz w:val="18"/>
          <w:szCs w:val="18"/>
          <w:lang w:val="en-US"/>
        </w:rPr>
        <w:t>differed</w:t>
      </w:r>
      <w:r w:rsidRPr="005C74E4">
        <w:rPr>
          <w:rFonts w:ascii="Times New Roman" w:hAnsi="Times New Roman" w:cs="Times New Roman"/>
          <w:sz w:val="18"/>
          <w:szCs w:val="18"/>
          <w:lang w:val="en-US"/>
        </w:rPr>
        <w:t>, which can lead to the formation of different structures (Fig. S3</w:t>
      </w:r>
      <w:r w:rsidR="002B0175">
        <w:rPr>
          <w:rFonts w:ascii="Times New Roman" w:hAnsi="Times New Roman" w:cs="Times New Roman"/>
          <w:sz w:val="18"/>
          <w:szCs w:val="18"/>
          <w:lang w:val="en-US"/>
        </w:rPr>
        <w:t xml:space="preserve"> in the ESI</w:t>
      </w:r>
      <w:r w:rsidRPr="005C74E4">
        <w:rPr>
          <w:rFonts w:ascii="Times New Roman" w:hAnsi="Times New Roman" w:cs="Times New Roman"/>
          <w:sz w:val="18"/>
          <w:szCs w:val="18"/>
          <w:lang w:val="en-US"/>
        </w:rPr>
        <w:t>) [2]</w:t>
      </w:r>
      <w:r w:rsidR="002B0175">
        <w:rPr>
          <w:rFonts w:ascii="Times New Roman" w:hAnsi="Times New Roman" w:cs="Times New Roman"/>
          <w:sz w:val="18"/>
          <w:szCs w:val="18"/>
          <w:lang w:val="en-US"/>
        </w:rPr>
        <w:t>.</w:t>
      </w:r>
    </w:p>
    <w:p w:rsidR="00F376FB" w:rsidRDefault="00875175" w:rsidP="00B23601">
      <w:pPr>
        <w:spacing w:before="240" w:after="240"/>
        <w:rPr>
          <w:rFonts w:ascii="Arial" w:hAnsi="Arial" w:cs="Arial"/>
          <w:b/>
          <w:lang w:val="en-US"/>
        </w:rPr>
      </w:pPr>
      <w:r w:rsidRPr="00875175">
        <w:rPr>
          <w:rFonts w:ascii="Arial" w:hAnsi="Arial" w:cs="Arial"/>
          <w:b/>
          <w:lang w:val="en-US"/>
        </w:rPr>
        <w:t>Conclusions</w:t>
      </w:r>
    </w:p>
    <w:p w:rsidR="00EC1774" w:rsidRPr="00EC1774" w:rsidRDefault="002B0175" w:rsidP="00EC1774">
      <w:pPr>
        <w:spacing w:after="0"/>
        <w:ind w:firstLine="284"/>
        <w:jc w:val="both"/>
        <w:rPr>
          <w:rFonts w:ascii="Times New Roman" w:hAnsi="Times New Roman" w:cs="Times New Roman"/>
          <w:sz w:val="18"/>
          <w:szCs w:val="18"/>
          <w:lang w:val="en-US"/>
        </w:rPr>
      </w:pPr>
      <w:r>
        <w:rPr>
          <w:rFonts w:ascii="Times New Roman" w:hAnsi="Times New Roman" w:cs="Times New Roman"/>
          <w:sz w:val="18"/>
          <w:szCs w:val="18"/>
          <w:lang w:val="en-US"/>
        </w:rPr>
        <w:t>Hence</w:t>
      </w:r>
      <w:r w:rsidR="00EC1774" w:rsidRPr="00EC1774">
        <w:rPr>
          <w:rFonts w:ascii="Times New Roman" w:hAnsi="Times New Roman" w:cs="Times New Roman"/>
          <w:sz w:val="18"/>
          <w:szCs w:val="18"/>
          <w:lang w:val="en-US"/>
        </w:rPr>
        <w:t xml:space="preserve">, </w:t>
      </w:r>
      <w:r>
        <w:rPr>
          <w:rFonts w:ascii="Times New Roman" w:hAnsi="Times New Roman" w:cs="Times New Roman"/>
          <w:sz w:val="18"/>
          <w:szCs w:val="18"/>
          <w:lang w:val="en-US"/>
        </w:rPr>
        <w:t xml:space="preserve">the </w:t>
      </w:r>
      <w:proofErr w:type="spellStart"/>
      <w:r w:rsidR="00EC1774" w:rsidRPr="00EC1774">
        <w:rPr>
          <w:rFonts w:ascii="Times New Roman" w:hAnsi="Times New Roman" w:cs="Times New Roman"/>
          <w:sz w:val="18"/>
          <w:szCs w:val="18"/>
          <w:lang w:val="en-US"/>
        </w:rPr>
        <w:t>polysiloxane</w:t>
      </w:r>
      <w:proofErr w:type="spellEnd"/>
      <w:r>
        <w:rPr>
          <w:rFonts w:ascii="Times New Roman" w:hAnsi="Times New Roman" w:cs="Times New Roman"/>
          <w:sz w:val="18"/>
          <w:szCs w:val="18"/>
          <w:lang w:val="en-US"/>
        </w:rPr>
        <w:t>–</w:t>
      </w:r>
      <w:r w:rsidR="00EC1774" w:rsidRPr="00EC1774">
        <w:rPr>
          <w:rFonts w:ascii="Times New Roman" w:hAnsi="Times New Roman" w:cs="Times New Roman"/>
          <w:sz w:val="18"/>
          <w:szCs w:val="18"/>
          <w:lang w:val="en-US"/>
        </w:rPr>
        <w:t>(propylene oxide)</w:t>
      </w:r>
      <w:r w:rsidR="009F3258">
        <w:rPr>
          <w:rFonts w:ascii="Times New Roman" w:hAnsi="Times New Roman" w:cs="Times New Roman"/>
          <w:sz w:val="18"/>
          <w:szCs w:val="18"/>
          <w:lang w:val="en-US"/>
        </w:rPr>
        <w:t>–</w:t>
      </w:r>
      <w:r w:rsidR="00EC1774" w:rsidRPr="00EC1774">
        <w:rPr>
          <w:rFonts w:ascii="Times New Roman" w:hAnsi="Times New Roman" w:cs="Times New Roman"/>
          <w:sz w:val="18"/>
          <w:szCs w:val="18"/>
          <w:lang w:val="en-US"/>
        </w:rPr>
        <w:t>urethane</w:t>
      </w:r>
      <w:r w:rsidR="009F3258">
        <w:rPr>
          <w:rFonts w:ascii="Times New Roman" w:hAnsi="Times New Roman" w:cs="Times New Roman"/>
          <w:sz w:val="18"/>
          <w:szCs w:val="18"/>
          <w:lang w:val="en-US"/>
        </w:rPr>
        <w:t>–</w:t>
      </w:r>
      <w:proofErr w:type="spellStart"/>
      <w:r w:rsidR="00EC1774" w:rsidRPr="00EC1774">
        <w:rPr>
          <w:rFonts w:ascii="Times New Roman" w:hAnsi="Times New Roman" w:cs="Times New Roman"/>
          <w:sz w:val="18"/>
          <w:szCs w:val="18"/>
          <w:lang w:val="en-US"/>
        </w:rPr>
        <w:t>ureas</w:t>
      </w:r>
      <w:proofErr w:type="spellEnd"/>
      <w:r w:rsidR="00EC1774" w:rsidRPr="00EC1774">
        <w:rPr>
          <w:rFonts w:ascii="Times New Roman" w:hAnsi="Times New Roman" w:cs="Times New Roman"/>
          <w:sz w:val="18"/>
          <w:szCs w:val="18"/>
          <w:lang w:val="en-US"/>
        </w:rPr>
        <w:t xml:space="preserve"> and model </w:t>
      </w:r>
      <w:proofErr w:type="spellStart"/>
      <w:r w:rsidR="00EC1774" w:rsidRPr="00EC1774">
        <w:rPr>
          <w:rFonts w:ascii="Times New Roman" w:hAnsi="Times New Roman" w:cs="Times New Roman"/>
          <w:sz w:val="18"/>
          <w:szCs w:val="18"/>
          <w:lang w:val="en-US"/>
        </w:rPr>
        <w:t>polysiloxane</w:t>
      </w:r>
      <w:r w:rsidR="009F3258">
        <w:rPr>
          <w:rFonts w:ascii="Times New Roman" w:hAnsi="Times New Roman" w:cs="Times New Roman"/>
          <w:sz w:val="18"/>
          <w:szCs w:val="18"/>
          <w:lang w:val="en-US"/>
        </w:rPr>
        <w:t>–</w:t>
      </w:r>
      <w:r w:rsidR="00EC1774" w:rsidRPr="00EC1774">
        <w:rPr>
          <w:rFonts w:ascii="Times New Roman" w:hAnsi="Times New Roman" w:cs="Times New Roman"/>
          <w:sz w:val="18"/>
          <w:szCs w:val="18"/>
          <w:lang w:val="en-US"/>
        </w:rPr>
        <w:t>ureas</w:t>
      </w:r>
      <w:proofErr w:type="spellEnd"/>
      <w:r w:rsidR="00EC1774" w:rsidRPr="00EC1774">
        <w:rPr>
          <w:rFonts w:ascii="Times New Roman" w:hAnsi="Times New Roman" w:cs="Times New Roman"/>
          <w:sz w:val="18"/>
          <w:szCs w:val="18"/>
          <w:lang w:val="en-US"/>
        </w:rPr>
        <w:t xml:space="preserve"> </w:t>
      </w:r>
      <w:r w:rsidR="009F3258">
        <w:rPr>
          <w:rFonts w:ascii="Times New Roman" w:hAnsi="Times New Roman" w:cs="Times New Roman"/>
          <w:sz w:val="18"/>
          <w:szCs w:val="18"/>
          <w:lang w:val="en-US"/>
        </w:rPr>
        <w:t xml:space="preserve">featuring </w:t>
      </w:r>
      <w:r w:rsidR="00EC1774" w:rsidRPr="00EC1774">
        <w:rPr>
          <w:rFonts w:ascii="Times New Roman" w:hAnsi="Times New Roman" w:cs="Times New Roman"/>
          <w:sz w:val="18"/>
          <w:szCs w:val="18"/>
          <w:lang w:val="en-US"/>
        </w:rPr>
        <w:t>a high content of the siloxane component (68 and 83 wt %, respectively) were synthesized</w:t>
      </w:r>
      <w:r w:rsidR="009F3258">
        <w:rPr>
          <w:rFonts w:ascii="Times New Roman" w:hAnsi="Times New Roman" w:cs="Times New Roman"/>
          <w:sz w:val="18"/>
          <w:szCs w:val="18"/>
          <w:lang w:val="en-US"/>
        </w:rPr>
        <w:t xml:space="preserve"> </w:t>
      </w:r>
      <w:r w:rsidR="009F3258" w:rsidRPr="00EC1774">
        <w:rPr>
          <w:rFonts w:ascii="Times New Roman" w:hAnsi="Times New Roman" w:cs="Times New Roman"/>
          <w:sz w:val="18"/>
          <w:szCs w:val="18"/>
          <w:lang w:val="en-US"/>
        </w:rPr>
        <w:t xml:space="preserve">in the presence of three different catalysts (DBTL, Bi-ND, </w:t>
      </w:r>
      <w:r w:rsidR="009F3258">
        <w:rPr>
          <w:rFonts w:ascii="Times New Roman" w:hAnsi="Times New Roman" w:cs="Times New Roman"/>
          <w:sz w:val="18"/>
          <w:szCs w:val="18"/>
          <w:lang w:val="en-US"/>
        </w:rPr>
        <w:t xml:space="preserve">and </w:t>
      </w:r>
      <w:r w:rsidR="009F3258" w:rsidRPr="00EC1774">
        <w:rPr>
          <w:rFonts w:ascii="Times New Roman" w:hAnsi="Times New Roman" w:cs="Times New Roman"/>
          <w:sz w:val="18"/>
          <w:szCs w:val="18"/>
          <w:lang w:val="en-US"/>
        </w:rPr>
        <w:t>DET</w:t>
      </w:r>
      <w:r w:rsidR="009F3258">
        <w:rPr>
          <w:rFonts w:ascii="Times New Roman" w:hAnsi="Times New Roman" w:cs="Times New Roman"/>
          <w:sz w:val="18"/>
          <w:szCs w:val="18"/>
          <w:lang w:val="en-US"/>
        </w:rPr>
        <w:t>D</w:t>
      </w:r>
      <w:r w:rsidR="009F3258" w:rsidRPr="00EC1774">
        <w:rPr>
          <w:rFonts w:ascii="Times New Roman" w:hAnsi="Times New Roman" w:cs="Times New Roman"/>
          <w:sz w:val="18"/>
          <w:szCs w:val="18"/>
          <w:lang w:val="en-US"/>
        </w:rPr>
        <w:t>C)</w:t>
      </w:r>
      <w:r w:rsidR="00EC1774" w:rsidRPr="00EC1774">
        <w:rPr>
          <w:rFonts w:ascii="Times New Roman" w:hAnsi="Times New Roman" w:cs="Times New Roman"/>
          <w:sz w:val="18"/>
          <w:szCs w:val="18"/>
          <w:lang w:val="en-US"/>
        </w:rPr>
        <w:t>; their mechanical and thermal characteristics were determined.</w:t>
      </w:r>
    </w:p>
    <w:p w:rsidR="00EC1774" w:rsidRPr="00EC1774" w:rsidRDefault="00EC1774" w:rsidP="00EC1774">
      <w:pPr>
        <w:spacing w:after="0"/>
        <w:ind w:firstLine="284"/>
        <w:jc w:val="both"/>
        <w:rPr>
          <w:rFonts w:ascii="Times New Roman" w:hAnsi="Times New Roman" w:cs="Times New Roman"/>
          <w:sz w:val="18"/>
          <w:szCs w:val="18"/>
          <w:lang w:val="en-US"/>
        </w:rPr>
      </w:pPr>
      <w:r w:rsidRPr="00EC1774">
        <w:rPr>
          <w:rFonts w:ascii="Times New Roman" w:hAnsi="Times New Roman" w:cs="Times New Roman"/>
          <w:sz w:val="18"/>
          <w:szCs w:val="18"/>
          <w:lang w:val="en-US"/>
        </w:rPr>
        <w:t xml:space="preserve">The </w:t>
      </w:r>
      <w:r w:rsidR="002A4C3C">
        <w:rPr>
          <w:rFonts w:ascii="Times New Roman" w:hAnsi="Times New Roman" w:cs="Times New Roman"/>
          <w:sz w:val="18"/>
          <w:szCs w:val="18"/>
          <w:lang w:val="en-US"/>
        </w:rPr>
        <w:t>TM</w:t>
      </w:r>
      <w:r w:rsidR="00E86FDE">
        <w:rPr>
          <w:rFonts w:ascii="Times New Roman" w:hAnsi="Times New Roman" w:cs="Times New Roman"/>
          <w:sz w:val="18"/>
          <w:szCs w:val="18"/>
          <w:lang w:val="en-US"/>
        </w:rPr>
        <w:t>A</w:t>
      </w:r>
      <w:r w:rsidR="002A4C3C">
        <w:rPr>
          <w:rFonts w:ascii="Times New Roman" w:hAnsi="Times New Roman" w:cs="Times New Roman"/>
          <w:sz w:val="18"/>
          <w:szCs w:val="18"/>
          <w:lang w:val="en-US"/>
        </w:rPr>
        <w:t xml:space="preserve"> studies of </w:t>
      </w:r>
      <w:proofErr w:type="spellStart"/>
      <w:r w:rsidRPr="00EC1774">
        <w:rPr>
          <w:rFonts w:ascii="Times New Roman" w:hAnsi="Times New Roman" w:cs="Times New Roman"/>
          <w:sz w:val="18"/>
          <w:szCs w:val="18"/>
          <w:lang w:val="en-US"/>
        </w:rPr>
        <w:t>PSP</w:t>
      </w:r>
      <w:r w:rsidR="002A4C3C">
        <w:rPr>
          <w:rFonts w:ascii="Times New Roman" w:hAnsi="Times New Roman" w:cs="Times New Roman"/>
          <w:sz w:val="18"/>
          <w:szCs w:val="18"/>
          <w:lang w:val="en-US"/>
        </w:rPr>
        <w:t>O</w:t>
      </w:r>
      <w:r w:rsidRPr="00EC1774">
        <w:rPr>
          <w:rFonts w:ascii="Times New Roman" w:hAnsi="Times New Roman" w:cs="Times New Roman"/>
          <w:sz w:val="18"/>
          <w:szCs w:val="18"/>
          <w:lang w:val="en-US"/>
        </w:rPr>
        <w:t>UUrs</w:t>
      </w:r>
      <w:proofErr w:type="spellEnd"/>
      <w:r w:rsidRPr="00EC1774">
        <w:rPr>
          <w:rFonts w:ascii="Times New Roman" w:hAnsi="Times New Roman" w:cs="Times New Roman"/>
          <w:sz w:val="18"/>
          <w:szCs w:val="18"/>
          <w:lang w:val="en-US"/>
        </w:rPr>
        <w:t xml:space="preserve"> revealed the presence of two glass</w:t>
      </w:r>
      <w:r w:rsidR="002A4C3C">
        <w:rPr>
          <w:rFonts w:ascii="Times New Roman" w:hAnsi="Times New Roman" w:cs="Times New Roman"/>
          <w:sz w:val="18"/>
          <w:szCs w:val="18"/>
          <w:lang w:val="en-US"/>
        </w:rPr>
        <w:t>-</w:t>
      </w:r>
      <w:r w:rsidRPr="00EC1774">
        <w:rPr>
          <w:rFonts w:ascii="Times New Roman" w:hAnsi="Times New Roman" w:cs="Times New Roman"/>
          <w:sz w:val="18"/>
          <w:szCs w:val="18"/>
          <w:lang w:val="en-US"/>
        </w:rPr>
        <w:t>transition temperatures</w:t>
      </w:r>
      <w:r w:rsidR="00477739">
        <w:rPr>
          <w:rFonts w:ascii="Times New Roman" w:hAnsi="Times New Roman" w:cs="Times New Roman"/>
          <w:sz w:val="18"/>
          <w:szCs w:val="18"/>
          <w:lang w:val="en-US"/>
        </w:rPr>
        <w:t xml:space="preserve"> which </w:t>
      </w:r>
      <w:r w:rsidRPr="00EC1774">
        <w:rPr>
          <w:rFonts w:ascii="Times New Roman" w:hAnsi="Times New Roman" w:cs="Times New Roman"/>
          <w:sz w:val="18"/>
          <w:szCs w:val="18"/>
          <w:lang w:val="en-US"/>
        </w:rPr>
        <w:t>correspond to the glass</w:t>
      </w:r>
      <w:r w:rsidR="002A4C3C">
        <w:rPr>
          <w:rFonts w:ascii="Times New Roman" w:hAnsi="Times New Roman" w:cs="Times New Roman"/>
          <w:sz w:val="18"/>
          <w:szCs w:val="18"/>
          <w:lang w:val="en-US"/>
        </w:rPr>
        <w:t>-</w:t>
      </w:r>
      <w:r w:rsidRPr="00EC1774">
        <w:rPr>
          <w:rFonts w:ascii="Times New Roman" w:hAnsi="Times New Roman" w:cs="Times New Roman"/>
          <w:sz w:val="18"/>
          <w:szCs w:val="18"/>
          <w:lang w:val="en-US"/>
        </w:rPr>
        <w:t>transition temperatures of the organic and siloxane phases.</w:t>
      </w:r>
    </w:p>
    <w:p w:rsidR="00EC1774" w:rsidRPr="00EC1774" w:rsidRDefault="00EC1774" w:rsidP="00EC1774">
      <w:pPr>
        <w:spacing w:after="0"/>
        <w:ind w:firstLine="284"/>
        <w:jc w:val="both"/>
        <w:rPr>
          <w:rFonts w:ascii="Times New Roman" w:hAnsi="Times New Roman" w:cs="Times New Roman"/>
          <w:sz w:val="18"/>
          <w:szCs w:val="18"/>
          <w:lang w:val="en-US"/>
        </w:rPr>
      </w:pPr>
      <w:r w:rsidRPr="00EC1774">
        <w:rPr>
          <w:rFonts w:ascii="Times New Roman" w:hAnsi="Times New Roman" w:cs="Times New Roman"/>
          <w:sz w:val="18"/>
          <w:szCs w:val="18"/>
          <w:lang w:val="en-US"/>
        </w:rPr>
        <w:t xml:space="preserve">It was shown that the polymers </w:t>
      </w:r>
      <w:r w:rsidR="002A4C3C">
        <w:rPr>
          <w:rFonts w:ascii="Times New Roman" w:hAnsi="Times New Roman" w:cs="Times New Roman"/>
          <w:sz w:val="18"/>
          <w:szCs w:val="18"/>
          <w:lang w:val="en-US"/>
        </w:rPr>
        <w:t>obtained</w:t>
      </w:r>
      <w:r w:rsidRPr="00EC1774">
        <w:rPr>
          <w:rFonts w:ascii="Times New Roman" w:hAnsi="Times New Roman" w:cs="Times New Roman"/>
          <w:sz w:val="18"/>
          <w:szCs w:val="18"/>
          <w:lang w:val="en-US"/>
        </w:rPr>
        <w:t xml:space="preserve"> in the presence of different catalysts differ in </w:t>
      </w:r>
      <w:r w:rsidR="006D55E1">
        <w:rPr>
          <w:rFonts w:ascii="Times New Roman" w:hAnsi="Times New Roman" w:cs="Times New Roman"/>
          <w:sz w:val="18"/>
          <w:szCs w:val="18"/>
          <w:lang w:val="en-US"/>
        </w:rPr>
        <w:t xml:space="preserve">the </w:t>
      </w:r>
      <w:r w:rsidRPr="00EC1774">
        <w:rPr>
          <w:rFonts w:ascii="Times New Roman" w:hAnsi="Times New Roman" w:cs="Times New Roman"/>
          <w:sz w:val="18"/>
          <w:szCs w:val="18"/>
          <w:lang w:val="en-US"/>
        </w:rPr>
        <w:t>mechanical and thermal characteristics.</w:t>
      </w:r>
    </w:p>
    <w:p w:rsidR="00EC1774" w:rsidRDefault="002A4C3C" w:rsidP="00EC1774">
      <w:pPr>
        <w:spacing w:after="0"/>
        <w:ind w:firstLine="284"/>
        <w:jc w:val="both"/>
        <w:rPr>
          <w:rFonts w:ascii="Times New Roman" w:hAnsi="Times New Roman" w:cs="Times New Roman"/>
          <w:sz w:val="18"/>
          <w:szCs w:val="18"/>
          <w:lang w:val="en-US"/>
        </w:rPr>
      </w:pPr>
      <w:r>
        <w:rPr>
          <w:rFonts w:ascii="Times New Roman" w:hAnsi="Times New Roman" w:cs="Times New Roman"/>
          <w:sz w:val="18"/>
          <w:szCs w:val="18"/>
          <w:lang w:val="en-US"/>
        </w:rPr>
        <w:t>The investigations on the application of a</w:t>
      </w:r>
      <w:r w:rsidR="00EC1774" w:rsidRPr="00EC1774">
        <w:rPr>
          <w:rFonts w:ascii="Times New Roman" w:hAnsi="Times New Roman" w:cs="Times New Roman"/>
          <w:sz w:val="18"/>
          <w:szCs w:val="18"/>
          <w:lang w:val="en-US"/>
        </w:rPr>
        <w:t xml:space="preserve">lternative catalysts in the synthesis of </w:t>
      </w:r>
      <w:proofErr w:type="spellStart"/>
      <w:r w:rsidR="00EC1774" w:rsidRPr="00EC1774">
        <w:rPr>
          <w:rFonts w:ascii="Times New Roman" w:hAnsi="Times New Roman" w:cs="Times New Roman"/>
          <w:sz w:val="18"/>
          <w:szCs w:val="18"/>
          <w:lang w:val="en-US"/>
        </w:rPr>
        <w:t>polysiloxane</w:t>
      </w:r>
      <w:proofErr w:type="spellEnd"/>
      <w:r>
        <w:rPr>
          <w:rFonts w:ascii="Times New Roman" w:hAnsi="Times New Roman" w:cs="Times New Roman"/>
          <w:sz w:val="18"/>
          <w:szCs w:val="18"/>
          <w:lang w:val="en-US"/>
        </w:rPr>
        <w:t>–</w:t>
      </w:r>
      <w:r w:rsidR="00EC1774" w:rsidRPr="00EC1774">
        <w:rPr>
          <w:rFonts w:ascii="Times New Roman" w:hAnsi="Times New Roman" w:cs="Times New Roman"/>
          <w:sz w:val="18"/>
          <w:szCs w:val="18"/>
          <w:lang w:val="en-US"/>
        </w:rPr>
        <w:t xml:space="preserve">urethanes </w:t>
      </w:r>
      <w:r w:rsidR="009070B8">
        <w:rPr>
          <w:rFonts w:ascii="Times New Roman" w:hAnsi="Times New Roman" w:cs="Times New Roman"/>
          <w:sz w:val="18"/>
          <w:szCs w:val="18"/>
          <w:lang w:val="en-US"/>
        </w:rPr>
        <w:t xml:space="preserve">are of particular interest </w:t>
      </w:r>
      <w:r w:rsidR="003D5F61">
        <w:rPr>
          <w:rFonts w:ascii="Times New Roman" w:hAnsi="Times New Roman" w:cs="Times New Roman"/>
          <w:sz w:val="18"/>
          <w:szCs w:val="18"/>
          <w:lang w:val="en-US"/>
        </w:rPr>
        <w:t xml:space="preserve">for </w:t>
      </w:r>
      <w:r w:rsidR="00EC1774" w:rsidRPr="00EC1774">
        <w:rPr>
          <w:rFonts w:ascii="Times New Roman" w:hAnsi="Times New Roman" w:cs="Times New Roman"/>
          <w:sz w:val="18"/>
          <w:szCs w:val="18"/>
          <w:lang w:val="en-US"/>
        </w:rPr>
        <w:t>further development</w:t>
      </w:r>
      <w:r w:rsidR="00EC1774">
        <w:rPr>
          <w:rFonts w:ascii="Times New Roman" w:hAnsi="Times New Roman" w:cs="Times New Roman"/>
          <w:sz w:val="18"/>
          <w:szCs w:val="18"/>
          <w:lang w:val="en-US"/>
        </w:rPr>
        <w:t>.</w:t>
      </w:r>
    </w:p>
    <w:p w:rsidR="00F94740" w:rsidRPr="00F94740" w:rsidRDefault="00F94740" w:rsidP="00F94740">
      <w:pPr>
        <w:pStyle w:val="Header1"/>
        <w:spacing w:before="240" w:after="240"/>
      </w:pPr>
      <w:r w:rsidRPr="00F94740">
        <w:t>Acknowledgements</w:t>
      </w:r>
    </w:p>
    <w:p w:rsidR="008D4A61" w:rsidRDefault="008D4A61" w:rsidP="00B31609">
      <w:pPr>
        <w:pStyle w:val="MainText"/>
        <w:ind w:firstLine="284"/>
      </w:pPr>
      <w:r w:rsidRPr="00822A0B">
        <w:t xml:space="preserve">This work was </w:t>
      </w:r>
      <w:r>
        <w:t>performed with financial support from</w:t>
      </w:r>
      <w:r w:rsidRPr="00822A0B">
        <w:t xml:space="preserve"> the Ministry of Science and Higher Education of the Russian Federation (agreement no. 075-00276-25-00) using the equipment of the Center for Collective Use of INEOS RAS.</w:t>
      </w:r>
    </w:p>
    <w:p w:rsidR="008D4A61" w:rsidRPr="006070A2" w:rsidRDefault="008D4A61" w:rsidP="00B31609">
      <w:pPr>
        <w:pStyle w:val="MainText"/>
        <w:ind w:firstLine="284"/>
      </w:pPr>
      <w:r w:rsidRPr="00B31609">
        <w:t xml:space="preserve">The authors </w:t>
      </w:r>
      <w:r>
        <w:t xml:space="preserve">are grateful to </w:t>
      </w:r>
      <w:r w:rsidRPr="00B31609">
        <w:t xml:space="preserve">O. V. </w:t>
      </w:r>
      <w:proofErr w:type="spellStart"/>
      <w:r w:rsidRPr="00B31609">
        <w:t>Sinitsyna</w:t>
      </w:r>
      <w:proofErr w:type="spellEnd"/>
      <w:r w:rsidRPr="00B31609">
        <w:t xml:space="preserve"> and I. V. </w:t>
      </w:r>
      <w:proofErr w:type="spellStart"/>
      <w:r w:rsidRPr="00B31609">
        <w:t>Yaminsky</w:t>
      </w:r>
      <w:proofErr w:type="spellEnd"/>
      <w:r w:rsidRPr="00B31609">
        <w:t xml:space="preserve"> for </w:t>
      </w:r>
      <w:r w:rsidRPr="00822A0B">
        <w:t>fruitful discussions</w:t>
      </w:r>
      <w:r w:rsidRPr="00B31609">
        <w:t>.</w:t>
      </w:r>
    </w:p>
    <w:p w:rsidR="00F86864" w:rsidRPr="00F86864" w:rsidRDefault="00F86864" w:rsidP="00161894">
      <w:pPr>
        <w:pStyle w:val="Header1"/>
        <w:spacing w:before="240" w:after="240"/>
      </w:pPr>
      <w:r w:rsidRPr="00F86864">
        <w:t xml:space="preserve">Corresponding </w:t>
      </w:r>
      <w:r w:rsidR="005C7369">
        <w:t>a</w:t>
      </w:r>
      <w:r w:rsidRPr="00F86864">
        <w:t>uthor</w:t>
      </w:r>
    </w:p>
    <w:p w:rsidR="00F86864" w:rsidRPr="00F86864" w:rsidRDefault="00F86864" w:rsidP="00071D12">
      <w:pPr>
        <w:pStyle w:val="MainText"/>
        <w:ind w:firstLine="284"/>
        <w:rPr>
          <w:rFonts w:ascii="AdvOTce3d9a73" w:hAnsi="AdvOTce3d9a73" w:cs="AdvOTce3d9a73"/>
        </w:rPr>
      </w:pPr>
      <w:r w:rsidRPr="00F86864">
        <w:rPr>
          <w:rFonts w:ascii="AdvOT8608a8d1" w:hAnsi="AdvOT8608a8d1" w:cs="AdvOT8608a8d1"/>
        </w:rPr>
        <w:t xml:space="preserve">* </w:t>
      </w:r>
      <w:r w:rsidRPr="00F86864">
        <w:t xml:space="preserve">E-mail: </w:t>
      </w:r>
      <w:r w:rsidR="00CC03C8" w:rsidRPr="00407EBA">
        <w:t>lufilia@inbox.ru</w:t>
      </w:r>
      <w:r w:rsidR="00CC03C8">
        <w:t xml:space="preserve"> (L. V. </w:t>
      </w:r>
      <w:proofErr w:type="spellStart"/>
      <w:r w:rsidR="00CC03C8">
        <w:t>Filimonova</w:t>
      </w:r>
      <w:proofErr w:type="spellEnd"/>
      <w:r w:rsidR="00CC03C8">
        <w:t>).</w:t>
      </w:r>
    </w:p>
    <w:p w:rsidR="00161894" w:rsidRPr="00161894" w:rsidRDefault="00161894" w:rsidP="00161894">
      <w:pPr>
        <w:pStyle w:val="Header1"/>
        <w:spacing w:before="240" w:after="240"/>
      </w:pPr>
      <w:r w:rsidRPr="00161894">
        <w:t>Electronic supplementary information</w:t>
      </w:r>
    </w:p>
    <w:p w:rsidR="00161894" w:rsidRPr="00CC03C8" w:rsidRDefault="00CC03C8" w:rsidP="00161894">
      <w:pPr>
        <w:pStyle w:val="Header1"/>
        <w:spacing w:before="0" w:after="0"/>
        <w:ind w:firstLine="284"/>
        <w:jc w:val="both"/>
        <w:rPr>
          <w:rFonts w:ascii="Times New Roman" w:hAnsi="Times New Roman" w:cs="Times New Roman"/>
          <w:b w:val="0"/>
          <w:bCs/>
          <w:sz w:val="18"/>
          <w:szCs w:val="18"/>
        </w:rPr>
      </w:pPr>
      <w:r w:rsidRPr="00CC03C8">
        <w:rPr>
          <w:rFonts w:ascii="Times New Roman" w:hAnsi="Times New Roman" w:cs="Times New Roman"/>
          <w:b w:val="0"/>
          <w:bCs/>
          <w:sz w:val="18"/>
          <w:szCs w:val="18"/>
        </w:rPr>
        <w:t xml:space="preserve">Electronic supplementary information (ESI) available online: </w:t>
      </w:r>
      <w:r w:rsidRPr="009C6D86">
        <w:rPr>
          <w:rFonts w:ascii="Times New Roman" w:hAnsi="Times New Roman" w:cs="Times New Roman"/>
          <w:b w:val="0"/>
          <w:bCs/>
          <w:sz w:val="18"/>
          <w:szCs w:val="18"/>
        </w:rPr>
        <w:t>the stress</w:t>
      </w:r>
      <w:r w:rsidR="0098462D" w:rsidRPr="009C6D86">
        <w:rPr>
          <w:rFonts w:ascii="Times New Roman" w:hAnsi="Times New Roman" w:cs="Times New Roman"/>
          <w:b w:val="0"/>
          <w:bCs/>
          <w:sz w:val="18"/>
          <w:szCs w:val="18"/>
        </w:rPr>
        <w:t>–</w:t>
      </w:r>
      <w:r w:rsidRPr="009C6D86">
        <w:rPr>
          <w:rFonts w:ascii="Times New Roman" w:hAnsi="Times New Roman" w:cs="Times New Roman"/>
          <w:b w:val="0"/>
          <w:bCs/>
          <w:sz w:val="18"/>
          <w:szCs w:val="18"/>
        </w:rPr>
        <w:t>strain curves, AFM and optical micrograph</w:t>
      </w:r>
      <w:r w:rsidR="009C6D86" w:rsidRPr="009C6D86">
        <w:rPr>
          <w:rFonts w:ascii="Times New Roman" w:hAnsi="Times New Roman" w:cs="Times New Roman"/>
          <w:b w:val="0"/>
          <w:bCs/>
          <w:sz w:val="18"/>
          <w:szCs w:val="18"/>
        </w:rPr>
        <w:t>s</w:t>
      </w:r>
      <w:r w:rsidRPr="009C6D86">
        <w:rPr>
          <w:rFonts w:ascii="Times New Roman" w:hAnsi="Times New Roman" w:cs="Times New Roman"/>
          <w:b w:val="0"/>
          <w:bCs/>
          <w:sz w:val="18"/>
          <w:szCs w:val="18"/>
        </w:rPr>
        <w:t>, experimental section</w:t>
      </w:r>
      <w:r w:rsidR="00161894" w:rsidRPr="009C6D86">
        <w:rPr>
          <w:rFonts w:ascii="Times New Roman" w:hAnsi="Times New Roman" w:cs="Times New Roman"/>
          <w:b w:val="0"/>
          <w:bCs/>
          <w:sz w:val="18"/>
          <w:szCs w:val="18"/>
        </w:rPr>
        <w:t>.</w:t>
      </w:r>
      <w:r>
        <w:rPr>
          <w:rFonts w:ascii="Times New Roman" w:hAnsi="Times New Roman" w:cs="Times New Roman"/>
          <w:b w:val="0"/>
          <w:bCs/>
          <w:sz w:val="18"/>
          <w:szCs w:val="18"/>
        </w:rPr>
        <w:t xml:space="preserve"> For ESI, see DOI: 10.32931/</w:t>
      </w:r>
      <w:proofErr w:type="spellStart"/>
      <w:r>
        <w:rPr>
          <w:rFonts w:ascii="Times New Roman" w:hAnsi="Times New Roman" w:cs="Times New Roman"/>
          <w:b w:val="0"/>
          <w:bCs/>
          <w:sz w:val="18"/>
          <w:szCs w:val="18"/>
        </w:rPr>
        <w:t>ioXXXXx</w:t>
      </w:r>
      <w:proofErr w:type="spellEnd"/>
      <w:r>
        <w:rPr>
          <w:rFonts w:ascii="Times New Roman" w:hAnsi="Times New Roman" w:cs="Times New Roman"/>
          <w:b w:val="0"/>
          <w:bCs/>
          <w:sz w:val="18"/>
          <w:szCs w:val="18"/>
        </w:rPr>
        <w:t>.</w:t>
      </w:r>
    </w:p>
    <w:p w:rsidR="00F94740" w:rsidRPr="00F94740" w:rsidRDefault="00F94740" w:rsidP="00161894">
      <w:pPr>
        <w:pStyle w:val="Header1"/>
        <w:spacing w:before="240" w:after="240"/>
      </w:pPr>
      <w:r w:rsidRPr="00F94740">
        <w:t>References</w:t>
      </w:r>
    </w:p>
    <w:p w:rsidR="00647AB5" w:rsidRPr="00647AB5" w:rsidRDefault="00647AB5" w:rsidP="00DE7927">
      <w:pPr>
        <w:widowControl w:val="0"/>
        <w:suppressAutoHyphens/>
        <w:spacing w:after="0" w:line="264" w:lineRule="auto"/>
        <w:ind w:left="454" w:hanging="454"/>
        <w:jc w:val="both"/>
        <w:rPr>
          <w:rFonts w:ascii="Times New Roman" w:hAnsi="Times New Roman" w:cs="Times New Roman"/>
          <w:sz w:val="16"/>
          <w:szCs w:val="16"/>
          <w:lang w:val="en-US"/>
        </w:rPr>
      </w:pPr>
      <w:r>
        <w:rPr>
          <w:rFonts w:ascii="Times New Roman" w:hAnsi="Times New Roman" w:cs="Times New Roman"/>
          <w:sz w:val="16"/>
          <w:szCs w:val="16"/>
          <w:lang w:val="en-US"/>
        </w:rPr>
        <w:t>1.</w:t>
      </w:r>
      <w:r>
        <w:rPr>
          <w:rFonts w:ascii="Times New Roman" w:hAnsi="Times New Roman" w:cs="Times New Roman"/>
          <w:sz w:val="16"/>
          <w:szCs w:val="16"/>
          <w:lang w:val="en-US"/>
        </w:rPr>
        <w:tab/>
      </w:r>
      <w:r w:rsidR="00D22771">
        <w:rPr>
          <w:rFonts w:ascii="Times New Roman" w:hAnsi="Times New Roman" w:cs="Times New Roman"/>
          <w:sz w:val="16"/>
          <w:szCs w:val="16"/>
          <w:lang w:val="en-US"/>
        </w:rPr>
        <w:t xml:space="preserve">H.-H. </w:t>
      </w:r>
      <w:r w:rsidRPr="00647AB5">
        <w:rPr>
          <w:rFonts w:ascii="Times New Roman" w:hAnsi="Times New Roman" w:cs="Times New Roman"/>
          <w:sz w:val="16"/>
          <w:szCs w:val="16"/>
          <w:lang w:val="en-US"/>
        </w:rPr>
        <w:t>Moretto</w:t>
      </w:r>
      <w:r w:rsidR="00D22771">
        <w:rPr>
          <w:rFonts w:ascii="Times New Roman" w:hAnsi="Times New Roman" w:cs="Times New Roman"/>
          <w:sz w:val="16"/>
          <w:szCs w:val="16"/>
          <w:lang w:val="en-US"/>
        </w:rPr>
        <w:t>, M.</w:t>
      </w:r>
      <w:r w:rsidRPr="00647AB5">
        <w:rPr>
          <w:rFonts w:ascii="Times New Roman" w:hAnsi="Times New Roman" w:cs="Times New Roman"/>
          <w:sz w:val="16"/>
          <w:szCs w:val="16"/>
          <w:lang w:val="en-US"/>
        </w:rPr>
        <w:t xml:space="preserve"> Schulze</w:t>
      </w:r>
      <w:r w:rsidR="00D22771">
        <w:rPr>
          <w:rFonts w:ascii="Times New Roman" w:hAnsi="Times New Roman" w:cs="Times New Roman"/>
          <w:sz w:val="16"/>
          <w:szCs w:val="16"/>
          <w:lang w:val="en-US"/>
        </w:rPr>
        <w:t>, G.</w:t>
      </w:r>
      <w:r w:rsidRPr="00647AB5">
        <w:rPr>
          <w:rFonts w:ascii="Times New Roman" w:hAnsi="Times New Roman" w:cs="Times New Roman"/>
          <w:sz w:val="16"/>
          <w:szCs w:val="16"/>
          <w:lang w:val="en-US"/>
        </w:rPr>
        <w:t xml:space="preserve"> Wagner</w:t>
      </w:r>
      <w:r w:rsidR="00D22771">
        <w:rPr>
          <w:rFonts w:ascii="Times New Roman" w:hAnsi="Times New Roman" w:cs="Times New Roman"/>
          <w:sz w:val="16"/>
          <w:szCs w:val="16"/>
          <w:lang w:val="en-US"/>
        </w:rPr>
        <w:t xml:space="preserve">, </w:t>
      </w:r>
      <w:r w:rsidR="001318C2" w:rsidRPr="001318C2">
        <w:rPr>
          <w:rFonts w:ascii="Times New Roman" w:hAnsi="Times New Roman" w:cs="Times New Roman"/>
          <w:sz w:val="16"/>
          <w:szCs w:val="16"/>
          <w:lang w:val="en-US"/>
        </w:rPr>
        <w:t>in:</w:t>
      </w:r>
      <w:r w:rsidRPr="00D22771">
        <w:rPr>
          <w:rFonts w:ascii="Times New Roman" w:hAnsi="Times New Roman" w:cs="Times New Roman"/>
          <w:i/>
          <w:iCs/>
          <w:sz w:val="16"/>
          <w:szCs w:val="16"/>
          <w:lang w:val="en-US"/>
        </w:rPr>
        <w:t xml:space="preserve"> </w:t>
      </w:r>
      <w:r w:rsidRPr="00647AB5">
        <w:rPr>
          <w:rFonts w:ascii="Times New Roman" w:hAnsi="Times New Roman" w:cs="Times New Roman"/>
          <w:i/>
          <w:iCs/>
          <w:sz w:val="16"/>
          <w:szCs w:val="16"/>
          <w:lang w:val="en-US"/>
        </w:rPr>
        <w:t>Ullmann's Encyclopedia of Industrial Chemistry</w:t>
      </w:r>
      <w:r w:rsidR="00D22771">
        <w:rPr>
          <w:rFonts w:ascii="Times New Roman" w:hAnsi="Times New Roman" w:cs="Times New Roman"/>
          <w:sz w:val="16"/>
          <w:szCs w:val="16"/>
          <w:lang w:val="en-US"/>
        </w:rPr>
        <w:t>,</w:t>
      </w:r>
      <w:r w:rsidRPr="00647AB5">
        <w:rPr>
          <w:rFonts w:ascii="Times New Roman" w:hAnsi="Times New Roman" w:cs="Times New Roman"/>
          <w:i/>
          <w:iCs/>
          <w:sz w:val="16"/>
          <w:szCs w:val="16"/>
          <w:lang w:val="en-US"/>
        </w:rPr>
        <w:t xml:space="preserve"> </w:t>
      </w:r>
      <w:r w:rsidRPr="00647AB5">
        <w:rPr>
          <w:rFonts w:ascii="Times New Roman" w:hAnsi="Times New Roman" w:cs="Times New Roman"/>
          <w:sz w:val="16"/>
          <w:szCs w:val="16"/>
          <w:lang w:val="en-US"/>
        </w:rPr>
        <w:t>Wiley</w:t>
      </w:r>
      <w:r w:rsidR="00D22771">
        <w:rPr>
          <w:rFonts w:ascii="Times New Roman" w:hAnsi="Times New Roman" w:cs="Times New Roman"/>
          <w:sz w:val="16"/>
          <w:szCs w:val="16"/>
          <w:lang w:val="en-US"/>
        </w:rPr>
        <w:t>,</w:t>
      </w:r>
      <w:r w:rsidRPr="00647AB5">
        <w:rPr>
          <w:rFonts w:ascii="Times New Roman" w:hAnsi="Times New Roman" w:cs="Times New Roman"/>
          <w:sz w:val="16"/>
          <w:szCs w:val="16"/>
          <w:lang w:val="en-US"/>
        </w:rPr>
        <w:t xml:space="preserve"> Weinheim, </w:t>
      </w:r>
      <w:r w:rsidRPr="00647AB5">
        <w:rPr>
          <w:rFonts w:ascii="Times New Roman" w:hAnsi="Times New Roman" w:cs="Times New Roman"/>
          <w:b/>
          <w:bCs/>
          <w:sz w:val="16"/>
          <w:szCs w:val="16"/>
          <w:lang w:val="en-US"/>
        </w:rPr>
        <w:t>2012</w:t>
      </w:r>
      <w:r w:rsidRPr="00647AB5">
        <w:rPr>
          <w:rFonts w:ascii="Times New Roman" w:hAnsi="Times New Roman" w:cs="Times New Roman"/>
          <w:sz w:val="16"/>
          <w:szCs w:val="16"/>
          <w:lang w:val="en-US"/>
        </w:rPr>
        <w:t>. DOI: 10.1002/14356007.a24_057</w:t>
      </w:r>
    </w:p>
    <w:p w:rsidR="00647AB5" w:rsidRPr="001318C2" w:rsidRDefault="00647AB5" w:rsidP="00647AB5">
      <w:pPr>
        <w:suppressAutoHyphens/>
        <w:spacing w:after="0" w:line="264" w:lineRule="auto"/>
        <w:ind w:left="454" w:hanging="454"/>
        <w:jc w:val="both"/>
        <w:rPr>
          <w:rFonts w:ascii="Times New Roman" w:hAnsi="Times New Roman" w:cs="Times New Roman"/>
          <w:sz w:val="16"/>
          <w:szCs w:val="16"/>
          <w:lang w:val="en-US"/>
        </w:rPr>
      </w:pPr>
      <w:r>
        <w:rPr>
          <w:rFonts w:ascii="Times New Roman" w:hAnsi="Times New Roman" w:cs="Times New Roman"/>
          <w:sz w:val="16"/>
          <w:szCs w:val="16"/>
          <w:lang w:val="en-US"/>
        </w:rPr>
        <w:lastRenderedPageBreak/>
        <w:t>2.</w:t>
      </w:r>
      <w:r>
        <w:rPr>
          <w:rFonts w:ascii="Times New Roman" w:hAnsi="Times New Roman" w:cs="Times New Roman"/>
          <w:sz w:val="16"/>
          <w:szCs w:val="16"/>
          <w:lang w:val="en-US"/>
        </w:rPr>
        <w:tab/>
      </w:r>
      <w:r w:rsidR="001318C2" w:rsidRPr="001318C2">
        <w:rPr>
          <w:rFonts w:ascii="Times New Roman" w:hAnsi="Times New Roman" w:cs="Times New Roman"/>
          <w:sz w:val="16"/>
          <w:szCs w:val="16"/>
          <w:lang w:val="en-US"/>
        </w:rPr>
        <w:t xml:space="preserve">M. F. </w:t>
      </w:r>
      <w:proofErr w:type="spellStart"/>
      <w:r w:rsidR="001318C2" w:rsidRPr="001318C2">
        <w:rPr>
          <w:rFonts w:ascii="Times New Roman" w:hAnsi="Times New Roman" w:cs="Times New Roman"/>
          <w:sz w:val="16"/>
          <w:szCs w:val="16"/>
          <w:lang w:val="en-US"/>
        </w:rPr>
        <w:t>Sonnenschein</w:t>
      </w:r>
      <w:proofErr w:type="spellEnd"/>
      <w:r w:rsidR="001318C2" w:rsidRPr="001318C2">
        <w:rPr>
          <w:rFonts w:ascii="Times New Roman" w:hAnsi="Times New Roman" w:cs="Times New Roman"/>
          <w:sz w:val="16"/>
          <w:szCs w:val="16"/>
          <w:lang w:val="en-US"/>
        </w:rPr>
        <w:t xml:space="preserve">, </w:t>
      </w:r>
      <w:r w:rsidR="001318C2" w:rsidRPr="001318C2">
        <w:rPr>
          <w:rFonts w:ascii="Times New Roman" w:hAnsi="Times New Roman" w:cs="Times New Roman"/>
          <w:i/>
          <w:iCs/>
          <w:sz w:val="16"/>
          <w:szCs w:val="16"/>
          <w:lang w:val="en-US"/>
        </w:rPr>
        <w:t>Polyurethanes. Science</w:t>
      </w:r>
      <w:r w:rsidR="001318C2" w:rsidRPr="001318C2">
        <w:rPr>
          <w:rFonts w:ascii="Times New Roman" w:hAnsi="Times New Roman" w:cs="Times New Roman"/>
          <w:sz w:val="16"/>
          <w:szCs w:val="16"/>
          <w:lang w:val="en-US"/>
        </w:rPr>
        <w:t>,</w:t>
      </w:r>
      <w:r w:rsidR="001318C2" w:rsidRPr="001318C2">
        <w:rPr>
          <w:rFonts w:ascii="Times New Roman" w:hAnsi="Times New Roman" w:cs="Times New Roman"/>
          <w:i/>
          <w:iCs/>
          <w:sz w:val="16"/>
          <w:szCs w:val="16"/>
          <w:lang w:val="en-US"/>
        </w:rPr>
        <w:t xml:space="preserve"> Technology</w:t>
      </w:r>
      <w:r w:rsidR="001318C2" w:rsidRPr="001318C2">
        <w:rPr>
          <w:rFonts w:ascii="Times New Roman" w:hAnsi="Times New Roman" w:cs="Times New Roman"/>
          <w:sz w:val="16"/>
          <w:szCs w:val="16"/>
          <w:lang w:val="en-US"/>
        </w:rPr>
        <w:t xml:space="preserve">, </w:t>
      </w:r>
      <w:r w:rsidR="001318C2" w:rsidRPr="001318C2">
        <w:rPr>
          <w:rFonts w:ascii="Times New Roman" w:hAnsi="Times New Roman" w:cs="Times New Roman"/>
          <w:i/>
          <w:iCs/>
          <w:sz w:val="16"/>
          <w:szCs w:val="16"/>
          <w:lang w:val="en-US"/>
        </w:rPr>
        <w:t>Markets</w:t>
      </w:r>
      <w:r w:rsidR="001318C2" w:rsidRPr="001318C2">
        <w:rPr>
          <w:rFonts w:ascii="Times New Roman" w:hAnsi="Times New Roman" w:cs="Times New Roman"/>
          <w:sz w:val="16"/>
          <w:szCs w:val="16"/>
          <w:lang w:val="en-US"/>
        </w:rPr>
        <w:t xml:space="preserve">, </w:t>
      </w:r>
      <w:r w:rsidR="001318C2" w:rsidRPr="001318C2">
        <w:rPr>
          <w:rFonts w:ascii="Times New Roman" w:hAnsi="Times New Roman" w:cs="Times New Roman"/>
          <w:i/>
          <w:iCs/>
          <w:sz w:val="16"/>
          <w:szCs w:val="16"/>
          <w:lang w:val="en-US"/>
        </w:rPr>
        <w:t>and Trends</w:t>
      </w:r>
      <w:r w:rsidR="001318C2" w:rsidRPr="001318C2">
        <w:rPr>
          <w:rFonts w:ascii="Times New Roman" w:hAnsi="Times New Roman" w:cs="Times New Roman"/>
          <w:sz w:val="16"/>
          <w:szCs w:val="16"/>
          <w:lang w:val="en-US"/>
        </w:rPr>
        <w:t xml:space="preserve">, Wiley, Hoboken, </w:t>
      </w:r>
      <w:r w:rsidR="001318C2" w:rsidRPr="001318C2">
        <w:rPr>
          <w:rFonts w:ascii="Times New Roman" w:hAnsi="Times New Roman" w:cs="Times New Roman"/>
          <w:b/>
          <w:bCs/>
          <w:sz w:val="16"/>
          <w:szCs w:val="16"/>
          <w:lang w:val="en-US"/>
        </w:rPr>
        <w:t>2015</w:t>
      </w:r>
      <w:r w:rsidR="001318C2" w:rsidRPr="001318C2">
        <w:rPr>
          <w:rFonts w:ascii="Times New Roman" w:hAnsi="Times New Roman" w:cs="Times New Roman"/>
          <w:sz w:val="16"/>
          <w:szCs w:val="16"/>
          <w:lang w:val="en-US"/>
        </w:rPr>
        <w:t xml:space="preserve">. </w:t>
      </w:r>
      <w:r w:rsidR="001318C2" w:rsidRPr="009C6D86">
        <w:rPr>
          <w:rFonts w:ascii="Times New Roman" w:hAnsi="Times New Roman" w:cs="Times New Roman"/>
          <w:sz w:val="16"/>
          <w:szCs w:val="16"/>
          <w:lang w:val="en-US"/>
        </w:rPr>
        <w:t>DOI: 10.1002/9781118901274</w:t>
      </w:r>
    </w:p>
    <w:p w:rsidR="00647AB5" w:rsidRPr="00647AB5" w:rsidRDefault="00647AB5" w:rsidP="00647AB5">
      <w:pPr>
        <w:suppressAutoHyphens/>
        <w:spacing w:after="0" w:line="264" w:lineRule="auto"/>
        <w:ind w:left="454" w:hanging="454"/>
        <w:jc w:val="both"/>
        <w:rPr>
          <w:rFonts w:ascii="Times New Roman" w:hAnsi="Times New Roman" w:cs="Times New Roman"/>
          <w:lang w:val="en-US"/>
        </w:rPr>
      </w:pPr>
      <w:r w:rsidRPr="00364300">
        <w:rPr>
          <w:rFonts w:ascii="Times New Roman" w:hAnsi="Times New Roman" w:cs="Times New Roman"/>
          <w:sz w:val="16"/>
          <w:szCs w:val="16"/>
          <w:lang w:val="en-US"/>
        </w:rPr>
        <w:t>3.</w:t>
      </w:r>
      <w:r w:rsidRPr="00364300">
        <w:rPr>
          <w:rFonts w:ascii="Times New Roman" w:hAnsi="Times New Roman" w:cs="Times New Roman"/>
          <w:sz w:val="16"/>
          <w:szCs w:val="16"/>
          <w:lang w:val="en-US"/>
        </w:rPr>
        <w:tab/>
      </w:r>
      <w:r w:rsidR="00364300" w:rsidRPr="00364300">
        <w:rPr>
          <w:rFonts w:ascii="Times New Roman" w:hAnsi="Times New Roman" w:cs="Times New Roman"/>
          <w:sz w:val="16"/>
          <w:szCs w:val="16"/>
          <w:lang w:val="en-US"/>
        </w:rPr>
        <w:t xml:space="preserve">T. R. </w:t>
      </w:r>
      <w:proofErr w:type="spellStart"/>
      <w:r w:rsidR="00364300" w:rsidRPr="00364300">
        <w:rPr>
          <w:rFonts w:ascii="Times New Roman" w:hAnsi="Times New Roman" w:cs="Times New Roman"/>
          <w:sz w:val="16"/>
          <w:szCs w:val="16"/>
          <w:lang w:val="en-US"/>
        </w:rPr>
        <w:t>Salikhov</w:t>
      </w:r>
      <w:proofErr w:type="spellEnd"/>
      <w:r w:rsidR="00364300" w:rsidRPr="00364300">
        <w:rPr>
          <w:rFonts w:ascii="Times New Roman" w:hAnsi="Times New Roman" w:cs="Times New Roman"/>
          <w:sz w:val="16"/>
          <w:szCs w:val="16"/>
          <w:lang w:val="en-US"/>
        </w:rPr>
        <w:t xml:space="preserve">, </w:t>
      </w:r>
      <w:proofErr w:type="spellStart"/>
      <w:r w:rsidR="00364300" w:rsidRPr="00364300">
        <w:rPr>
          <w:rFonts w:ascii="Times New Roman" w:hAnsi="Times New Roman" w:cs="Times New Roman"/>
          <w:i/>
          <w:iCs/>
          <w:sz w:val="16"/>
          <w:szCs w:val="16"/>
          <w:lang w:val="en-US"/>
        </w:rPr>
        <w:t>Cand</w:t>
      </w:r>
      <w:proofErr w:type="spellEnd"/>
      <w:r w:rsidR="00364300" w:rsidRPr="00364300">
        <w:rPr>
          <w:rFonts w:ascii="Times New Roman" w:hAnsi="Times New Roman" w:cs="Times New Roman"/>
          <w:i/>
          <w:iCs/>
          <w:sz w:val="16"/>
          <w:szCs w:val="16"/>
          <w:lang w:val="en-US"/>
        </w:rPr>
        <w:t xml:space="preserve">. Sci. </w:t>
      </w:r>
      <w:r w:rsidR="00027132">
        <w:rPr>
          <w:rFonts w:ascii="Times New Roman" w:hAnsi="Times New Roman" w:cs="Times New Roman"/>
          <w:i/>
          <w:iCs/>
          <w:sz w:val="16"/>
          <w:szCs w:val="16"/>
          <w:lang w:val="en-US"/>
        </w:rPr>
        <w:t xml:space="preserve">(Chem.) </w:t>
      </w:r>
      <w:r w:rsidR="00364300" w:rsidRPr="00364300">
        <w:rPr>
          <w:rFonts w:ascii="Times New Roman" w:hAnsi="Times New Roman" w:cs="Times New Roman"/>
          <w:i/>
          <w:iCs/>
          <w:sz w:val="16"/>
          <w:szCs w:val="16"/>
          <w:lang w:val="en-US"/>
        </w:rPr>
        <w:t>Dissertation</w:t>
      </w:r>
      <w:r w:rsidR="00364300" w:rsidRPr="00364300">
        <w:rPr>
          <w:rFonts w:ascii="Times New Roman" w:hAnsi="Times New Roman" w:cs="Times New Roman"/>
          <w:sz w:val="16"/>
          <w:szCs w:val="16"/>
          <w:lang w:val="en-US"/>
        </w:rPr>
        <w:t xml:space="preserve">, Moscow, Mendeleev Univ. Chem. Technol., </w:t>
      </w:r>
      <w:r w:rsidRPr="00364300">
        <w:rPr>
          <w:rFonts w:ascii="Times New Roman" w:hAnsi="Times New Roman" w:cs="Times New Roman"/>
          <w:b/>
          <w:bCs/>
          <w:sz w:val="16"/>
          <w:szCs w:val="16"/>
          <w:lang w:val="en-US"/>
        </w:rPr>
        <w:t>2015</w:t>
      </w:r>
      <w:r w:rsidR="00364300" w:rsidRPr="00364300">
        <w:rPr>
          <w:rFonts w:ascii="Times New Roman" w:hAnsi="Times New Roman" w:cs="Times New Roman"/>
          <w:sz w:val="16"/>
          <w:szCs w:val="16"/>
          <w:lang w:val="en-US"/>
        </w:rPr>
        <w:t>.</w:t>
      </w:r>
    </w:p>
    <w:p w:rsidR="00647AB5" w:rsidRPr="00647AB5" w:rsidRDefault="00647AB5" w:rsidP="001318C2">
      <w:pPr>
        <w:pStyle w:val="References"/>
        <w:suppressAutoHyphens/>
        <w:autoSpaceDE/>
        <w:autoSpaceDN/>
        <w:adjustRightInd/>
        <w:spacing w:line="264" w:lineRule="auto"/>
        <w:ind w:left="454" w:hanging="454"/>
        <w:rPr>
          <w:sz w:val="16"/>
          <w:szCs w:val="16"/>
        </w:rPr>
      </w:pPr>
      <w:r>
        <w:rPr>
          <w:sz w:val="16"/>
          <w:szCs w:val="16"/>
        </w:rPr>
        <w:t>4.</w:t>
      </w:r>
      <w:r>
        <w:rPr>
          <w:sz w:val="16"/>
          <w:szCs w:val="16"/>
        </w:rPr>
        <w:tab/>
      </w:r>
      <w:r w:rsidR="001318C2" w:rsidRPr="00822A0B">
        <w:rPr>
          <w:sz w:val="16"/>
          <w:szCs w:val="16"/>
        </w:rPr>
        <w:t xml:space="preserve">D. </w:t>
      </w:r>
      <w:proofErr w:type="spellStart"/>
      <w:r w:rsidR="001318C2" w:rsidRPr="00822A0B">
        <w:rPr>
          <w:sz w:val="16"/>
          <w:szCs w:val="16"/>
        </w:rPr>
        <w:t>Guhl</w:t>
      </w:r>
      <w:proofErr w:type="spellEnd"/>
      <w:r w:rsidR="001318C2" w:rsidRPr="00822A0B">
        <w:rPr>
          <w:sz w:val="16"/>
          <w:szCs w:val="16"/>
        </w:rPr>
        <w:t xml:space="preserve">, </w:t>
      </w:r>
      <w:r w:rsidR="001318C2" w:rsidRPr="00822A0B">
        <w:rPr>
          <w:i/>
          <w:sz w:val="16"/>
          <w:szCs w:val="16"/>
        </w:rPr>
        <w:t>Proc.</w:t>
      </w:r>
      <w:r w:rsidR="001318C2" w:rsidRPr="00822A0B">
        <w:rPr>
          <w:sz w:val="16"/>
          <w:szCs w:val="16"/>
        </w:rPr>
        <w:t xml:space="preserve"> </w:t>
      </w:r>
      <w:r w:rsidR="001318C2" w:rsidRPr="00822A0B">
        <w:rPr>
          <w:i/>
          <w:iCs/>
          <w:sz w:val="16"/>
          <w:szCs w:val="16"/>
        </w:rPr>
        <w:t>Eur. Coatings Conf.: Polyurethanes for High Performance Coatings</w:t>
      </w:r>
      <w:r w:rsidR="001318C2" w:rsidRPr="00822A0B">
        <w:rPr>
          <w:iCs/>
          <w:sz w:val="16"/>
          <w:szCs w:val="16"/>
        </w:rPr>
        <w:t xml:space="preserve">, </w:t>
      </w:r>
      <w:r w:rsidR="001318C2" w:rsidRPr="00822A0B">
        <w:rPr>
          <w:b/>
          <w:bCs/>
          <w:sz w:val="16"/>
          <w:szCs w:val="16"/>
        </w:rPr>
        <w:t>2008</w:t>
      </w:r>
      <w:r w:rsidR="001318C2" w:rsidRPr="00822A0B">
        <w:rPr>
          <w:sz w:val="16"/>
          <w:szCs w:val="16"/>
        </w:rPr>
        <w:t>, 119–137. DOI: 10.13140/2.1.2416.3209</w:t>
      </w:r>
    </w:p>
    <w:p w:rsidR="00647AB5" w:rsidRPr="001318C2" w:rsidRDefault="00647AB5" w:rsidP="00647AB5">
      <w:pPr>
        <w:suppressAutoHyphens/>
        <w:spacing w:after="0" w:line="264" w:lineRule="auto"/>
        <w:ind w:left="454" w:hanging="454"/>
        <w:jc w:val="both"/>
        <w:rPr>
          <w:rFonts w:ascii="Times New Roman" w:hAnsi="Times New Roman" w:cs="Times New Roman"/>
          <w:sz w:val="16"/>
          <w:szCs w:val="16"/>
          <w:lang w:val="en-US"/>
        </w:rPr>
      </w:pPr>
      <w:r>
        <w:rPr>
          <w:rFonts w:ascii="Times New Roman" w:hAnsi="Times New Roman" w:cs="Times New Roman"/>
          <w:sz w:val="16"/>
          <w:szCs w:val="16"/>
          <w:lang w:val="en-US"/>
        </w:rPr>
        <w:t>5.</w:t>
      </w:r>
      <w:r>
        <w:rPr>
          <w:rFonts w:ascii="Times New Roman" w:hAnsi="Times New Roman" w:cs="Times New Roman"/>
          <w:sz w:val="16"/>
          <w:szCs w:val="16"/>
          <w:lang w:val="en-US"/>
        </w:rPr>
        <w:tab/>
      </w:r>
      <w:r w:rsidR="001318C2" w:rsidRPr="001318C2">
        <w:rPr>
          <w:rFonts w:ascii="Times New Roman" w:hAnsi="Times New Roman" w:cs="Times New Roman"/>
          <w:sz w:val="16"/>
          <w:szCs w:val="16"/>
          <w:lang w:val="de-DE"/>
        </w:rPr>
        <w:t xml:space="preserve">L. V. </w:t>
      </w:r>
      <w:r w:rsidR="001318C2" w:rsidRPr="001318C2">
        <w:rPr>
          <w:rFonts w:ascii="Times New Roman" w:hAnsi="Times New Roman" w:cs="Times New Roman"/>
          <w:sz w:val="16"/>
          <w:szCs w:val="16"/>
          <w:lang w:val="en-US"/>
        </w:rPr>
        <w:t>F</w:t>
      </w:r>
      <w:proofErr w:type="spellStart"/>
      <w:r w:rsidR="001318C2" w:rsidRPr="001318C2">
        <w:rPr>
          <w:rFonts w:ascii="Times New Roman" w:hAnsi="Times New Roman" w:cs="Times New Roman"/>
          <w:sz w:val="16"/>
          <w:szCs w:val="16"/>
          <w:lang w:val="de-DE"/>
        </w:rPr>
        <w:t>ilimonova</w:t>
      </w:r>
      <w:proofErr w:type="spellEnd"/>
      <w:r w:rsidR="001318C2" w:rsidRPr="001318C2">
        <w:rPr>
          <w:rFonts w:ascii="Times New Roman" w:hAnsi="Times New Roman" w:cs="Times New Roman"/>
          <w:sz w:val="16"/>
          <w:szCs w:val="16"/>
          <w:lang w:val="de-DE"/>
        </w:rPr>
        <w:t xml:space="preserve">, G. G. </w:t>
      </w:r>
      <w:proofErr w:type="spellStart"/>
      <w:r w:rsidR="001318C2" w:rsidRPr="001318C2">
        <w:rPr>
          <w:rFonts w:ascii="Times New Roman" w:hAnsi="Times New Roman" w:cs="Times New Roman"/>
          <w:sz w:val="16"/>
          <w:szCs w:val="16"/>
          <w:lang w:val="de-DE"/>
        </w:rPr>
        <w:t>Nikiforova</w:t>
      </w:r>
      <w:proofErr w:type="spellEnd"/>
      <w:r w:rsidR="001318C2" w:rsidRPr="001318C2">
        <w:rPr>
          <w:rFonts w:ascii="Times New Roman" w:hAnsi="Times New Roman" w:cs="Times New Roman"/>
          <w:sz w:val="16"/>
          <w:szCs w:val="16"/>
          <w:lang w:val="de-DE"/>
        </w:rPr>
        <w:t xml:space="preserve">, M. I. </w:t>
      </w:r>
      <w:proofErr w:type="spellStart"/>
      <w:r w:rsidR="001318C2" w:rsidRPr="001318C2">
        <w:rPr>
          <w:rFonts w:ascii="Times New Roman" w:hAnsi="Times New Roman" w:cs="Times New Roman"/>
          <w:sz w:val="16"/>
          <w:szCs w:val="16"/>
          <w:lang w:val="de-DE"/>
        </w:rPr>
        <w:t>Buzin</w:t>
      </w:r>
      <w:proofErr w:type="spellEnd"/>
      <w:r w:rsidR="001318C2" w:rsidRPr="001318C2">
        <w:rPr>
          <w:rFonts w:ascii="Times New Roman" w:hAnsi="Times New Roman" w:cs="Times New Roman"/>
          <w:sz w:val="16"/>
          <w:szCs w:val="16"/>
          <w:lang w:val="de-DE"/>
        </w:rPr>
        <w:t xml:space="preserve">, E. S. </w:t>
      </w:r>
      <w:proofErr w:type="spellStart"/>
      <w:r w:rsidR="001318C2" w:rsidRPr="001318C2">
        <w:rPr>
          <w:rFonts w:ascii="Times New Roman" w:hAnsi="Times New Roman" w:cs="Times New Roman"/>
          <w:sz w:val="16"/>
          <w:szCs w:val="16"/>
          <w:lang w:val="de-DE"/>
        </w:rPr>
        <w:t>Afanasyev</w:t>
      </w:r>
      <w:proofErr w:type="spellEnd"/>
      <w:r w:rsidR="001318C2" w:rsidRPr="001318C2">
        <w:rPr>
          <w:rFonts w:ascii="Times New Roman" w:hAnsi="Times New Roman" w:cs="Times New Roman"/>
          <w:sz w:val="16"/>
          <w:szCs w:val="16"/>
          <w:lang w:val="de-DE"/>
        </w:rPr>
        <w:t xml:space="preserve">, K. L. </w:t>
      </w:r>
      <w:proofErr w:type="spellStart"/>
      <w:r w:rsidR="001318C2" w:rsidRPr="001318C2">
        <w:rPr>
          <w:rFonts w:ascii="Times New Roman" w:hAnsi="Times New Roman" w:cs="Times New Roman"/>
          <w:sz w:val="16"/>
          <w:szCs w:val="16"/>
          <w:lang w:val="de-DE"/>
        </w:rPr>
        <w:t>Boldyrev</w:t>
      </w:r>
      <w:proofErr w:type="spellEnd"/>
      <w:r w:rsidR="001318C2" w:rsidRPr="001318C2">
        <w:rPr>
          <w:rFonts w:ascii="Times New Roman" w:hAnsi="Times New Roman" w:cs="Times New Roman"/>
          <w:sz w:val="16"/>
          <w:szCs w:val="16"/>
          <w:lang w:val="de-DE"/>
        </w:rPr>
        <w:t xml:space="preserve">, Z. S. </w:t>
      </w:r>
      <w:proofErr w:type="spellStart"/>
      <w:r w:rsidR="001318C2" w:rsidRPr="001318C2">
        <w:rPr>
          <w:rFonts w:ascii="Times New Roman" w:hAnsi="Times New Roman" w:cs="Times New Roman"/>
          <w:sz w:val="16"/>
          <w:szCs w:val="16"/>
          <w:lang w:val="de-DE"/>
        </w:rPr>
        <w:t>Klemenkova</w:t>
      </w:r>
      <w:proofErr w:type="spellEnd"/>
      <w:r w:rsidR="001318C2" w:rsidRPr="001318C2">
        <w:rPr>
          <w:rFonts w:ascii="Times New Roman" w:hAnsi="Times New Roman" w:cs="Times New Roman"/>
          <w:sz w:val="16"/>
          <w:szCs w:val="16"/>
          <w:lang w:val="de-DE"/>
        </w:rPr>
        <w:t xml:space="preserve">, R. U. </w:t>
      </w:r>
      <w:proofErr w:type="spellStart"/>
      <w:r w:rsidR="001318C2" w:rsidRPr="001318C2">
        <w:rPr>
          <w:rFonts w:ascii="Times New Roman" w:hAnsi="Times New Roman" w:cs="Times New Roman"/>
          <w:sz w:val="16"/>
          <w:szCs w:val="16"/>
          <w:lang w:val="de-DE"/>
        </w:rPr>
        <w:t>Takazova</w:t>
      </w:r>
      <w:proofErr w:type="spellEnd"/>
      <w:r w:rsidR="001318C2" w:rsidRPr="001318C2">
        <w:rPr>
          <w:rFonts w:ascii="Times New Roman" w:hAnsi="Times New Roman" w:cs="Times New Roman"/>
          <w:sz w:val="16"/>
          <w:szCs w:val="16"/>
          <w:lang w:val="de-DE"/>
        </w:rPr>
        <w:t xml:space="preserve">, </w:t>
      </w:r>
      <w:r w:rsidR="00043346">
        <w:rPr>
          <w:rFonts w:ascii="Times New Roman" w:hAnsi="Times New Roman" w:cs="Times New Roman"/>
          <w:sz w:val="16"/>
          <w:szCs w:val="16"/>
          <w:lang w:val="de-DE"/>
        </w:rPr>
        <w:br w:type="column"/>
      </w:r>
      <w:r w:rsidR="001318C2" w:rsidRPr="001318C2">
        <w:rPr>
          <w:rFonts w:ascii="Times New Roman" w:hAnsi="Times New Roman" w:cs="Times New Roman"/>
          <w:sz w:val="16"/>
          <w:szCs w:val="16"/>
          <w:lang w:val="de-DE"/>
        </w:rPr>
        <w:lastRenderedPageBreak/>
        <w:t xml:space="preserve">E. S. </w:t>
      </w:r>
      <w:proofErr w:type="spellStart"/>
      <w:r w:rsidR="001318C2" w:rsidRPr="001318C2">
        <w:rPr>
          <w:rFonts w:ascii="Times New Roman" w:hAnsi="Times New Roman" w:cs="Times New Roman"/>
          <w:sz w:val="16"/>
          <w:szCs w:val="16"/>
          <w:lang w:val="de-DE"/>
        </w:rPr>
        <w:t>Trankina</w:t>
      </w:r>
      <w:proofErr w:type="spellEnd"/>
      <w:r w:rsidR="001318C2" w:rsidRPr="001318C2">
        <w:rPr>
          <w:rFonts w:ascii="Times New Roman" w:hAnsi="Times New Roman" w:cs="Times New Roman"/>
          <w:sz w:val="16"/>
          <w:szCs w:val="16"/>
          <w:lang w:val="de-DE"/>
        </w:rPr>
        <w:t xml:space="preserve">, D. A. </w:t>
      </w:r>
      <w:proofErr w:type="spellStart"/>
      <w:r w:rsidR="001318C2" w:rsidRPr="001318C2">
        <w:rPr>
          <w:rFonts w:ascii="Times New Roman" w:hAnsi="Times New Roman" w:cs="Times New Roman"/>
          <w:sz w:val="16"/>
          <w:szCs w:val="16"/>
          <w:lang w:val="de-DE"/>
        </w:rPr>
        <w:t>Khanin</w:t>
      </w:r>
      <w:proofErr w:type="spellEnd"/>
      <w:r w:rsidR="001318C2" w:rsidRPr="001318C2">
        <w:rPr>
          <w:rFonts w:ascii="Times New Roman" w:hAnsi="Times New Roman" w:cs="Times New Roman"/>
          <w:sz w:val="16"/>
          <w:szCs w:val="16"/>
          <w:lang w:val="de-DE"/>
        </w:rPr>
        <w:t xml:space="preserve">, A. M. </w:t>
      </w:r>
      <w:proofErr w:type="spellStart"/>
      <w:r w:rsidR="001318C2" w:rsidRPr="001318C2">
        <w:rPr>
          <w:rFonts w:ascii="Times New Roman" w:hAnsi="Times New Roman" w:cs="Times New Roman"/>
          <w:sz w:val="16"/>
          <w:szCs w:val="16"/>
          <w:lang w:val="de-DE"/>
        </w:rPr>
        <w:t>Muzafarov</w:t>
      </w:r>
      <w:proofErr w:type="spellEnd"/>
      <w:r w:rsidR="001318C2" w:rsidRPr="001318C2">
        <w:rPr>
          <w:rFonts w:ascii="Times New Roman" w:hAnsi="Times New Roman" w:cs="Times New Roman"/>
          <w:sz w:val="16"/>
          <w:szCs w:val="16"/>
          <w:lang w:val="de-DE"/>
        </w:rPr>
        <w:t xml:space="preserve">, </w:t>
      </w:r>
      <w:r w:rsidR="001318C2" w:rsidRPr="001318C2">
        <w:rPr>
          <w:rFonts w:ascii="Times New Roman" w:hAnsi="Times New Roman" w:cs="Times New Roman"/>
          <w:i/>
          <w:iCs/>
          <w:sz w:val="16"/>
          <w:szCs w:val="16"/>
          <w:lang w:val="en-US"/>
        </w:rPr>
        <w:t>INEOS OPEN</w:t>
      </w:r>
      <w:r w:rsidR="001318C2" w:rsidRPr="001318C2">
        <w:rPr>
          <w:rFonts w:ascii="Times New Roman" w:hAnsi="Times New Roman" w:cs="Times New Roman"/>
          <w:sz w:val="16"/>
          <w:szCs w:val="16"/>
          <w:lang w:val="en-US"/>
        </w:rPr>
        <w:t xml:space="preserve">, </w:t>
      </w:r>
      <w:r w:rsidR="001318C2" w:rsidRPr="001318C2">
        <w:rPr>
          <w:rFonts w:ascii="Times New Roman" w:hAnsi="Times New Roman" w:cs="Times New Roman"/>
          <w:b/>
          <w:bCs/>
          <w:sz w:val="16"/>
          <w:szCs w:val="16"/>
          <w:lang w:val="en-US"/>
        </w:rPr>
        <w:t>2022</w:t>
      </w:r>
      <w:r w:rsidR="001318C2" w:rsidRPr="001318C2">
        <w:rPr>
          <w:rFonts w:ascii="Times New Roman" w:hAnsi="Times New Roman" w:cs="Times New Roman"/>
          <w:sz w:val="16"/>
          <w:szCs w:val="16"/>
          <w:lang w:val="en-US"/>
        </w:rPr>
        <w:t xml:space="preserve">, </w:t>
      </w:r>
      <w:r w:rsidR="001318C2" w:rsidRPr="001318C2">
        <w:rPr>
          <w:rFonts w:ascii="Times New Roman" w:hAnsi="Times New Roman" w:cs="Times New Roman"/>
          <w:i/>
          <w:iCs/>
          <w:sz w:val="16"/>
          <w:szCs w:val="16"/>
          <w:lang w:val="en-US"/>
        </w:rPr>
        <w:t>5</w:t>
      </w:r>
      <w:r w:rsidR="001318C2" w:rsidRPr="001318C2">
        <w:rPr>
          <w:rFonts w:ascii="Times New Roman" w:hAnsi="Times New Roman" w:cs="Times New Roman"/>
          <w:sz w:val="16"/>
          <w:szCs w:val="16"/>
          <w:lang w:val="en-US"/>
        </w:rPr>
        <w:t>, 161–164</w:t>
      </w:r>
      <w:r w:rsidR="001318C2" w:rsidRPr="001318C2">
        <w:rPr>
          <w:rFonts w:ascii="Times New Roman" w:hAnsi="Times New Roman" w:cs="Times New Roman"/>
          <w:sz w:val="16"/>
          <w:szCs w:val="16"/>
          <w:lang w:val="de-DE"/>
        </w:rPr>
        <w:t>.</w:t>
      </w:r>
      <w:r w:rsidR="001318C2" w:rsidRPr="001318C2">
        <w:rPr>
          <w:rFonts w:ascii="Times New Roman" w:hAnsi="Times New Roman" w:cs="Times New Roman"/>
          <w:sz w:val="16"/>
          <w:szCs w:val="16"/>
          <w:lang w:val="en-US"/>
        </w:rPr>
        <w:t xml:space="preserve"> </w:t>
      </w:r>
      <w:r w:rsidR="001318C2" w:rsidRPr="009C6D86">
        <w:rPr>
          <w:rFonts w:ascii="Times New Roman" w:hAnsi="Times New Roman" w:cs="Times New Roman"/>
          <w:sz w:val="16"/>
          <w:szCs w:val="16"/>
          <w:lang w:val="en-US"/>
        </w:rPr>
        <w:t>DOI: 10.32931/io2229a</w:t>
      </w:r>
    </w:p>
    <w:p w:rsidR="00647AB5" w:rsidRPr="001318C2" w:rsidRDefault="00647AB5" w:rsidP="00647AB5">
      <w:pPr>
        <w:suppressAutoHyphens/>
        <w:spacing w:after="0" w:line="264" w:lineRule="auto"/>
        <w:ind w:left="454" w:hanging="454"/>
        <w:jc w:val="both"/>
        <w:rPr>
          <w:rFonts w:ascii="Times New Roman" w:hAnsi="Times New Roman" w:cs="Times New Roman"/>
          <w:sz w:val="16"/>
          <w:szCs w:val="16"/>
          <w:lang w:val="en-US"/>
        </w:rPr>
      </w:pPr>
      <w:r>
        <w:rPr>
          <w:rFonts w:ascii="Times New Roman" w:hAnsi="Times New Roman" w:cs="Times New Roman"/>
          <w:sz w:val="16"/>
          <w:szCs w:val="16"/>
          <w:lang w:val="en-US"/>
        </w:rPr>
        <w:t>6.</w:t>
      </w:r>
      <w:r>
        <w:rPr>
          <w:rFonts w:ascii="Times New Roman" w:hAnsi="Times New Roman" w:cs="Times New Roman"/>
          <w:sz w:val="16"/>
          <w:szCs w:val="16"/>
          <w:lang w:val="en-US"/>
        </w:rPr>
        <w:tab/>
      </w:r>
      <w:r w:rsidR="001318C2" w:rsidRPr="001318C2">
        <w:rPr>
          <w:rFonts w:ascii="Times New Roman" w:hAnsi="Times New Roman" w:cs="Times New Roman"/>
          <w:sz w:val="16"/>
          <w:szCs w:val="16"/>
          <w:lang w:val="en-US"/>
        </w:rPr>
        <w:t xml:space="preserve">M. S. </w:t>
      </w:r>
      <w:proofErr w:type="spellStart"/>
      <w:r w:rsidR="001318C2" w:rsidRPr="001318C2">
        <w:rPr>
          <w:rFonts w:ascii="Times New Roman" w:hAnsi="Times New Roman" w:cs="Times New Roman"/>
          <w:sz w:val="16"/>
          <w:szCs w:val="16"/>
          <w:lang w:val="en-US"/>
        </w:rPr>
        <w:t>Shabalina</w:t>
      </w:r>
      <w:proofErr w:type="spellEnd"/>
      <w:r w:rsidR="001318C2" w:rsidRPr="001318C2">
        <w:rPr>
          <w:rFonts w:ascii="Times New Roman" w:hAnsi="Times New Roman" w:cs="Times New Roman"/>
          <w:sz w:val="16"/>
          <w:szCs w:val="16"/>
          <w:lang w:val="en-US"/>
        </w:rPr>
        <w:t xml:space="preserve">, E. A. </w:t>
      </w:r>
      <w:proofErr w:type="spellStart"/>
      <w:r w:rsidR="001318C2" w:rsidRPr="001318C2">
        <w:rPr>
          <w:rFonts w:ascii="Times New Roman" w:hAnsi="Times New Roman" w:cs="Times New Roman"/>
          <w:sz w:val="16"/>
          <w:szCs w:val="16"/>
          <w:lang w:val="en-US"/>
        </w:rPr>
        <w:t>Antipova</w:t>
      </w:r>
      <w:proofErr w:type="spellEnd"/>
      <w:r w:rsidR="001318C2" w:rsidRPr="001318C2">
        <w:rPr>
          <w:rFonts w:ascii="Times New Roman" w:hAnsi="Times New Roman" w:cs="Times New Roman"/>
          <w:sz w:val="16"/>
          <w:szCs w:val="16"/>
          <w:lang w:val="en-US"/>
        </w:rPr>
        <w:t xml:space="preserve">, G. A. </w:t>
      </w:r>
      <w:proofErr w:type="spellStart"/>
      <w:r w:rsidR="001318C2" w:rsidRPr="001318C2">
        <w:rPr>
          <w:rFonts w:ascii="Times New Roman" w:hAnsi="Times New Roman" w:cs="Times New Roman"/>
          <w:sz w:val="16"/>
          <w:szCs w:val="16"/>
          <w:lang w:val="en-US"/>
        </w:rPr>
        <w:t>Khlebov</w:t>
      </w:r>
      <w:proofErr w:type="spellEnd"/>
      <w:r w:rsidR="001318C2" w:rsidRPr="001318C2">
        <w:rPr>
          <w:rFonts w:ascii="Times New Roman" w:hAnsi="Times New Roman" w:cs="Times New Roman"/>
          <w:sz w:val="16"/>
          <w:szCs w:val="16"/>
          <w:lang w:val="en-US"/>
        </w:rPr>
        <w:t xml:space="preserve">, </w:t>
      </w:r>
      <w:r w:rsidR="001318C2" w:rsidRPr="001318C2">
        <w:rPr>
          <w:rFonts w:ascii="Times New Roman" w:hAnsi="Times New Roman" w:cs="Times New Roman"/>
          <w:i/>
          <w:iCs/>
          <w:sz w:val="16"/>
          <w:szCs w:val="16"/>
          <w:lang w:val="en-US"/>
        </w:rPr>
        <w:t xml:space="preserve">Int. </w:t>
      </w:r>
      <w:proofErr w:type="spellStart"/>
      <w:r w:rsidR="001318C2" w:rsidRPr="001318C2">
        <w:rPr>
          <w:rFonts w:ascii="Times New Roman" w:hAnsi="Times New Roman" w:cs="Times New Roman"/>
          <w:i/>
          <w:iCs/>
          <w:sz w:val="16"/>
          <w:szCs w:val="16"/>
          <w:lang w:val="en-US"/>
        </w:rPr>
        <w:t>Polym</w:t>
      </w:r>
      <w:proofErr w:type="spellEnd"/>
      <w:r w:rsidR="001318C2" w:rsidRPr="001318C2">
        <w:rPr>
          <w:rFonts w:ascii="Times New Roman" w:hAnsi="Times New Roman" w:cs="Times New Roman"/>
          <w:i/>
          <w:iCs/>
          <w:sz w:val="16"/>
          <w:szCs w:val="16"/>
          <w:lang w:val="en-US"/>
        </w:rPr>
        <w:t>. Sci. Technol.</w:t>
      </w:r>
      <w:r w:rsidR="001318C2" w:rsidRPr="001318C2">
        <w:rPr>
          <w:rFonts w:ascii="Times New Roman" w:hAnsi="Times New Roman" w:cs="Times New Roman"/>
          <w:sz w:val="16"/>
          <w:szCs w:val="16"/>
          <w:lang w:val="en-US"/>
        </w:rPr>
        <w:t xml:space="preserve">, </w:t>
      </w:r>
      <w:r w:rsidR="001318C2" w:rsidRPr="001318C2">
        <w:rPr>
          <w:rFonts w:ascii="Times New Roman" w:hAnsi="Times New Roman" w:cs="Times New Roman"/>
          <w:b/>
          <w:bCs/>
          <w:sz w:val="16"/>
          <w:szCs w:val="16"/>
          <w:lang w:val="en-US"/>
        </w:rPr>
        <w:t>2015</w:t>
      </w:r>
      <w:r w:rsidR="001318C2" w:rsidRPr="001318C2">
        <w:rPr>
          <w:rFonts w:ascii="Times New Roman" w:hAnsi="Times New Roman" w:cs="Times New Roman"/>
          <w:sz w:val="16"/>
          <w:szCs w:val="16"/>
          <w:lang w:val="en-US"/>
        </w:rPr>
        <w:t xml:space="preserve">, </w:t>
      </w:r>
      <w:r w:rsidR="001318C2" w:rsidRPr="001318C2">
        <w:rPr>
          <w:rFonts w:ascii="Times New Roman" w:hAnsi="Times New Roman" w:cs="Times New Roman"/>
          <w:i/>
          <w:iCs/>
          <w:sz w:val="16"/>
          <w:szCs w:val="16"/>
          <w:lang w:val="en-US"/>
        </w:rPr>
        <w:t>42</w:t>
      </w:r>
      <w:r w:rsidR="001318C2" w:rsidRPr="001318C2">
        <w:rPr>
          <w:rFonts w:ascii="Times New Roman" w:hAnsi="Times New Roman" w:cs="Times New Roman"/>
          <w:sz w:val="16"/>
          <w:szCs w:val="16"/>
          <w:lang w:val="en-US"/>
        </w:rPr>
        <w:t xml:space="preserve">, T21–T24. </w:t>
      </w:r>
      <w:r w:rsidR="001318C2" w:rsidRPr="001318C2">
        <w:rPr>
          <w:rFonts w:ascii="Times New Roman" w:hAnsi="Times New Roman" w:cs="Times New Roman"/>
          <w:sz w:val="16"/>
          <w:szCs w:val="16"/>
        </w:rPr>
        <w:t>DOI: 10.1177/0307174x1504200605</w:t>
      </w:r>
    </w:p>
    <w:p w:rsidR="009070B8" w:rsidRPr="001A22A0" w:rsidRDefault="009070B8" w:rsidP="009070B8">
      <w:pPr>
        <w:spacing w:after="0" w:line="264" w:lineRule="auto"/>
        <w:ind w:left="454" w:hanging="454"/>
        <w:jc w:val="both"/>
        <w:rPr>
          <w:rFonts w:ascii="Times New Roman" w:hAnsi="Times New Roman" w:cs="Times New Roman"/>
          <w:sz w:val="16"/>
          <w:szCs w:val="16"/>
          <w:lang w:val="en-US"/>
        </w:rPr>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5"/>
        <w:gridCol w:w="1236"/>
      </w:tblGrid>
      <w:tr w:rsidR="009070B8" w:rsidRPr="003A13B7" w:rsidTr="00456305">
        <w:trPr>
          <w:jc w:val="right"/>
        </w:trPr>
        <w:tc>
          <w:tcPr>
            <w:tcW w:w="3255" w:type="dxa"/>
            <w:vAlign w:val="center"/>
          </w:tcPr>
          <w:p w:rsidR="009070B8" w:rsidRPr="001A22A0" w:rsidRDefault="009070B8" w:rsidP="00456305">
            <w:pPr>
              <w:jc w:val="center"/>
              <w:rPr>
                <w:rFonts w:ascii="Arial" w:hAnsi="Arial" w:cs="Arial"/>
                <w:color w:val="263238"/>
                <w:shd w:val="clear" w:color="auto" w:fill="FFFFFF"/>
                <w:lang w:val="en-US"/>
              </w:rPr>
            </w:pPr>
            <w:r w:rsidRPr="001A22A0">
              <w:rPr>
                <w:rFonts w:ascii="Times New Roman" w:hAnsi="Times New Roman" w:cs="Times New Roman"/>
                <w:b/>
                <w:bCs/>
                <w:sz w:val="16"/>
                <w:szCs w:val="16"/>
                <w:lang w:val="it-IT"/>
              </w:rPr>
              <w:br w:type="column"/>
            </w:r>
            <w:r w:rsidRPr="001A22A0">
              <w:rPr>
                <w:sz w:val="16"/>
                <w:szCs w:val="16"/>
                <w:lang w:val="en-US"/>
              </w:rPr>
              <w:t>This article is licensed under a Creative Commons Attribution-</w:t>
            </w:r>
            <w:proofErr w:type="spellStart"/>
            <w:r w:rsidRPr="001A22A0">
              <w:rPr>
                <w:sz w:val="16"/>
                <w:szCs w:val="16"/>
                <w:lang w:val="en-US"/>
              </w:rPr>
              <w:t>NonCommercial</w:t>
            </w:r>
            <w:proofErr w:type="spellEnd"/>
            <w:r w:rsidRPr="001A22A0">
              <w:rPr>
                <w:sz w:val="16"/>
                <w:szCs w:val="16"/>
                <w:lang w:val="en-US"/>
              </w:rPr>
              <w:t xml:space="preserve"> 4.0 International License.</w:t>
            </w:r>
          </w:p>
        </w:tc>
        <w:tc>
          <w:tcPr>
            <w:tcW w:w="1236" w:type="dxa"/>
            <w:vAlign w:val="center"/>
          </w:tcPr>
          <w:p w:rsidR="009070B8" w:rsidRPr="003A13B7" w:rsidRDefault="009070B8" w:rsidP="00456305">
            <w:pPr>
              <w:autoSpaceDE w:val="0"/>
              <w:autoSpaceDN w:val="0"/>
              <w:adjustRightInd w:val="0"/>
              <w:jc w:val="center"/>
              <w:rPr>
                <w:rFonts w:ascii="Arial" w:hAnsi="Arial" w:cs="Arial"/>
                <w:color w:val="263238"/>
                <w:sz w:val="18"/>
                <w:szCs w:val="18"/>
                <w:shd w:val="clear" w:color="auto" w:fill="FFFFFF"/>
                <w:lang w:val="en-US"/>
              </w:rPr>
            </w:pPr>
            <w:r w:rsidRPr="001A22A0">
              <w:rPr>
                <w:rFonts w:ascii="Times New Roman" w:hAnsi="Times New Roman"/>
                <w:noProof/>
                <w:sz w:val="16"/>
                <w:szCs w:val="16"/>
              </w:rPr>
              <w:drawing>
                <wp:inline distT="0" distB="0" distL="0" distR="0">
                  <wp:extent cx="620466" cy="217152"/>
                  <wp:effectExtent l="19050" t="0" r="8184" b="0"/>
                  <wp:docPr id="286762753" name="Рисунок 125" descr="D:\Rinat\Rinat\доки\журнал\cc-by-nc.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15"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rsidR="001448C4" w:rsidRDefault="001448C4" w:rsidP="002D3D88">
      <w:pPr>
        <w:pStyle w:val="Header1"/>
        <w:spacing w:before="0" w:after="0" w:line="240" w:lineRule="auto"/>
        <w:jc w:val="both"/>
        <w:rPr>
          <w:rFonts w:ascii="Times New Roman" w:hAnsi="Times New Roman" w:cs="Times New Roman"/>
          <w:b w:val="0"/>
          <w:bCs/>
          <w:sz w:val="16"/>
          <w:szCs w:val="16"/>
        </w:rPr>
      </w:pPr>
    </w:p>
    <w:sectPr w:rsidR="001448C4" w:rsidSect="0026762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7034" w:rsidRDefault="00EF7034" w:rsidP="00427E5A">
      <w:pPr>
        <w:spacing w:after="0" w:line="240" w:lineRule="auto"/>
      </w:pPr>
      <w:r>
        <w:separator/>
      </w:r>
    </w:p>
    <w:p w:rsidR="00EF7034" w:rsidRDefault="00EF7034"/>
  </w:endnote>
  <w:endnote w:type="continuationSeparator" w:id="0">
    <w:p w:rsidR="00EF7034" w:rsidRDefault="00EF7034" w:rsidP="00427E5A">
      <w:pPr>
        <w:spacing w:after="0" w:line="240" w:lineRule="auto"/>
      </w:pPr>
      <w:r>
        <w:continuationSeparator/>
      </w:r>
    </w:p>
    <w:p w:rsidR="00EF7034" w:rsidRDefault="00EF703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dvOT8608a8d1">
    <w:altName w:val="Cambria"/>
    <w:charset w:val="CC"/>
    <w:family w:val="roman"/>
    <w:pitch w:val="variable"/>
    <w:sig w:usb0="00000000" w:usb1="00000000" w:usb2="00000000" w:usb3="00000000" w:csb0="00000000" w:csb1="00000000"/>
  </w:font>
  <w:font w:name="AdvOTce3d9a73">
    <w:altName w:val="Arial"/>
    <w:charset w:val="CC"/>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351" w:rsidRPr="00A6442F" w:rsidRDefault="00162C19" w:rsidP="007A3351">
    <w:pPr>
      <w:pStyle w:val="af"/>
      <w:jc w:val="center"/>
      <w:rPr>
        <w:rStyle w:val="MainText0"/>
        <w:i/>
      </w:rPr>
    </w:pPr>
    <w:r>
      <w:rPr>
        <w:rStyle w:val="MainText0"/>
      </w:rPr>
      <w:t xml:space="preserve">L. V. </w:t>
    </w:r>
    <w:proofErr w:type="spellStart"/>
    <w:r>
      <w:rPr>
        <w:rStyle w:val="MainText0"/>
      </w:rPr>
      <w:t>Filimonova</w:t>
    </w:r>
    <w:proofErr w:type="spellEnd"/>
    <w:r w:rsidR="00916E1F" w:rsidRPr="00622DF1">
      <w:rPr>
        <w:rStyle w:val="MainText0"/>
      </w:rPr>
      <w:t xml:space="preserve"> </w:t>
    </w:r>
    <w:r w:rsidR="007A3351" w:rsidRPr="00A6442F">
      <w:rPr>
        <w:rFonts w:ascii="Times New Roman" w:hAnsi="Times New Roman" w:cs="Times New Roman"/>
        <w:i/>
        <w:sz w:val="18"/>
        <w:szCs w:val="18"/>
        <w:lang w:val="en-US"/>
      </w:rPr>
      <w:t>et al.</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Pr>
        <w:rStyle w:val="MainText0"/>
        <w:b/>
      </w:rPr>
      <w:t>25</w:t>
    </w:r>
    <w:r w:rsidR="00DF4999" w:rsidRPr="00110678">
      <w:rPr>
        <w:rStyle w:val="MainText0"/>
      </w:rPr>
      <w:t xml:space="preserve">, </w:t>
    </w:r>
    <w:r>
      <w:rPr>
        <w:rStyle w:val="MainText0"/>
        <w:i/>
        <w:iCs/>
      </w:rPr>
      <w:t xml:space="preserve">8 </w:t>
    </w:r>
    <w:r w:rsidR="00DF4999" w:rsidRPr="005C7369">
      <w:rPr>
        <w:rStyle w:val="MainText0"/>
        <w:i/>
        <w:iCs/>
      </w:rPr>
      <w:t>(</w:t>
    </w:r>
    <w:r>
      <w:rPr>
        <w:rStyle w:val="MainText0"/>
        <w:i/>
        <w:iCs/>
      </w:rPr>
      <w:t>1–3</w:t>
    </w:r>
    <w:r w:rsidR="00DF4999" w:rsidRPr="005C7369">
      <w:rPr>
        <w:rStyle w:val="MainText0"/>
        <w:i/>
        <w:iCs/>
      </w:rPr>
      <w:t>)</w:t>
    </w:r>
    <w:r w:rsidR="00DF4999" w:rsidRPr="00110678">
      <w:rPr>
        <w:rStyle w:val="MainText0"/>
      </w:rPr>
      <w:t xml:space="preserve">, </w:t>
    </w:r>
    <w:r w:rsidR="00DF4999">
      <w:rPr>
        <w:rStyle w:val="MainText0"/>
      </w:rPr>
      <w:t>XX–XX</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7034" w:rsidRDefault="00EF7034" w:rsidP="00427E5A">
      <w:pPr>
        <w:spacing w:after="0" w:line="240" w:lineRule="auto"/>
      </w:pPr>
      <w:r>
        <w:separator/>
      </w:r>
    </w:p>
    <w:p w:rsidR="00EF7034" w:rsidRDefault="00EF7034"/>
  </w:footnote>
  <w:footnote w:type="continuationSeparator" w:id="0">
    <w:p w:rsidR="00EF7034" w:rsidRDefault="00EF7034" w:rsidP="00427E5A">
      <w:pPr>
        <w:spacing w:after="0" w:line="240" w:lineRule="auto"/>
      </w:pPr>
      <w:r>
        <w:continuationSeparator/>
      </w:r>
    </w:p>
    <w:p w:rsidR="00EF7034" w:rsidRDefault="00EF703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rPr>
      <w:id w:val="1652487238"/>
      <w:docPartObj>
        <w:docPartGallery w:val="Page Numbers (Top of Page)"/>
        <w:docPartUnique/>
      </w:docPartObj>
    </w:sdtPr>
    <w:sdtContent>
      <w:sdt>
        <w:sdtPr>
          <w:rPr>
            <w:rFonts w:ascii="Times New Roman" w:hAnsi="Times New Roman" w:cs="Times New Roman"/>
            <w:i/>
          </w:rPr>
          <w:id w:val="1630276690"/>
          <w:docPartObj>
            <w:docPartGallery w:val="Page Numbers (Top of Page)"/>
            <w:docPartUnique/>
          </w:docPartObj>
        </w:sdtPr>
        <w:sdtContent>
          <w:p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324A01"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324A01" w:rsidRPr="001E7945">
          <w:rPr>
            <w:rFonts w:ascii="Times New Roman" w:hAnsi="Times New Roman" w:cs="Times New Roman"/>
            <w:i/>
          </w:rPr>
          <w:fldChar w:fldCharType="separate"/>
        </w:r>
        <w:r w:rsidR="008176B6">
          <w:rPr>
            <w:rFonts w:ascii="Times New Roman" w:hAnsi="Times New Roman" w:cs="Times New Roman"/>
            <w:i/>
            <w:noProof/>
            <w:lang w:val="en-US"/>
          </w:rPr>
          <w:t>2</w:t>
        </w:r>
        <w:r w:rsidR="00324A01" w:rsidRPr="001E7945">
          <w:rPr>
            <w:rFonts w:ascii="Times New Roman" w:hAnsi="Times New Roman" w:cs="Times New Roman"/>
            <w:i/>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4">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5">
    <w:nsid w:val="5A523C43"/>
    <w:multiLevelType w:val="multilevel"/>
    <w:tmpl w:val="2B524AB0"/>
    <w:lvl w:ilvl="0">
      <w:start w:val="1"/>
      <w:numFmt w:val="decimal"/>
      <w:lvlText w:val="%1."/>
      <w:lvlJc w:val="left"/>
      <w:pPr>
        <w:tabs>
          <w:tab w:val="num" w:pos="0"/>
        </w:tabs>
        <w:ind w:left="374" w:hanging="360"/>
      </w:pPr>
      <w:rPr>
        <w:rFonts w:ascii="Times New Roman" w:hAnsi="Times New Roman" w:cs="Times New Roman"/>
        <w:sz w:val="16"/>
        <w:szCs w:val="16"/>
      </w:rPr>
    </w:lvl>
    <w:lvl w:ilvl="1">
      <w:start w:val="1"/>
      <w:numFmt w:val="lowerLetter"/>
      <w:lvlText w:val="%2."/>
      <w:lvlJc w:val="left"/>
      <w:pPr>
        <w:tabs>
          <w:tab w:val="num" w:pos="0"/>
        </w:tabs>
        <w:ind w:left="1094" w:hanging="360"/>
      </w:pPr>
    </w:lvl>
    <w:lvl w:ilvl="2">
      <w:start w:val="1"/>
      <w:numFmt w:val="lowerRoman"/>
      <w:lvlText w:val="%3."/>
      <w:lvlJc w:val="right"/>
      <w:pPr>
        <w:tabs>
          <w:tab w:val="num" w:pos="0"/>
        </w:tabs>
        <w:ind w:left="1814" w:hanging="180"/>
      </w:pPr>
    </w:lvl>
    <w:lvl w:ilvl="3">
      <w:start w:val="1"/>
      <w:numFmt w:val="decimal"/>
      <w:lvlText w:val="%4."/>
      <w:lvlJc w:val="left"/>
      <w:pPr>
        <w:tabs>
          <w:tab w:val="num" w:pos="0"/>
        </w:tabs>
        <w:ind w:left="2534" w:hanging="360"/>
      </w:pPr>
    </w:lvl>
    <w:lvl w:ilvl="4">
      <w:start w:val="1"/>
      <w:numFmt w:val="lowerLetter"/>
      <w:lvlText w:val="%5."/>
      <w:lvlJc w:val="left"/>
      <w:pPr>
        <w:tabs>
          <w:tab w:val="num" w:pos="0"/>
        </w:tabs>
        <w:ind w:left="3254" w:hanging="360"/>
      </w:pPr>
    </w:lvl>
    <w:lvl w:ilvl="5">
      <w:start w:val="1"/>
      <w:numFmt w:val="lowerRoman"/>
      <w:lvlText w:val="%6."/>
      <w:lvlJc w:val="right"/>
      <w:pPr>
        <w:tabs>
          <w:tab w:val="num" w:pos="0"/>
        </w:tabs>
        <w:ind w:left="3974" w:hanging="180"/>
      </w:pPr>
    </w:lvl>
    <w:lvl w:ilvl="6">
      <w:start w:val="1"/>
      <w:numFmt w:val="decimal"/>
      <w:lvlText w:val="%7."/>
      <w:lvlJc w:val="left"/>
      <w:pPr>
        <w:tabs>
          <w:tab w:val="num" w:pos="0"/>
        </w:tabs>
        <w:ind w:left="4694" w:hanging="360"/>
      </w:pPr>
    </w:lvl>
    <w:lvl w:ilvl="7">
      <w:start w:val="1"/>
      <w:numFmt w:val="lowerLetter"/>
      <w:lvlText w:val="%8."/>
      <w:lvlJc w:val="left"/>
      <w:pPr>
        <w:tabs>
          <w:tab w:val="num" w:pos="0"/>
        </w:tabs>
        <w:ind w:left="5414" w:hanging="360"/>
      </w:pPr>
    </w:lvl>
    <w:lvl w:ilvl="8">
      <w:start w:val="1"/>
      <w:numFmt w:val="lowerRoman"/>
      <w:lvlText w:val="%9."/>
      <w:lvlJc w:val="right"/>
      <w:pPr>
        <w:tabs>
          <w:tab w:val="num" w:pos="0"/>
        </w:tabs>
        <w:ind w:left="6134" w:hanging="180"/>
      </w:pPr>
    </w:lvl>
  </w:abstractNum>
  <w:abstractNum w:abstractNumId="6">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7">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8">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9">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7"/>
  </w:num>
  <w:num w:numId="5">
    <w:abstractNumId w:val="8"/>
  </w:num>
  <w:num w:numId="6">
    <w:abstractNumId w:val="9"/>
  </w:num>
  <w:num w:numId="7">
    <w:abstractNumId w:val="0"/>
  </w:num>
  <w:num w:numId="8">
    <w:abstractNumId w:val="3"/>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034F2"/>
    <w:rsid w:val="00016637"/>
    <w:rsid w:val="00021E9C"/>
    <w:rsid w:val="00022219"/>
    <w:rsid w:val="00027132"/>
    <w:rsid w:val="00043346"/>
    <w:rsid w:val="00052C07"/>
    <w:rsid w:val="00064622"/>
    <w:rsid w:val="00067EC7"/>
    <w:rsid w:val="00071D12"/>
    <w:rsid w:val="00080691"/>
    <w:rsid w:val="00080694"/>
    <w:rsid w:val="0008088D"/>
    <w:rsid w:val="000B43BB"/>
    <w:rsid w:val="000B5E27"/>
    <w:rsid w:val="000D5CD1"/>
    <w:rsid w:val="000E1B06"/>
    <w:rsid w:val="000E37EE"/>
    <w:rsid w:val="001140D7"/>
    <w:rsid w:val="001218EB"/>
    <w:rsid w:val="001318C2"/>
    <w:rsid w:val="001448C4"/>
    <w:rsid w:val="00161894"/>
    <w:rsid w:val="00162C19"/>
    <w:rsid w:val="00166162"/>
    <w:rsid w:val="001703F6"/>
    <w:rsid w:val="001B0919"/>
    <w:rsid w:val="001B3B62"/>
    <w:rsid w:val="001B6750"/>
    <w:rsid w:val="001E7945"/>
    <w:rsid w:val="002500A5"/>
    <w:rsid w:val="00267622"/>
    <w:rsid w:val="00283198"/>
    <w:rsid w:val="002A4C3C"/>
    <w:rsid w:val="002B0175"/>
    <w:rsid w:val="002D3D88"/>
    <w:rsid w:val="002D6411"/>
    <w:rsid w:val="002E30B5"/>
    <w:rsid w:val="002F3546"/>
    <w:rsid w:val="0031578F"/>
    <w:rsid w:val="00321C31"/>
    <w:rsid w:val="00324A01"/>
    <w:rsid w:val="00331B1E"/>
    <w:rsid w:val="00364300"/>
    <w:rsid w:val="00371E85"/>
    <w:rsid w:val="0039568B"/>
    <w:rsid w:val="003A1F94"/>
    <w:rsid w:val="003B067D"/>
    <w:rsid w:val="003B47B7"/>
    <w:rsid w:val="003D12DD"/>
    <w:rsid w:val="003D5F61"/>
    <w:rsid w:val="003E2893"/>
    <w:rsid w:val="00402247"/>
    <w:rsid w:val="00427E5A"/>
    <w:rsid w:val="00436D4B"/>
    <w:rsid w:val="00440577"/>
    <w:rsid w:val="00463737"/>
    <w:rsid w:val="00477739"/>
    <w:rsid w:val="00491E9B"/>
    <w:rsid w:val="00496A67"/>
    <w:rsid w:val="004A44BC"/>
    <w:rsid w:val="004A5676"/>
    <w:rsid w:val="004B78A4"/>
    <w:rsid w:val="004C0411"/>
    <w:rsid w:val="004F73D8"/>
    <w:rsid w:val="00502985"/>
    <w:rsid w:val="00524995"/>
    <w:rsid w:val="00533D73"/>
    <w:rsid w:val="00534762"/>
    <w:rsid w:val="00543E62"/>
    <w:rsid w:val="0055422B"/>
    <w:rsid w:val="005C1614"/>
    <w:rsid w:val="005C7369"/>
    <w:rsid w:val="005C74E4"/>
    <w:rsid w:val="005E76C3"/>
    <w:rsid w:val="00607C90"/>
    <w:rsid w:val="00622DF1"/>
    <w:rsid w:val="00647AB5"/>
    <w:rsid w:val="0065245B"/>
    <w:rsid w:val="00661D28"/>
    <w:rsid w:val="00683408"/>
    <w:rsid w:val="006A0AAC"/>
    <w:rsid w:val="006B47DA"/>
    <w:rsid w:val="006C6C00"/>
    <w:rsid w:val="006D55E1"/>
    <w:rsid w:val="006E0C73"/>
    <w:rsid w:val="00706F05"/>
    <w:rsid w:val="00712EB3"/>
    <w:rsid w:val="007148F8"/>
    <w:rsid w:val="0072037E"/>
    <w:rsid w:val="007516EA"/>
    <w:rsid w:val="00770296"/>
    <w:rsid w:val="007A3351"/>
    <w:rsid w:val="007C276C"/>
    <w:rsid w:val="007D3F5F"/>
    <w:rsid w:val="007D7A42"/>
    <w:rsid w:val="007F357F"/>
    <w:rsid w:val="008114FB"/>
    <w:rsid w:val="008176B6"/>
    <w:rsid w:val="00820A77"/>
    <w:rsid w:val="00842E5C"/>
    <w:rsid w:val="00843FB7"/>
    <w:rsid w:val="008622A1"/>
    <w:rsid w:val="00863A30"/>
    <w:rsid w:val="00875175"/>
    <w:rsid w:val="0089304F"/>
    <w:rsid w:val="00894EE2"/>
    <w:rsid w:val="008A02BF"/>
    <w:rsid w:val="008A5C4E"/>
    <w:rsid w:val="008A6A35"/>
    <w:rsid w:val="008C6630"/>
    <w:rsid w:val="008C68C0"/>
    <w:rsid w:val="008D2BCF"/>
    <w:rsid w:val="008D4A61"/>
    <w:rsid w:val="008D771C"/>
    <w:rsid w:val="008E062B"/>
    <w:rsid w:val="00904B7F"/>
    <w:rsid w:val="009070B8"/>
    <w:rsid w:val="00916E1F"/>
    <w:rsid w:val="00921A74"/>
    <w:rsid w:val="00930DA8"/>
    <w:rsid w:val="009667F3"/>
    <w:rsid w:val="009738C6"/>
    <w:rsid w:val="0098462D"/>
    <w:rsid w:val="009A686E"/>
    <w:rsid w:val="009A6DAE"/>
    <w:rsid w:val="009B1ECD"/>
    <w:rsid w:val="009C29DD"/>
    <w:rsid w:val="009C6D86"/>
    <w:rsid w:val="009C734C"/>
    <w:rsid w:val="009F3258"/>
    <w:rsid w:val="00A20BFE"/>
    <w:rsid w:val="00A231BA"/>
    <w:rsid w:val="00A2608B"/>
    <w:rsid w:val="00A63B92"/>
    <w:rsid w:val="00A6442F"/>
    <w:rsid w:val="00A76F33"/>
    <w:rsid w:val="00A77F3B"/>
    <w:rsid w:val="00A858C6"/>
    <w:rsid w:val="00A9638C"/>
    <w:rsid w:val="00AD567B"/>
    <w:rsid w:val="00B23601"/>
    <w:rsid w:val="00B31609"/>
    <w:rsid w:val="00B5202A"/>
    <w:rsid w:val="00B62F65"/>
    <w:rsid w:val="00BA7835"/>
    <w:rsid w:val="00BB1D07"/>
    <w:rsid w:val="00BE4FEF"/>
    <w:rsid w:val="00C25E43"/>
    <w:rsid w:val="00C77FB3"/>
    <w:rsid w:val="00C964F3"/>
    <w:rsid w:val="00CA605E"/>
    <w:rsid w:val="00CB75AE"/>
    <w:rsid w:val="00CC03C8"/>
    <w:rsid w:val="00CC4B58"/>
    <w:rsid w:val="00CD128C"/>
    <w:rsid w:val="00CD3E21"/>
    <w:rsid w:val="00CD5043"/>
    <w:rsid w:val="00CD6FAC"/>
    <w:rsid w:val="00D22771"/>
    <w:rsid w:val="00D33D37"/>
    <w:rsid w:val="00D36C9F"/>
    <w:rsid w:val="00D71473"/>
    <w:rsid w:val="00D72B03"/>
    <w:rsid w:val="00D80B89"/>
    <w:rsid w:val="00DA0A72"/>
    <w:rsid w:val="00DB3C44"/>
    <w:rsid w:val="00DE3203"/>
    <w:rsid w:val="00DE7927"/>
    <w:rsid w:val="00DF1FCB"/>
    <w:rsid w:val="00DF4999"/>
    <w:rsid w:val="00E0763A"/>
    <w:rsid w:val="00E60451"/>
    <w:rsid w:val="00E76E65"/>
    <w:rsid w:val="00E81EDE"/>
    <w:rsid w:val="00E86FDE"/>
    <w:rsid w:val="00E95346"/>
    <w:rsid w:val="00EA364F"/>
    <w:rsid w:val="00EA6C3B"/>
    <w:rsid w:val="00EB2FCC"/>
    <w:rsid w:val="00EC1774"/>
    <w:rsid w:val="00EC6A2F"/>
    <w:rsid w:val="00EE0429"/>
    <w:rsid w:val="00EE4066"/>
    <w:rsid w:val="00EE4872"/>
    <w:rsid w:val="00EF625A"/>
    <w:rsid w:val="00EF7034"/>
    <w:rsid w:val="00F30C58"/>
    <w:rsid w:val="00F376FB"/>
    <w:rsid w:val="00F44BBC"/>
    <w:rsid w:val="00F53ED0"/>
    <w:rsid w:val="00F6796A"/>
    <w:rsid w:val="00F72A09"/>
    <w:rsid w:val="00F86864"/>
    <w:rsid w:val="00F90942"/>
    <w:rsid w:val="00F94740"/>
    <w:rsid w:val="00F95280"/>
    <w:rsid w:val="00FA0CD1"/>
    <w:rsid w:val="00FA1F57"/>
    <w:rsid w:val="00FB4DBE"/>
    <w:rsid w:val="00FD2F8B"/>
    <w:rsid w:val="00FD6303"/>
    <w:rsid w:val="00FE459E"/>
    <w:rsid w:val="00FE45D6"/>
    <w:rsid w:val="00FE6DA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qFormat/>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qFormat/>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qFormat/>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qForma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qFormat/>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qFormat/>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character" w:customStyle="1" w:styleId="UnresolvedMention">
    <w:name w:val="Unresolved Mention"/>
    <w:basedOn w:val="a0"/>
    <w:uiPriority w:val="99"/>
    <w:semiHidden/>
    <w:unhideWhenUsed/>
    <w:rsid w:val="00CC03C8"/>
    <w:rPr>
      <w:color w:val="605E5C"/>
      <w:shd w:val="clear" w:color="auto" w:fill="E1DFDD"/>
    </w:rPr>
  </w:style>
  <w:style w:type="table" w:customStyle="1" w:styleId="13">
    <w:name w:val="Сетка таблицы1"/>
    <w:basedOn w:val="a1"/>
    <w:next w:val="a1"/>
    <w:uiPriority w:val="59"/>
    <w:rsid w:val="009070B8"/>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creativecommons.org/licenses/by/4.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53E07-F421-4E7F-A769-A9966F5A6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Pages>
  <Words>1510</Words>
  <Characters>8610</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VIP_Kafa</cp:lastModifiedBy>
  <cp:revision>108</cp:revision>
  <dcterms:created xsi:type="dcterms:W3CDTF">2018-09-10T13:23:00Z</dcterms:created>
  <dcterms:modified xsi:type="dcterms:W3CDTF">2025-08-10T19:30:00Z</dcterms:modified>
</cp:coreProperties>
</file>