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5"/>
        <w:gridCol w:w="4671"/>
      </w:tblGrid>
      <w:tr w:rsidR="008622A1" w:rsidRPr="00185DD2" w14:paraId="0E428844" w14:textId="77777777" w:rsidTr="00256C7D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53C9A4BC" w14:textId="77777777" w:rsidR="00DB5532" w:rsidRDefault="00256C7D" w:rsidP="00DB5532">
            <w:pPr>
              <w:pStyle w:val="11"/>
              <w:rPr>
                <w:rStyle w:val="ezkurwreuab5ozgtqnkl"/>
                <w:rFonts w:cs="Arial"/>
              </w:rPr>
            </w:pPr>
            <w:r w:rsidRPr="00DA561F">
              <w:rPr>
                <w:rStyle w:val="ezkurwreuab5ozgtqnkl"/>
              </w:rPr>
              <w:t>SYNTHESIS</w:t>
            </w:r>
            <w:r w:rsidRPr="00DA561F">
              <w:t xml:space="preserve"> </w:t>
            </w:r>
            <w:r w:rsidRPr="00DA561F">
              <w:rPr>
                <w:rStyle w:val="ezkurwreuab5ozgtqnkl"/>
              </w:rPr>
              <w:t>AND</w:t>
            </w:r>
            <w:r w:rsidRPr="00DA561F">
              <w:t xml:space="preserve"> </w:t>
            </w:r>
            <w:r w:rsidR="00DB5532" w:rsidRPr="00A93871">
              <w:rPr>
                <w:rStyle w:val="ezkurwreuab5ozgtqnkl"/>
                <w:highlight w:val="green"/>
              </w:rPr>
              <w:t>Investigation</w:t>
            </w:r>
            <w:r w:rsidRPr="00DA561F">
              <w:t xml:space="preserve"> </w:t>
            </w:r>
            <w:r w:rsidRPr="00DA561F">
              <w:rPr>
                <w:rStyle w:val="ezkurwreuab5ozgtqnkl"/>
              </w:rPr>
              <w:t>OF</w:t>
            </w:r>
            <w:r w:rsidR="00DB5532">
              <w:rPr>
                <w:rStyle w:val="ezkurwreuab5ozgtqnkl"/>
              </w:rPr>
              <w:t xml:space="preserve"> </w:t>
            </w:r>
            <w:r w:rsidR="00DB5532">
              <w:t xml:space="preserve">the </w:t>
            </w:r>
            <w:r w:rsidRPr="00DA561F">
              <w:rPr>
                <w:rStyle w:val="ezkurwreuab5ozgtqnkl"/>
              </w:rPr>
              <w:t>TARGETED</w:t>
            </w:r>
            <w:r w:rsidRPr="00DA561F">
              <w:t xml:space="preserve"> </w:t>
            </w:r>
            <w:r w:rsidRPr="00DA561F">
              <w:rPr>
                <w:rStyle w:val="ezkurwreuab5ozgtqnkl"/>
              </w:rPr>
              <w:t>DRUG</w:t>
            </w:r>
            <w:r w:rsidRPr="00DA561F">
              <w:t xml:space="preserve"> </w:t>
            </w:r>
            <w:r w:rsidRPr="00DA561F">
              <w:rPr>
                <w:rStyle w:val="ezkurwreuab5ozgtqnkl"/>
              </w:rPr>
              <w:t>DELIVERY</w:t>
            </w:r>
            <w:r w:rsidRPr="00DA561F">
              <w:t xml:space="preserve"> SYSTEMS</w:t>
            </w:r>
            <w:r w:rsidR="00DB5532">
              <w:t xml:space="preserve"> </w:t>
            </w:r>
            <w:r w:rsidRPr="00DA561F">
              <w:rPr>
                <w:rStyle w:val="ezkurwreuab5ozgtqnkl"/>
              </w:rPr>
              <w:t>BASED</w:t>
            </w:r>
            <w:r w:rsidRPr="00DA561F">
              <w:t xml:space="preserve"> </w:t>
            </w:r>
            <w:r w:rsidRPr="00DA561F">
              <w:rPr>
                <w:rStyle w:val="ezkurwreuab5ozgtqnkl"/>
              </w:rPr>
              <w:t>ON</w:t>
            </w:r>
          </w:p>
          <w:p w14:paraId="204B9291" w14:textId="3ABBDAE7" w:rsidR="008622A1" w:rsidRPr="00D71473" w:rsidRDefault="00256C7D" w:rsidP="00DB5532">
            <w:pPr>
              <w:pStyle w:val="11"/>
            </w:pPr>
            <w:r w:rsidRPr="00DA561F">
              <w:t xml:space="preserve">BIMETALLIC </w:t>
            </w:r>
            <w:r w:rsidRPr="00DA561F">
              <w:rPr>
                <w:rStyle w:val="ezkurwreuab5ozgtqnkl"/>
              </w:rPr>
              <w:t>NANOPARTICLES</w:t>
            </w:r>
            <w:r w:rsidRPr="00DA561F">
              <w:rPr>
                <w:lang w:eastAsia="ru-RU"/>
              </w:rPr>
              <w:t xml:space="preserve"> A</w:t>
            </w:r>
            <w:r w:rsidRPr="00DB5532">
              <w:rPr>
                <w:caps w:val="0"/>
                <w:lang w:eastAsia="ru-RU"/>
              </w:rPr>
              <w:t>u</w:t>
            </w:r>
            <w:r w:rsidR="00DB5532">
              <w:rPr>
                <w:lang w:eastAsia="ru-RU"/>
              </w:rPr>
              <w:t>–</w:t>
            </w:r>
            <w:proofErr w:type="spellStart"/>
            <w:r w:rsidRPr="00DA561F">
              <w:rPr>
                <w:lang w:eastAsia="ru-RU"/>
              </w:rPr>
              <w:t>F</w:t>
            </w:r>
            <w:r w:rsidRPr="00DB5532">
              <w:rPr>
                <w:caps w:val="0"/>
                <w:lang w:eastAsia="ru-RU"/>
              </w:rPr>
              <w:t>e</w:t>
            </w:r>
            <w:r w:rsidRPr="00DA561F">
              <w:rPr>
                <w:lang w:eastAsia="ru-RU"/>
              </w:rPr>
              <w:t>O</w:t>
            </w:r>
            <w:proofErr w:type="spellEnd"/>
            <w:r w:rsidRPr="00DA561F">
              <w:rPr>
                <w:vertAlign w:val="subscript"/>
                <w:lang w:val="ru-RU" w:eastAsia="ru-RU"/>
              </w:rPr>
              <w:t>х</w:t>
            </w:r>
          </w:p>
        </w:tc>
      </w:tr>
      <w:tr w:rsidR="00D71473" w:rsidRPr="00895EFD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631E0096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185DD2">
              <w:rPr>
                <w:b/>
              </w:rPr>
              <w:t>25</w:t>
            </w:r>
            <w:r w:rsidRPr="00941F8C">
              <w:t xml:space="preserve">, </w:t>
            </w:r>
            <w:r w:rsidR="00185DD2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185DD2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85DD2">
              <w:rPr>
                <w:i/>
                <w:szCs w:val="14"/>
                <w:highlight w:val="green"/>
              </w:rPr>
              <w:t xml:space="preserve">Received </w:t>
            </w:r>
            <w:r w:rsidR="008E062B" w:rsidRPr="00185DD2">
              <w:rPr>
                <w:i/>
                <w:szCs w:val="14"/>
                <w:highlight w:val="green"/>
              </w:rPr>
              <w:t>XX</w:t>
            </w:r>
            <w:r w:rsidRPr="00185DD2">
              <w:rPr>
                <w:i/>
                <w:szCs w:val="14"/>
                <w:highlight w:val="green"/>
              </w:rPr>
              <w:t xml:space="preserve"> </w:t>
            </w:r>
            <w:r w:rsidR="008E062B" w:rsidRPr="00185DD2">
              <w:rPr>
                <w:i/>
                <w:szCs w:val="14"/>
                <w:highlight w:val="green"/>
              </w:rPr>
              <w:t>Month</w:t>
            </w:r>
            <w:r w:rsidRPr="00185DD2">
              <w:rPr>
                <w:i/>
                <w:szCs w:val="14"/>
                <w:highlight w:val="green"/>
              </w:rPr>
              <w:t xml:space="preserve"> 2</w:t>
            </w:r>
            <w:r w:rsidR="008E062B" w:rsidRPr="00185DD2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125299CB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185DD2">
              <w:rPr>
                <w:i/>
                <w:szCs w:val="14"/>
              </w:rPr>
              <w:t xml:space="preserve">5 April </w:t>
            </w:r>
            <w:r w:rsidR="008E062B">
              <w:rPr>
                <w:i/>
                <w:szCs w:val="14"/>
              </w:rPr>
              <w:t>20</w:t>
            </w:r>
            <w:r w:rsidR="00185DD2">
              <w:rPr>
                <w:i/>
                <w:szCs w:val="14"/>
              </w:rPr>
              <w:t>25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14BC6714" w:rsidR="00D71473" w:rsidRPr="00D71473" w:rsidRDefault="00707EF6" w:rsidP="007516EA">
            <w:pPr>
              <w:pStyle w:val="AuthorNames"/>
              <w:ind w:left="0"/>
            </w:pPr>
            <w:r w:rsidRPr="00DA561F">
              <w:rPr>
                <w:lang w:val="it-IT"/>
              </w:rPr>
              <w:t>A.</w:t>
            </w:r>
            <w:r>
              <w:rPr>
                <w:lang w:val="it-IT"/>
              </w:rPr>
              <w:t xml:space="preserve"> </w:t>
            </w:r>
            <w:r w:rsidRPr="00DA561F">
              <w:rPr>
                <w:lang w:val="it-IT"/>
              </w:rPr>
              <w:t>A. Voronova,</w:t>
            </w:r>
            <w:r>
              <w:rPr>
                <w:lang w:val="it-IT"/>
              </w:rPr>
              <w:t>*</w:t>
            </w:r>
            <w:r w:rsidRPr="00DA561F">
              <w:rPr>
                <w:i/>
                <w:vertAlign w:val="superscript"/>
                <w:lang w:val="it-IT"/>
              </w:rPr>
              <w:t>a</w:t>
            </w:r>
            <w:r>
              <w:rPr>
                <w:lang w:val="it-IT"/>
              </w:rPr>
              <w:t xml:space="preserve"> A.</w:t>
            </w:r>
            <w:r w:rsidRPr="00DA561F">
              <w:rPr>
                <w:lang w:val="it-IT"/>
              </w:rPr>
              <w:t xml:space="preserve"> Yu. Vasil</w:t>
            </w:r>
            <w:r>
              <w:rPr>
                <w:lang w:val="it-IT"/>
              </w:rPr>
              <w:t>'</w:t>
            </w:r>
            <w:r w:rsidRPr="00DA561F">
              <w:rPr>
                <w:lang w:val="it-IT"/>
              </w:rPr>
              <w:t>kov,</w:t>
            </w:r>
            <w:r w:rsidRPr="00DA561F">
              <w:rPr>
                <w:i/>
                <w:vertAlign w:val="superscript"/>
                <w:lang w:val="it-IT"/>
              </w:rPr>
              <w:t>a</w:t>
            </w:r>
            <w:r w:rsidRPr="00DA561F">
              <w:rPr>
                <w:lang w:val="it-IT"/>
              </w:rPr>
              <w:t xml:space="preserve"> A. V. Naumkin,</w:t>
            </w:r>
            <w:r w:rsidRPr="00707EF6">
              <w:rPr>
                <w:i/>
                <w:iCs/>
                <w:vertAlign w:val="superscript"/>
                <w:lang w:val="it-IT"/>
              </w:rPr>
              <w:t>a</w:t>
            </w:r>
            <w:r w:rsidR="00681055">
              <w:rPr>
                <w:i/>
                <w:iCs/>
                <w:vertAlign w:val="superscript"/>
                <w:lang w:val="it-IT"/>
              </w:rPr>
              <w:br/>
            </w:r>
            <w:r w:rsidRPr="00DA561F">
              <w:rPr>
                <w:lang w:val="it-IT"/>
              </w:rPr>
              <w:t>T. Batsalova,</w:t>
            </w:r>
            <w:r w:rsidRPr="00DA561F">
              <w:rPr>
                <w:i/>
                <w:vertAlign w:val="superscript"/>
                <w:lang w:val="it-IT"/>
              </w:rPr>
              <w:t>b</w:t>
            </w:r>
            <w:r w:rsidRPr="00DA561F">
              <w:rPr>
                <w:lang w:val="it-IT"/>
              </w:rPr>
              <w:t xml:space="preserve"> </w:t>
            </w:r>
            <w:r w:rsidR="00681055">
              <w:rPr>
                <w:lang w:val="it-IT"/>
              </w:rPr>
              <w:t xml:space="preserve">and </w:t>
            </w:r>
            <w:r w:rsidRPr="00DA561F">
              <w:rPr>
                <w:lang w:val="it-IT"/>
              </w:rPr>
              <w:t>B. Dzhambazov</w:t>
            </w:r>
            <w:r w:rsidRPr="00707EF6">
              <w:rPr>
                <w:i/>
                <w:iCs/>
                <w:vertAlign w:val="superscript"/>
                <w:lang w:val="it-IT"/>
              </w:rPr>
              <w:t>b</w:t>
            </w:r>
          </w:p>
        </w:tc>
      </w:tr>
      <w:tr w:rsidR="00D71473" w:rsidRPr="00895EFD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7F8653F1" w14:textId="35FC7C2F" w:rsidR="00707EF6" w:rsidRPr="00DA561F" w:rsidRDefault="00D71473" w:rsidP="00681055">
            <w:pPr>
              <w:pStyle w:val="Affiliations"/>
              <w:spacing w:before="120"/>
              <w:ind w:left="0"/>
              <w:rPr>
                <w:lang w:val="en-GB"/>
              </w:rPr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proofErr w:type="spellStart"/>
            <w:r w:rsidR="00707EF6" w:rsidRPr="00DA561F">
              <w:rPr>
                <w:lang w:val="en-GB"/>
              </w:rPr>
              <w:t>Nesmeyanov</w:t>
            </w:r>
            <w:proofErr w:type="spellEnd"/>
            <w:r w:rsidR="00707EF6" w:rsidRPr="00DA561F">
              <w:rPr>
                <w:lang w:val="en-GB"/>
              </w:rPr>
              <w:t xml:space="preserve"> Institute of </w:t>
            </w:r>
            <w:proofErr w:type="spellStart"/>
            <w:r w:rsidR="00707EF6" w:rsidRPr="00DA561F">
              <w:rPr>
                <w:lang w:val="en-GB"/>
              </w:rPr>
              <w:t>Organoelement</w:t>
            </w:r>
            <w:proofErr w:type="spellEnd"/>
            <w:r w:rsidR="00707EF6" w:rsidRPr="00DA561F">
              <w:rPr>
                <w:lang w:val="en-GB"/>
              </w:rPr>
              <w:t xml:space="preserve"> Compounds, Russian Academy of Sciences, </w:t>
            </w:r>
            <w:r w:rsidR="00707EF6">
              <w:rPr>
                <w:lang w:val="en-GB"/>
              </w:rPr>
              <w:t xml:space="preserve">ul. </w:t>
            </w:r>
            <w:proofErr w:type="spellStart"/>
            <w:r w:rsidR="00707EF6">
              <w:rPr>
                <w:lang w:val="en-GB"/>
              </w:rPr>
              <w:t>Vavilova</w:t>
            </w:r>
            <w:proofErr w:type="spellEnd"/>
            <w:r w:rsidR="00707EF6">
              <w:rPr>
                <w:lang w:val="en-GB"/>
              </w:rPr>
              <w:t xml:space="preserve"> 28, </w:t>
            </w:r>
            <w:r w:rsidR="00681055">
              <w:rPr>
                <w:lang w:val="en-GB"/>
              </w:rPr>
              <w:t xml:space="preserve">str. 1, Moscow, </w:t>
            </w:r>
            <w:r w:rsidR="00707EF6" w:rsidRPr="00DA561F">
              <w:rPr>
                <w:lang w:val="en-GB"/>
              </w:rPr>
              <w:t>119334 Russia</w:t>
            </w:r>
          </w:p>
          <w:p w14:paraId="5BCD59D0" w14:textId="7FFE3423" w:rsidR="00D71473" w:rsidRDefault="00707EF6" w:rsidP="00707EF6">
            <w:pPr>
              <w:pStyle w:val="Affiliations"/>
              <w:ind w:left="0"/>
            </w:pPr>
            <w:r w:rsidRPr="00DA561F">
              <w:rPr>
                <w:vertAlign w:val="superscript"/>
                <w:lang w:val="en-GB"/>
              </w:rPr>
              <w:t>b</w:t>
            </w:r>
            <w:r w:rsidRPr="00DA561F">
              <w:rPr>
                <w:lang w:val="en-GB"/>
              </w:rPr>
              <w:t xml:space="preserve"> </w:t>
            </w:r>
            <w:r w:rsidRPr="00DA561F">
              <w:rPr>
                <w:rFonts w:cs="Arial"/>
                <w:color w:val="222222"/>
                <w:shd w:val="clear" w:color="auto" w:fill="FFFFFF"/>
                <w:lang w:val="en-GB"/>
              </w:rPr>
              <w:t xml:space="preserve">Faculty of Biology, </w:t>
            </w:r>
            <w:proofErr w:type="spellStart"/>
            <w:r w:rsidRPr="00DA561F">
              <w:rPr>
                <w:rFonts w:cs="Arial"/>
                <w:color w:val="222222"/>
                <w:shd w:val="clear" w:color="auto" w:fill="FFFFFF"/>
                <w:lang w:val="en-GB"/>
              </w:rPr>
              <w:t>Paisii</w:t>
            </w:r>
            <w:proofErr w:type="spellEnd"/>
            <w:r w:rsidRPr="00DA561F">
              <w:rPr>
                <w:rFonts w:cs="Arial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DA561F">
              <w:rPr>
                <w:rFonts w:cs="Arial"/>
                <w:color w:val="222222"/>
                <w:shd w:val="clear" w:color="auto" w:fill="FFFFFF"/>
                <w:lang w:val="en-GB"/>
              </w:rPr>
              <w:t>Hilendarski</w:t>
            </w:r>
            <w:proofErr w:type="spellEnd"/>
            <w:r w:rsidRPr="00DA561F">
              <w:rPr>
                <w:rFonts w:cs="Arial"/>
                <w:color w:val="222222"/>
                <w:shd w:val="clear" w:color="auto" w:fill="FFFFFF"/>
                <w:lang w:val="en-GB"/>
              </w:rPr>
              <w:t xml:space="preserve"> University of Plovdiv,</w:t>
            </w:r>
            <w:r w:rsidR="00681055">
              <w:rPr>
                <w:rFonts w:cs="Arial"/>
                <w:color w:val="222222"/>
                <w:shd w:val="clear" w:color="auto" w:fill="FFFFFF"/>
                <w:lang w:val="en-GB"/>
              </w:rPr>
              <w:br/>
            </w:r>
            <w:r w:rsidRPr="00681055">
              <w:rPr>
                <w:rFonts w:cs="Arial"/>
                <w:color w:val="222222"/>
                <w:highlight w:val="green"/>
                <w:shd w:val="clear" w:color="auto" w:fill="FFFFFF"/>
                <w:lang w:val="en-GB"/>
              </w:rPr>
              <w:t>4000 Plovdiv, Bulgaria</w:t>
            </w:r>
          </w:p>
        </w:tc>
      </w:tr>
      <w:tr w:rsidR="00CD6FAC" w:rsidRPr="00185DD2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71B9146C" w:rsidR="00CD6FAC" w:rsidRDefault="004E0BFD" w:rsidP="004E0BFD">
            <w:pPr>
              <w:pStyle w:val="MainText"/>
              <w:ind w:firstLine="284"/>
            </w:pPr>
            <w:r w:rsidRPr="00DA561F">
              <w:t xml:space="preserve">New targeted drug delivery systems based on bimetallic </w:t>
            </w:r>
            <w:proofErr w:type="spellStart"/>
            <w:r w:rsidRPr="00AF1C2F">
              <w:t>AuFe</w:t>
            </w:r>
            <w:proofErr w:type="spellEnd"/>
            <w:r w:rsidRPr="00DA561F">
              <w:t xml:space="preserve"> nanoparticles and their conjugates with methotrexate were obtained in </w:t>
            </w:r>
            <w:r w:rsidR="00047A07">
              <w:t>different</w:t>
            </w:r>
            <w:r w:rsidRPr="00DA561F">
              <w:t xml:space="preserve"> media (acetone and toluene) by</w:t>
            </w:r>
            <w:r w:rsidR="00047A07">
              <w:t xml:space="preserve"> the</w:t>
            </w:r>
            <w:r w:rsidRPr="00DA561F">
              <w:t xml:space="preserve"> metal-vapor synthesis (MVS). The </w:t>
            </w:r>
            <w:r w:rsidR="00F5558A">
              <w:t>introduction</w:t>
            </w:r>
            <w:r w:rsidRPr="00DA561F">
              <w:t xml:space="preserve"> of methotrexate resulted in </w:t>
            </w:r>
            <w:r w:rsidR="00047A07">
              <w:t>a</w:t>
            </w:r>
            <w:r w:rsidRPr="00DA561F">
              <w:t xml:space="preserve"> reduction of Fe in both media. In the Au </w:t>
            </w:r>
            <w:smartTag w:uri="urn:schemas-microsoft-com:office:smarttags" w:element="metricconverter">
              <w:smartTagPr>
                <w:attr w:name="ProductID" w:val="4f"/>
              </w:smartTagPr>
              <w:r w:rsidRPr="00DA561F">
                <w:t>4f</w:t>
              </w:r>
            </w:smartTag>
            <w:r w:rsidRPr="00DA561F">
              <w:t xml:space="preserve"> spectra, both gold reduction for </w:t>
            </w:r>
            <w:r w:rsidR="00047A07">
              <w:t xml:space="preserve">the </w:t>
            </w:r>
            <w:r w:rsidRPr="00DA561F">
              <w:t xml:space="preserve">toluene medium and oxidation for </w:t>
            </w:r>
            <w:r w:rsidR="00047A07">
              <w:t xml:space="preserve">the </w:t>
            </w:r>
            <w:r w:rsidRPr="00DA561F">
              <w:t xml:space="preserve">acetone </w:t>
            </w:r>
            <w:r w:rsidR="00047A07">
              <w:t xml:space="preserve">medium </w:t>
            </w:r>
            <w:r w:rsidRPr="00DA561F">
              <w:t>were observed. An increase in the size of metal nanoparticles in the presence of methotrexate was observed exclusively in acetone. MTT assay</w:t>
            </w:r>
            <w:r w:rsidR="00047A07">
              <w:t xml:space="preserve"> revealed </w:t>
            </w:r>
            <w:r w:rsidRPr="00DA561F">
              <w:t xml:space="preserve">high inhibitory potential of </w:t>
            </w:r>
            <w:r w:rsidR="009850ED">
              <w:t xml:space="preserve">the </w:t>
            </w:r>
            <w:r w:rsidRPr="00DA561F">
              <w:t>bimetal conjugates in low concentrations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7FA35A0D" w:rsidR="00CD6FAC" w:rsidRDefault="004E0BFD" w:rsidP="005C7369">
            <w:pPr>
              <w:pStyle w:val="MainText"/>
              <w:ind w:firstLine="0"/>
              <w:jc w:val="center"/>
            </w:pPr>
            <w:r w:rsidRPr="00DA561F">
              <w:rPr>
                <w:noProof/>
              </w:rPr>
              <w:drawing>
                <wp:inline distT="0" distB="0" distL="0" distR="0" wp14:anchorId="3AAB1493" wp14:editId="0D07B284">
                  <wp:extent cx="2593818" cy="7462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656" cy="75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A71216" w14:paraId="009B990E" w14:textId="77777777" w:rsidTr="00DF4999">
        <w:tc>
          <w:tcPr>
            <w:tcW w:w="9639" w:type="dxa"/>
            <w:gridSpan w:val="4"/>
          </w:tcPr>
          <w:p w14:paraId="59E350B2" w14:textId="7196BC68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4E0BFD" w:rsidRPr="00DA561F">
              <w:t>anticancer drug</w:t>
            </w:r>
            <w:r w:rsidR="004E0BFD" w:rsidRPr="00DA561F">
              <w:rPr>
                <w:rStyle w:val="ezkurwreuab5ozgtqnkl"/>
              </w:rPr>
              <w:t>,</w:t>
            </w:r>
            <w:r w:rsidR="004E0BFD" w:rsidRPr="00DA561F">
              <w:t xml:space="preserve"> </w:t>
            </w:r>
            <w:proofErr w:type="spellStart"/>
            <w:r w:rsidR="004E0BFD" w:rsidRPr="00AF1C2F">
              <w:rPr>
                <w:rStyle w:val="ezkurwreuab5ozgtqnkl"/>
              </w:rPr>
              <w:t>AuFe</w:t>
            </w:r>
            <w:proofErr w:type="spellEnd"/>
            <w:r w:rsidR="004E0BFD" w:rsidRPr="00DA561F">
              <w:t xml:space="preserve"> </w:t>
            </w:r>
            <w:r w:rsidR="004E0BFD" w:rsidRPr="00DA561F">
              <w:rPr>
                <w:rStyle w:val="ezkurwreuab5ozgtqnkl"/>
              </w:rPr>
              <w:t>nanoparticles,</w:t>
            </w:r>
            <w:r w:rsidR="004E0BFD" w:rsidRPr="00DA561F">
              <w:t xml:space="preserve"> </w:t>
            </w:r>
            <w:r w:rsidR="004E0BFD" w:rsidRPr="00DA561F">
              <w:rPr>
                <w:rStyle w:val="ezkurwreuab5ozgtqnkl"/>
              </w:rPr>
              <w:t>methotrexate,</w:t>
            </w:r>
            <w:r w:rsidR="004E0BFD" w:rsidRPr="00DA561F">
              <w:t xml:space="preserve"> metal-</w:t>
            </w:r>
            <w:r w:rsidR="004E0BFD" w:rsidRPr="00DA561F">
              <w:rPr>
                <w:rStyle w:val="ezkurwreuab5ozgtqnkl"/>
              </w:rPr>
              <w:t>vapor</w:t>
            </w:r>
            <w:r w:rsidR="004E0BFD" w:rsidRPr="00DA561F">
              <w:t xml:space="preserve"> </w:t>
            </w:r>
            <w:r w:rsidR="004E0BFD" w:rsidRPr="00DA561F">
              <w:rPr>
                <w:rStyle w:val="ezkurwreuab5ozgtqnkl"/>
              </w:rPr>
              <w:t>synthesis</w:t>
            </w:r>
            <w:r w:rsidR="004E0BFD" w:rsidRPr="00DA561F">
              <w:t xml:space="preserve">, </w:t>
            </w:r>
            <w:r w:rsidR="004E0BFD" w:rsidRPr="00047A07">
              <w:rPr>
                <w:highlight w:val="green"/>
              </w:rPr>
              <w:t>XPS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E74F74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A489F85" w14:textId="0458484F" w:rsidR="00427E5A" w:rsidRPr="00F376FB" w:rsidRDefault="003C5533" w:rsidP="00792D8A">
      <w:pPr>
        <w:pStyle w:val="MainText"/>
        <w:ind w:firstLine="284"/>
      </w:pPr>
      <w:r w:rsidRPr="00DA561F">
        <w:t>Chemotherapy, one of the main methods f</w:t>
      </w:r>
      <w:r w:rsidR="00E74F74">
        <w:t>or</w:t>
      </w:r>
      <w:r w:rsidRPr="00DA561F">
        <w:t xml:space="preserve"> treating oncological diseases, has a number of limitations due to the fact that the non-specificity of drugs leads to undesirable side effects [1]. Metal nanoparticles (MNPs) have potential to solve </w:t>
      </w:r>
      <w:r w:rsidR="00E74F74">
        <w:t xml:space="preserve">the </w:t>
      </w:r>
      <w:r w:rsidRPr="00DA561F">
        <w:t xml:space="preserve">problems associated with these limitations, while their conjugation with antitumor agents may provide significant benefits in cancer therapy. A number of conjugates of MNPs with methotrexate </w:t>
      </w:r>
      <w:r w:rsidR="00E74F74">
        <w:t xml:space="preserve">have shown efficiency </w:t>
      </w:r>
      <w:r w:rsidRPr="00DA561F">
        <w:t>in the treatment of various types of cancer [2, 3].</w:t>
      </w:r>
      <w:r w:rsidRPr="00DA561F">
        <w:rPr>
          <w:color w:val="000000"/>
          <w:spacing w:val="-1"/>
        </w:rPr>
        <w:t xml:space="preserve"> </w:t>
      </w:r>
      <w:r w:rsidRPr="00DA561F">
        <w:t xml:space="preserve">New targeted drug delivery systems based on mono- and bimetallic Au, Fe, </w:t>
      </w:r>
      <w:r w:rsidR="00E74F74">
        <w:t xml:space="preserve">and </w:t>
      </w:r>
      <w:proofErr w:type="spellStart"/>
      <w:r w:rsidRPr="00DA561F">
        <w:t>AuFe</w:t>
      </w:r>
      <w:proofErr w:type="spellEnd"/>
      <w:r w:rsidRPr="00DA561F">
        <w:t xml:space="preserve"> nanoparticles and their conjugates with methotrexate (MTX) were obtained by </w:t>
      </w:r>
      <w:r w:rsidR="00E74F74">
        <w:t xml:space="preserve">the </w:t>
      </w:r>
      <w:r w:rsidRPr="00DA561F">
        <w:t>metal-vapor synthesis [4, 5]</w:t>
      </w:r>
      <w:r w:rsidRPr="00DA561F">
        <w:rPr>
          <w:color w:val="000000"/>
          <w:shd w:val="clear" w:color="auto" w:fill="FFFFFF"/>
        </w:rPr>
        <w:t>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1C0AD738" w14:textId="75CE53CF" w:rsidR="004B5197" w:rsidRPr="00DA561F" w:rsidRDefault="004B5197" w:rsidP="00792D8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GB"/>
        </w:rPr>
      </w:pPr>
      <w:r w:rsidRPr="00DA561F">
        <w:rPr>
          <w:rFonts w:ascii="Times New Roman" w:hAnsi="Times New Roman"/>
          <w:sz w:val="18"/>
          <w:szCs w:val="18"/>
          <w:lang w:val="en-US"/>
        </w:rPr>
        <w:t xml:space="preserve">The MVS method </w:t>
      </w:r>
      <w:r w:rsidR="00E74F74">
        <w:rPr>
          <w:rFonts w:ascii="Times New Roman" w:hAnsi="Times New Roman"/>
          <w:sz w:val="18"/>
          <w:szCs w:val="18"/>
          <w:lang w:val="en-US"/>
        </w:rPr>
        <w:t xml:space="preserve">ensures the production of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mono- and bimetallic nanoparticles with different </w:t>
      </w:r>
      <w:r w:rsidR="00E74F74" w:rsidRPr="00DA561F">
        <w:rPr>
          <w:rFonts w:ascii="Times New Roman" w:hAnsi="Times New Roman"/>
          <w:sz w:val="18"/>
          <w:szCs w:val="18"/>
          <w:lang w:val="en-US"/>
        </w:rPr>
        <w:t xml:space="preserve">ratios </w:t>
      </w:r>
      <w:r w:rsidR="00E74F74">
        <w:rPr>
          <w:rFonts w:ascii="Times New Roman" w:hAnsi="Times New Roman"/>
          <w:sz w:val="18"/>
          <w:szCs w:val="18"/>
          <w:lang w:val="en-US"/>
        </w:rPr>
        <w:t xml:space="preserve">of the </w:t>
      </w:r>
      <w:r w:rsidRPr="00DA561F">
        <w:rPr>
          <w:rFonts w:ascii="Times New Roman" w:hAnsi="Times New Roman"/>
          <w:sz w:val="18"/>
          <w:szCs w:val="18"/>
          <w:lang w:val="en-US"/>
        </w:rPr>
        <w:t>component</w:t>
      </w:r>
      <w:r w:rsidR="00E74F74">
        <w:rPr>
          <w:rFonts w:ascii="Times New Roman" w:hAnsi="Times New Roman"/>
          <w:sz w:val="18"/>
          <w:szCs w:val="18"/>
          <w:lang w:val="en-US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. When gold and iron atoms interact with toluene,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organosol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Au NPs and a thermolabile bis(toluene)Fe complex</w:t>
      </w:r>
      <w:r w:rsidR="00D43AF5">
        <w:rPr>
          <w:rFonts w:ascii="Times New Roman" w:hAnsi="Times New Roman"/>
          <w:sz w:val="18"/>
          <w:szCs w:val="18"/>
          <w:lang w:val="en-US"/>
        </w:rPr>
        <w:t>,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stable at temperatures below </w:t>
      </w:r>
      <w:r w:rsidR="00D43AF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>40</w:t>
      </w:r>
      <w:r w:rsidR="00D43AF5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43AF5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A561F">
        <w:rPr>
          <w:rFonts w:ascii="Times New Roman" w:hAnsi="Times New Roman"/>
          <w:sz w:val="18"/>
          <w:szCs w:val="18"/>
          <w:lang w:val="en-US"/>
        </w:rPr>
        <w:t>C, are formed (</w:t>
      </w:r>
      <w:r w:rsidR="00F37F38" w:rsidRPr="00F37F38">
        <w:rPr>
          <w:rFonts w:ascii="Times New Roman" w:hAnsi="Times New Roman"/>
          <w:sz w:val="18"/>
          <w:szCs w:val="18"/>
          <w:highlight w:val="green"/>
          <w:lang w:val="en-US"/>
        </w:rPr>
        <w:t>Scheme</w:t>
      </w:r>
      <w:r w:rsidRPr="00F37F38">
        <w:rPr>
          <w:rFonts w:ascii="Times New Roman" w:hAnsi="Times New Roman"/>
          <w:sz w:val="18"/>
          <w:szCs w:val="18"/>
          <w:highlight w:val="green"/>
          <w:lang w:val="en-US"/>
        </w:rPr>
        <w:t xml:space="preserve"> 1</w:t>
      </w:r>
      <w:r w:rsidRPr="00DA561F">
        <w:rPr>
          <w:rFonts w:ascii="Times New Roman" w:hAnsi="Times New Roman"/>
          <w:sz w:val="18"/>
          <w:szCs w:val="18"/>
          <w:lang w:val="en-US"/>
        </w:rPr>
        <w:t>). Then</w:t>
      </w:r>
      <w:r w:rsidR="00D43AF5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DA561F">
        <w:rPr>
          <w:rFonts w:ascii="Times New Roman" w:hAnsi="Times New Roman"/>
          <w:sz w:val="18"/>
          <w:szCs w:val="18"/>
          <w:lang w:val="en-US"/>
        </w:rPr>
        <w:t>upon heating to room temperature, colloid</w:t>
      </w:r>
      <w:r w:rsidRPr="00DA561F">
        <w:rPr>
          <w:rFonts w:ascii="Times New Roman" w:hAnsi="Times New Roman"/>
          <w:sz w:val="18"/>
          <w:szCs w:val="18"/>
          <w:lang w:val="en-GB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nanoparticles are formed in toluene (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>) and acetone (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>).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="00D43AF5">
        <w:rPr>
          <w:rFonts w:ascii="Times New Roman" w:hAnsi="Times New Roman"/>
          <w:sz w:val="18"/>
          <w:szCs w:val="18"/>
          <w:lang w:val="en-US"/>
        </w:rPr>
        <w:t>The a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nalysis of the </w:t>
      </w:r>
      <w:r w:rsidR="00D43AF5">
        <w:rPr>
          <w:rFonts w:ascii="Times New Roman" w:hAnsi="Times New Roman"/>
          <w:sz w:val="18"/>
          <w:szCs w:val="18"/>
          <w:lang w:val="en-US"/>
        </w:rPr>
        <w:t>resulting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systems by </w:t>
      </w:r>
      <w:r w:rsidRPr="00D43AF5">
        <w:rPr>
          <w:rFonts w:ascii="Times New Roman" w:hAnsi="Times New Roman"/>
          <w:sz w:val="18"/>
          <w:szCs w:val="18"/>
          <w:highlight w:val="green"/>
          <w:lang w:val="en-US"/>
        </w:rPr>
        <w:t>X</w:t>
      </w:r>
      <w:r w:rsidR="00D43AF5" w:rsidRPr="00D43AF5">
        <w:rPr>
          <w:rFonts w:ascii="Times New Roman" w:hAnsi="Times New Roman"/>
          <w:sz w:val="18"/>
          <w:szCs w:val="18"/>
          <w:highlight w:val="green"/>
          <w:lang w:val="en-US"/>
        </w:rPr>
        <w:t>-ray photoelectron spectroscopy (X</w:t>
      </w:r>
      <w:r w:rsidRPr="00D43AF5">
        <w:rPr>
          <w:rFonts w:ascii="Times New Roman" w:hAnsi="Times New Roman"/>
          <w:sz w:val="18"/>
          <w:szCs w:val="18"/>
          <w:highlight w:val="green"/>
          <w:lang w:val="en-US"/>
        </w:rPr>
        <w:t>PS</w:t>
      </w:r>
      <w:r w:rsidR="00D43AF5" w:rsidRPr="00D43AF5">
        <w:rPr>
          <w:rFonts w:ascii="Times New Roman" w:hAnsi="Times New Roman"/>
          <w:sz w:val="18"/>
          <w:szCs w:val="18"/>
          <w:highlight w:val="green"/>
          <w:lang w:val="en-US"/>
        </w:rPr>
        <w:t>)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37F38">
        <w:rPr>
          <w:rFonts w:ascii="Times New Roman" w:hAnsi="Times New Roman"/>
          <w:sz w:val="18"/>
          <w:szCs w:val="18"/>
          <w:lang w:val="en-US"/>
        </w:rPr>
        <w:t>revealed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that the use of toluene in</w:t>
      </w:r>
      <w:r w:rsidR="00F37F38">
        <w:rPr>
          <w:rFonts w:ascii="Times New Roman" w:hAnsi="Times New Roman"/>
          <w:sz w:val="18"/>
          <w:szCs w:val="18"/>
          <w:lang w:val="en-US"/>
        </w:rPr>
        <w:t xml:space="preserve"> the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M</w:t>
      </w:r>
      <w:r w:rsidRPr="00DA561F">
        <w:rPr>
          <w:rFonts w:ascii="Times New Roman" w:hAnsi="Times New Roman"/>
          <w:sz w:val="18"/>
          <w:szCs w:val="18"/>
          <w:lang w:val="en-GB"/>
        </w:rPr>
        <w:t>V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S leads to the formation of a state close to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FeO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. The main Fe 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US"/>
        </w:rPr>
        <w:t>2p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vertAlign w:val="subscript"/>
          <w:lang w:val="en-US"/>
        </w:rPr>
        <w:t>3/2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peak of the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sample has the lowest binding energy. There is </w:t>
      </w:r>
      <w:r w:rsidR="0093282C">
        <w:rPr>
          <w:rFonts w:ascii="Times New Roman" w:hAnsi="Times New Roman"/>
          <w:sz w:val="18"/>
          <w:szCs w:val="18"/>
          <w:lang w:val="en-US"/>
        </w:rPr>
        <w:t>almost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no satellite belonging to </w:t>
      </w:r>
      <w:r w:rsidR="00E253D2">
        <w:rPr>
          <w:rFonts w:ascii="Times New Roman" w:hAnsi="Times New Roman"/>
          <w:sz w:val="18"/>
          <w:szCs w:val="18"/>
          <w:lang w:val="en-US"/>
        </w:rPr>
        <w:t xml:space="preserve">a 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US"/>
        </w:rPr>
        <w:t>Fe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vertAlign w:val="superscript"/>
          <w:lang w:val="en-US"/>
        </w:rPr>
        <w:t>3+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state in the spectrum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AuFeTolMTX</w:t>
      </w:r>
      <w:proofErr w:type="spellEnd"/>
      <w:r w:rsidR="00F37F38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37F38" w:rsidRPr="00DA561F">
        <w:rPr>
          <w:rFonts w:ascii="Times New Roman" w:hAnsi="Times New Roman"/>
          <w:sz w:val="18"/>
          <w:szCs w:val="18"/>
          <w:lang w:val="en-US"/>
        </w:rPr>
        <w:t>(</w:t>
      </w:r>
      <w:r w:rsidR="00F37F38" w:rsidRPr="00F37F38">
        <w:rPr>
          <w:rFonts w:ascii="Times New Roman" w:hAnsi="Times New Roman"/>
          <w:sz w:val="18"/>
          <w:szCs w:val="18"/>
          <w:highlight w:val="green"/>
          <w:lang w:val="en-US"/>
        </w:rPr>
        <w:t>Fig. 1</w:t>
      </w:r>
      <w:r w:rsidR="00F37F38" w:rsidRPr="00DA561F">
        <w:rPr>
          <w:rFonts w:ascii="Times New Roman" w:hAnsi="Times New Roman"/>
          <w:sz w:val="18"/>
          <w:szCs w:val="18"/>
          <w:lang w:val="en-US"/>
        </w:rPr>
        <w:t>)</w:t>
      </w:r>
      <w:r w:rsidRPr="00DA561F">
        <w:rPr>
          <w:rFonts w:ascii="Times New Roman" w:hAnsi="Times New Roman"/>
          <w:sz w:val="18"/>
          <w:szCs w:val="18"/>
          <w:lang w:val="en-US"/>
        </w:rPr>
        <w:t>. After</w:t>
      </w:r>
      <w:r w:rsidR="00F37F38">
        <w:rPr>
          <w:rFonts w:ascii="Times New Roman" w:hAnsi="Times New Roman"/>
          <w:sz w:val="18"/>
          <w:szCs w:val="18"/>
          <w:lang w:val="en-US"/>
        </w:rPr>
        <w:t xml:space="preserve"> the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modification of the Fe NPs with methotrexate, </w:t>
      </w:r>
      <w:r w:rsidRPr="00DA561F">
        <w:rPr>
          <w:rFonts w:ascii="Times New Roman" w:hAnsi="Times New Roman"/>
          <w:sz w:val="18"/>
          <w:szCs w:val="18"/>
          <w:lang w:val="en-GB"/>
        </w:rPr>
        <w:t xml:space="preserve">the intensity of the satellite is significantly reduced, indicating the predominance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of </w:t>
      </w:r>
      <w:r w:rsidR="000F4E8A">
        <w:rPr>
          <w:rFonts w:ascii="Times New Roman" w:hAnsi="Times New Roman"/>
          <w:sz w:val="18"/>
          <w:szCs w:val="18"/>
          <w:lang w:val="en-US"/>
        </w:rPr>
        <w:t>a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A561F">
        <w:rPr>
          <w:rFonts w:ascii="Times New Roman" w:hAnsi="Times New Roman"/>
          <w:sz w:val="18"/>
          <w:szCs w:val="18"/>
          <w:shd w:val="clear" w:color="auto" w:fill="FFFFFF"/>
          <w:lang w:val="en-US"/>
        </w:rPr>
        <w:t>Fe</w:t>
      </w:r>
      <w:r w:rsidRPr="00DA561F">
        <w:rPr>
          <w:rFonts w:ascii="Times New Roman" w:hAnsi="Times New Roman"/>
          <w:sz w:val="18"/>
          <w:szCs w:val="18"/>
          <w:shd w:val="clear" w:color="auto" w:fill="FFFFFF"/>
          <w:vertAlign w:val="superscript"/>
          <w:lang w:val="en-US"/>
        </w:rPr>
        <w:t>2+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state</w:t>
      </w:r>
      <w:r w:rsidRPr="00DA561F">
        <w:rPr>
          <w:rFonts w:ascii="Times New Roman" w:hAnsi="Times New Roman"/>
          <w:sz w:val="18"/>
          <w:szCs w:val="18"/>
          <w:lang w:val="en-GB"/>
        </w:rPr>
        <w:t>.</w:t>
      </w:r>
    </w:p>
    <w:p w14:paraId="66EF48C5" w14:textId="761FB686" w:rsidR="004B5197" w:rsidRPr="00DA561F" w:rsidRDefault="004B5197" w:rsidP="009C5F52">
      <w:pPr>
        <w:spacing w:after="0"/>
        <w:rPr>
          <w:rFonts w:ascii="Times New Roman" w:hAnsi="Times New Roman"/>
          <w:b/>
          <w:sz w:val="18"/>
          <w:szCs w:val="18"/>
        </w:rPr>
      </w:pPr>
      <w:r w:rsidRPr="00DA561F">
        <w:rPr>
          <w:rFonts w:ascii="Times New Roman" w:hAnsi="Times New Roman"/>
          <w:b/>
          <w:noProof/>
          <w:sz w:val="18"/>
          <w:szCs w:val="18"/>
        </w:rPr>
        <w:drawing>
          <wp:inline distT="0" distB="0" distL="0" distR="0" wp14:anchorId="0E4E4FB9" wp14:editId="645D9B67">
            <wp:extent cx="2970530" cy="1307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AE13" w14:textId="1D76EAFA" w:rsidR="004B5197" w:rsidRDefault="00F37F38" w:rsidP="009C5F52">
      <w:pPr>
        <w:pStyle w:val="Captions"/>
        <w:spacing w:before="0" w:after="200" w:line="276" w:lineRule="auto"/>
        <w:ind w:firstLine="0"/>
        <w:rPr>
          <w:b w:val="0"/>
          <w:bCs/>
          <w:color w:val="000000"/>
          <w:sz w:val="16"/>
          <w:szCs w:val="16"/>
        </w:rPr>
      </w:pPr>
      <w:r w:rsidRPr="00F37F38">
        <w:rPr>
          <w:sz w:val="16"/>
          <w:szCs w:val="16"/>
          <w:highlight w:val="green"/>
        </w:rPr>
        <w:t xml:space="preserve">Scheme </w:t>
      </w:r>
      <w:r w:rsidR="004B5197" w:rsidRPr="00F37F38">
        <w:rPr>
          <w:sz w:val="16"/>
          <w:szCs w:val="16"/>
          <w:highlight w:val="green"/>
        </w:rPr>
        <w:t>1.</w:t>
      </w:r>
      <w:r w:rsidR="004B5197" w:rsidRPr="00DA561F">
        <w:rPr>
          <w:b w:val="0"/>
          <w:sz w:val="16"/>
          <w:szCs w:val="16"/>
        </w:rPr>
        <w:t xml:space="preserve"> </w:t>
      </w:r>
      <w:r>
        <w:rPr>
          <w:b w:val="0"/>
          <w:bCs/>
          <w:color w:val="000000"/>
          <w:sz w:val="16"/>
          <w:szCs w:val="16"/>
        </w:rPr>
        <w:t>Synthesis of n</w:t>
      </w:r>
      <w:r w:rsidR="004B5197" w:rsidRPr="00DA561F">
        <w:rPr>
          <w:b w:val="0"/>
          <w:bCs/>
          <w:color w:val="000000"/>
          <w:sz w:val="16"/>
          <w:szCs w:val="16"/>
        </w:rPr>
        <w:t>anoparticle</w:t>
      </w:r>
      <w:r>
        <w:rPr>
          <w:b w:val="0"/>
          <w:bCs/>
          <w:color w:val="000000"/>
          <w:sz w:val="16"/>
          <w:szCs w:val="16"/>
        </w:rPr>
        <w:t>s</w:t>
      </w:r>
      <w:r w:rsidR="004B5197" w:rsidRPr="00DA561F">
        <w:rPr>
          <w:b w:val="0"/>
          <w:bCs/>
          <w:color w:val="000000"/>
          <w:sz w:val="16"/>
          <w:szCs w:val="16"/>
        </w:rPr>
        <w:t>.</w:t>
      </w:r>
    </w:p>
    <w:p w14:paraId="7B6DAFB8" w14:textId="7C937B04" w:rsidR="004B5197" w:rsidRDefault="004B5197" w:rsidP="00792D8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US"/>
        </w:rPr>
        <w:t>The Au 4f</w:t>
      </w:r>
      <w:r w:rsidRPr="00DA561F">
        <w:rPr>
          <w:rFonts w:ascii="Times New Roman" w:hAnsi="Times New Roman"/>
          <w:color w:val="000000"/>
          <w:sz w:val="18"/>
          <w:szCs w:val="18"/>
          <w:shd w:val="clear" w:color="auto" w:fill="FFFFFF"/>
          <w:vertAlign w:val="subscript"/>
          <w:lang w:val="en-US"/>
        </w:rPr>
        <w:t>7/2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peaks of </w:t>
      </w:r>
      <w:r w:rsidR="00A71216">
        <w:rPr>
          <w:rFonts w:ascii="Times New Roman" w:hAnsi="Times New Roman"/>
          <w:sz w:val="18"/>
          <w:szCs w:val="18"/>
          <w:lang w:val="en-US"/>
        </w:rPr>
        <w:t xml:space="preserve">the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samples (</w:t>
      </w:r>
      <w:r w:rsidRPr="005F6F7A">
        <w:rPr>
          <w:rFonts w:ascii="Times New Roman" w:hAnsi="Times New Roman"/>
          <w:sz w:val="18"/>
          <w:szCs w:val="18"/>
          <w:highlight w:val="green"/>
          <w:lang w:val="en-US"/>
        </w:rPr>
        <w:t>Fig</w:t>
      </w:r>
      <w:r w:rsidR="005F6F7A" w:rsidRPr="005F6F7A">
        <w:rPr>
          <w:rFonts w:ascii="Times New Roman" w:hAnsi="Times New Roman"/>
          <w:sz w:val="18"/>
          <w:szCs w:val="18"/>
          <w:highlight w:val="green"/>
          <w:lang w:val="en-US"/>
        </w:rPr>
        <w:t>.</w:t>
      </w:r>
      <w:r w:rsidRPr="005F6F7A">
        <w:rPr>
          <w:rFonts w:ascii="Times New Roman" w:hAnsi="Times New Roman"/>
          <w:sz w:val="18"/>
          <w:szCs w:val="18"/>
          <w:highlight w:val="green"/>
          <w:lang w:val="en-US"/>
        </w:rPr>
        <w:t xml:space="preserve"> </w:t>
      </w:r>
      <w:r w:rsidR="005F6F7A" w:rsidRPr="005F6F7A">
        <w:rPr>
          <w:rFonts w:ascii="Times New Roman" w:hAnsi="Times New Roman"/>
          <w:sz w:val="18"/>
          <w:szCs w:val="18"/>
          <w:highlight w:val="green"/>
          <w:lang w:val="en-US"/>
        </w:rPr>
        <w:t>1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 are characterized by a positive chemical shift of 0.3 eV, but </w:t>
      </w:r>
      <w:r w:rsidR="00C03094">
        <w:rPr>
          <w:rFonts w:ascii="Times New Roman" w:hAnsi="Times New Roman"/>
          <w:sz w:val="18"/>
          <w:szCs w:val="18"/>
          <w:lang w:val="en-US"/>
        </w:rPr>
        <w:t>feature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different values of </w:t>
      </w:r>
      <w:r w:rsidRPr="00530226">
        <w:rPr>
          <w:rFonts w:ascii="Times New Roman" w:hAnsi="Times New Roman"/>
          <w:color w:val="202122"/>
          <w:sz w:val="18"/>
          <w:szCs w:val="18"/>
          <w:highlight w:val="green"/>
          <w:shd w:val="clear" w:color="auto" w:fill="FFFFFF"/>
          <w:lang w:val="en-US"/>
        </w:rPr>
        <w:t>FWHM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(1.02 and 1.44 eV) (see Fig</w:t>
      </w:r>
      <w:r w:rsidR="00530226">
        <w:rPr>
          <w:rFonts w:ascii="Times New Roman" w:hAnsi="Times New Roman"/>
          <w:sz w:val="18"/>
          <w:szCs w:val="18"/>
          <w:lang w:val="en-US"/>
        </w:rPr>
        <w:t>.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S1 in the Electronic complementary information (ESI)), which may be due to the nano</w:t>
      </w:r>
      <w:r w:rsidR="00530226">
        <w:rPr>
          <w:rFonts w:ascii="Times New Roman" w:hAnsi="Times New Roman"/>
          <w:sz w:val="18"/>
          <w:szCs w:val="18"/>
          <w:lang w:val="en-US"/>
        </w:rPr>
        <w:t xml:space="preserve">scale </w:t>
      </w:r>
      <w:r w:rsidRPr="00DA561F">
        <w:rPr>
          <w:rFonts w:ascii="Times New Roman" w:hAnsi="Times New Roman"/>
          <w:sz w:val="18"/>
          <w:szCs w:val="18"/>
          <w:lang w:val="en-US"/>
        </w:rPr>
        <w:t>particle size</w:t>
      </w:r>
      <w:r w:rsidR="00530226">
        <w:rPr>
          <w:rFonts w:ascii="Times New Roman" w:hAnsi="Times New Roman"/>
          <w:sz w:val="18"/>
          <w:szCs w:val="18"/>
          <w:lang w:val="en-US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and the presence of Au</w:t>
      </w:r>
      <w:r w:rsidR="0053022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O bonds in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(Fig</w:t>
      </w:r>
      <w:r w:rsidR="00530226">
        <w:rPr>
          <w:rFonts w:ascii="Times New Roman" w:hAnsi="Times New Roman"/>
          <w:sz w:val="18"/>
          <w:szCs w:val="18"/>
          <w:lang w:val="en-US"/>
        </w:rPr>
        <w:t>.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S2</w:t>
      </w:r>
      <w:r w:rsidR="00530226">
        <w:rPr>
          <w:rFonts w:ascii="Times New Roman" w:hAnsi="Times New Roman"/>
          <w:sz w:val="18"/>
          <w:szCs w:val="18"/>
          <w:lang w:val="en-US"/>
        </w:rPr>
        <w:t xml:space="preserve"> in the ESI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). The spectra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and Au foil are almost identical in shape (Fig</w:t>
      </w:r>
      <w:r w:rsidR="00530226">
        <w:rPr>
          <w:rFonts w:ascii="Times New Roman" w:hAnsi="Times New Roman"/>
          <w:sz w:val="18"/>
          <w:szCs w:val="18"/>
          <w:lang w:val="en-US"/>
        </w:rPr>
        <w:t>.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S3</w:t>
      </w:r>
      <w:r w:rsidR="00530226">
        <w:rPr>
          <w:rFonts w:ascii="Times New Roman" w:hAnsi="Times New Roman"/>
          <w:sz w:val="18"/>
          <w:szCs w:val="18"/>
          <w:lang w:val="en-US"/>
        </w:rPr>
        <w:t xml:space="preserve"> in the ESI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). </w:t>
      </w:r>
      <w:r w:rsidR="00F73E89">
        <w:rPr>
          <w:rFonts w:ascii="Times New Roman" w:hAnsi="Times New Roman"/>
          <w:sz w:val="18"/>
          <w:szCs w:val="18"/>
          <w:lang w:val="en-US"/>
        </w:rPr>
        <w:t>The i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nteraction </w:t>
      </w:r>
      <w:r w:rsidR="00F73E89">
        <w:rPr>
          <w:rFonts w:ascii="Times New Roman" w:hAnsi="Times New Roman"/>
          <w:sz w:val="18"/>
          <w:szCs w:val="18"/>
          <w:lang w:val="en-US"/>
        </w:rPr>
        <w:t xml:space="preserve">of </w:t>
      </w:r>
      <w:proofErr w:type="spellStart"/>
      <w:r w:rsidR="00F73E89"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="00F73E89" w:rsidRPr="00DA561F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="00F73E89"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="00F73E89" w:rsidRPr="00DA561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with methotrexate leads to a shift in the spectra by </w:t>
      </w:r>
      <w:r w:rsidR="00F73E89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0.3 and 0.45 eV, respectively, with concomitant narrowing and broadening of </w:t>
      </w:r>
      <w:r w:rsidR="00F73E89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peaks, which </w:t>
      </w:r>
      <w:r w:rsidR="00F73E89">
        <w:rPr>
          <w:rFonts w:ascii="Times New Roman" w:hAnsi="Times New Roman"/>
          <w:sz w:val="18"/>
          <w:szCs w:val="18"/>
          <w:lang w:val="en-US"/>
        </w:rPr>
        <w:t>in the case of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may indicate </w:t>
      </w:r>
      <w:r w:rsidR="00F73E89">
        <w:rPr>
          <w:rFonts w:ascii="Times New Roman" w:hAnsi="Times New Roman"/>
          <w:sz w:val="18"/>
          <w:szCs w:val="18"/>
          <w:lang w:val="en-US"/>
        </w:rPr>
        <w:t>the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lack of Au</w:t>
      </w:r>
      <w:r w:rsidR="00F73E89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>O bond</w:t>
      </w:r>
      <w:r w:rsidR="00F73E89">
        <w:rPr>
          <w:rFonts w:ascii="Times New Roman" w:hAnsi="Times New Roman"/>
          <w:sz w:val="18"/>
          <w:szCs w:val="18"/>
          <w:lang w:val="en-US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and the formation of Au</w:t>
      </w:r>
      <w:r w:rsidR="00F73E89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N bonds, while </w:t>
      </w:r>
      <w:r w:rsidR="00F73E89">
        <w:rPr>
          <w:rFonts w:ascii="Times New Roman" w:hAnsi="Times New Roman"/>
          <w:sz w:val="18"/>
          <w:szCs w:val="18"/>
          <w:lang w:val="en-US"/>
        </w:rPr>
        <w:t xml:space="preserve">in the case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="00F73E89">
        <w:rPr>
          <w:rFonts w:ascii="Times New Roman" w:hAnsi="Times New Roman"/>
          <w:sz w:val="18"/>
          <w:szCs w:val="18"/>
          <w:lang w:val="en-US"/>
        </w:rPr>
        <w:t xml:space="preserve"> it may indicate </w:t>
      </w:r>
      <w:r w:rsidRPr="00DA561F">
        <w:rPr>
          <w:rFonts w:ascii="Times New Roman" w:hAnsi="Times New Roman"/>
          <w:sz w:val="18"/>
          <w:szCs w:val="18"/>
          <w:lang w:val="en-US"/>
        </w:rPr>
        <w:t>the formation of Au</w:t>
      </w:r>
      <w:r w:rsidR="00F73E89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561F">
        <w:rPr>
          <w:rFonts w:ascii="Times New Roman" w:hAnsi="Times New Roman"/>
          <w:sz w:val="18"/>
          <w:szCs w:val="18"/>
          <w:lang w:val="en-US"/>
        </w:rPr>
        <w:t>O bonds.</w:t>
      </w:r>
    </w:p>
    <w:p w14:paraId="4AA2EFF7" w14:textId="02B01056" w:rsidR="005F6F7A" w:rsidRPr="00DA561F" w:rsidRDefault="009C5F52" w:rsidP="009C5F52">
      <w:pPr>
        <w:spacing w:before="120" w:after="120"/>
        <w:jc w:val="center"/>
        <w:rPr>
          <w:rFonts w:ascii="Times New Roman" w:hAnsi="Times New Roman"/>
          <w:color w:val="000000"/>
          <w:sz w:val="18"/>
          <w:szCs w:val="18"/>
          <w:shd w:val="clear" w:color="auto" w:fill="FFFFFF"/>
          <w:lang w:val="en-US"/>
        </w:rPr>
      </w:pPr>
      <w:r w:rsidRPr="00DA561F">
        <w:object w:dxaOrig="18377" w:dyaOrig="9647" w14:anchorId="7B997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75pt;height:93.75pt" o:ole="">
            <v:imagedata r:id="rId13" o:title="" croptop="7394f" cropbottom="5546f" cropleft="2021f" cropright="2021f"/>
          </v:shape>
          <o:OLEObject Type="Embed" ProgID="Origin50.Graph" ShapeID="_x0000_i1025" DrawAspect="Content" ObjectID="_1816108038" r:id="rId14"/>
        </w:object>
      </w:r>
    </w:p>
    <w:p w14:paraId="67DCC10D" w14:textId="77777777" w:rsidR="005F6F7A" w:rsidRPr="00DA561F" w:rsidRDefault="005F6F7A" w:rsidP="005F6F7A">
      <w:pPr>
        <w:pStyle w:val="Captions"/>
        <w:spacing w:before="120" w:after="200" w:line="276" w:lineRule="auto"/>
        <w:ind w:firstLine="0"/>
        <w:rPr>
          <w:sz w:val="16"/>
          <w:szCs w:val="16"/>
        </w:rPr>
      </w:pPr>
      <w:r w:rsidRPr="00D87C11">
        <w:rPr>
          <w:sz w:val="16"/>
          <w:szCs w:val="16"/>
          <w:highlight w:val="green"/>
        </w:rPr>
        <w:t>Figure 1.</w:t>
      </w:r>
      <w:r w:rsidRPr="00DA561F">
        <w:rPr>
          <w:b w:val="0"/>
          <w:sz w:val="16"/>
          <w:szCs w:val="16"/>
        </w:rPr>
        <w:t xml:space="preserve"> Fe 2p and Au 4f XPS spectra </w:t>
      </w:r>
      <w:r>
        <w:rPr>
          <w:b w:val="0"/>
          <w:sz w:val="16"/>
          <w:szCs w:val="16"/>
        </w:rPr>
        <w:t>of the s</w:t>
      </w:r>
      <w:r w:rsidRPr="00DA561F">
        <w:rPr>
          <w:b w:val="0"/>
          <w:sz w:val="16"/>
          <w:szCs w:val="16"/>
        </w:rPr>
        <w:t>amples</w:t>
      </w:r>
      <w:r>
        <w:rPr>
          <w:b w:val="0"/>
          <w:sz w:val="16"/>
          <w:szCs w:val="16"/>
        </w:rPr>
        <w:t xml:space="preserve"> explored</w:t>
      </w:r>
      <w:r w:rsidRPr="00DA561F">
        <w:rPr>
          <w:b w:val="0"/>
          <w:sz w:val="16"/>
          <w:szCs w:val="16"/>
        </w:rPr>
        <w:t>.</w:t>
      </w:r>
    </w:p>
    <w:p w14:paraId="39FB151D" w14:textId="3C7A6907" w:rsidR="004B5197" w:rsidRPr="00DA561F" w:rsidRDefault="004B5197" w:rsidP="00792D8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A561F">
        <w:rPr>
          <w:rFonts w:ascii="Times New Roman" w:hAnsi="Times New Roman"/>
          <w:color w:val="000000"/>
          <w:sz w:val="18"/>
          <w:szCs w:val="18"/>
          <w:lang w:val="en-US"/>
        </w:rPr>
        <w:lastRenderedPageBreak/>
        <w:t xml:space="preserve">The concentrations of </w:t>
      </w:r>
      <w:r w:rsidR="00F73E89">
        <w:rPr>
          <w:rFonts w:ascii="Times New Roman" w:hAnsi="Times New Roman"/>
          <w:color w:val="000000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color w:val="000000"/>
          <w:sz w:val="18"/>
          <w:szCs w:val="18"/>
          <w:lang w:val="en-US"/>
        </w:rPr>
        <w:t>elements on the surface of the samples</w:t>
      </w:r>
      <w:r w:rsidR="00F73E89">
        <w:rPr>
          <w:rFonts w:ascii="Times New Roman" w:hAnsi="Times New Roman"/>
          <w:color w:val="000000"/>
          <w:sz w:val="18"/>
          <w:szCs w:val="18"/>
          <w:lang w:val="en-US"/>
        </w:rPr>
        <w:t xml:space="preserve"> explored</w:t>
      </w:r>
      <w:r w:rsidRPr="00DA561F">
        <w:rPr>
          <w:rFonts w:ascii="Times New Roman" w:hAnsi="Times New Roman"/>
          <w:color w:val="000000"/>
          <w:sz w:val="18"/>
          <w:szCs w:val="18"/>
          <w:lang w:val="en-US"/>
        </w:rPr>
        <w:t xml:space="preserve">, calculated from </w:t>
      </w:r>
      <w:r w:rsidR="00F73E89">
        <w:rPr>
          <w:rFonts w:ascii="Times New Roman" w:hAnsi="Times New Roman"/>
          <w:color w:val="000000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color w:val="000000"/>
          <w:sz w:val="18"/>
          <w:szCs w:val="18"/>
          <w:lang w:val="en-US"/>
        </w:rPr>
        <w:t>high-resolution XPS spectra, are shown in Table S1</w:t>
      </w:r>
      <w:r w:rsidR="00F73E89">
        <w:rPr>
          <w:rFonts w:ascii="Times New Roman" w:hAnsi="Times New Roman"/>
          <w:color w:val="000000"/>
          <w:sz w:val="18"/>
          <w:szCs w:val="18"/>
          <w:lang w:val="en-US"/>
        </w:rPr>
        <w:t xml:space="preserve"> in the ESI.</w:t>
      </w:r>
    </w:p>
    <w:p w14:paraId="7065C955" w14:textId="5226E0F1" w:rsidR="004B5197" w:rsidRPr="00DA561F" w:rsidRDefault="004B5197" w:rsidP="00792D8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A561F">
        <w:rPr>
          <w:rFonts w:ascii="Times New Roman" w:hAnsi="Times New Roman"/>
          <w:sz w:val="18"/>
          <w:szCs w:val="18"/>
          <w:lang w:val="en-US"/>
        </w:rPr>
        <w:t>The size distribution</w:t>
      </w:r>
      <w:r w:rsidR="00AE14D0">
        <w:rPr>
          <w:rFonts w:ascii="Times New Roman" w:hAnsi="Times New Roman"/>
          <w:sz w:val="18"/>
          <w:szCs w:val="18"/>
          <w:lang w:val="en-US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AuFeAc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nanoparticles and their conjugates with methotrexate was studied by small-angle X-ray scattering (SAXS). The initial sections of the SAXS diagrams indicate the presence of large aggregates in the samples (Fig</w:t>
      </w:r>
      <w:r w:rsidR="00AB1FE4">
        <w:rPr>
          <w:rFonts w:ascii="Times New Roman" w:hAnsi="Times New Roman"/>
          <w:sz w:val="18"/>
          <w:szCs w:val="18"/>
          <w:lang w:val="en-US"/>
        </w:rPr>
        <w:t>.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S4</w:t>
      </w:r>
      <w:r w:rsidR="00AB1FE4">
        <w:rPr>
          <w:rFonts w:ascii="Times New Roman" w:hAnsi="Times New Roman"/>
          <w:sz w:val="18"/>
          <w:szCs w:val="18"/>
          <w:lang w:val="en-US"/>
        </w:rPr>
        <w:t xml:space="preserve"> in the ESI</w:t>
      </w:r>
      <w:r w:rsidRPr="00DA561F">
        <w:rPr>
          <w:rFonts w:ascii="Times New Roman" w:hAnsi="Times New Roman"/>
          <w:sz w:val="18"/>
          <w:szCs w:val="18"/>
          <w:lang w:val="en-US"/>
        </w:rPr>
        <w:t>).</w:t>
      </w:r>
      <w:r w:rsidR="00AB1FE4">
        <w:rPr>
          <w:rFonts w:ascii="Times New Roman" w:hAnsi="Times New Roman"/>
          <w:sz w:val="18"/>
          <w:szCs w:val="18"/>
          <w:lang w:val="en-US"/>
        </w:rPr>
        <w:t xml:space="preserve"> The b</w:t>
      </w:r>
      <w:r w:rsidRPr="00DA561F">
        <w:rPr>
          <w:rFonts w:ascii="Times New Roman" w:hAnsi="Times New Roman"/>
          <w:sz w:val="18"/>
          <w:szCs w:val="18"/>
          <w:lang w:val="en-US"/>
        </w:rPr>
        <w:t>imetallic samples are characterized by the presence of highly homogeneous populations of individual NP</w:t>
      </w:r>
      <w:r w:rsidR="008970FA">
        <w:rPr>
          <w:rFonts w:ascii="Times New Roman" w:hAnsi="Times New Roman"/>
          <w:sz w:val="18"/>
          <w:szCs w:val="18"/>
          <w:lang w:val="en-US"/>
        </w:rPr>
        <w:t>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along with a </w:t>
      </w:r>
      <w:r w:rsidR="00C44CDF">
        <w:rPr>
          <w:rFonts w:ascii="Times New Roman" w:hAnsi="Times New Roman"/>
          <w:sz w:val="18"/>
          <w:szCs w:val="18"/>
          <w:lang w:val="en-US"/>
        </w:rPr>
        <w:t xml:space="preserve">high content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of large aggregates. </w:t>
      </w:r>
      <w:r w:rsidR="008970FA">
        <w:rPr>
          <w:rFonts w:ascii="Times New Roman" w:hAnsi="Times New Roman"/>
          <w:sz w:val="18"/>
          <w:szCs w:val="18"/>
          <w:lang w:val="en-US"/>
        </w:rPr>
        <w:t>The m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etallic iron particles contain both small particles with an average radius of about 4.6 nm and aggregates with </w:t>
      </w:r>
      <w:r w:rsidR="006A2153">
        <w:rPr>
          <w:rFonts w:ascii="Times New Roman" w:hAnsi="Times New Roman"/>
          <w:sz w:val="18"/>
          <w:szCs w:val="18"/>
          <w:lang w:val="en-US"/>
        </w:rPr>
        <w:t xml:space="preserve">a radius </w:t>
      </w:r>
      <w:r w:rsidR="00C44CDF">
        <w:rPr>
          <w:rFonts w:ascii="Times New Roman" w:hAnsi="Times New Roman"/>
          <w:sz w:val="18"/>
          <w:szCs w:val="18"/>
          <w:lang w:val="en-US"/>
        </w:rPr>
        <w:t xml:space="preserve">of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up to 45 nm. In the presence of methotrexate, the number of aggregates increases, and the </w:t>
      </w:r>
      <w:r w:rsidR="00653577">
        <w:rPr>
          <w:rFonts w:ascii="Times New Roman" w:hAnsi="Times New Roman"/>
          <w:sz w:val="18"/>
          <w:szCs w:val="18"/>
          <w:lang w:val="en-US"/>
        </w:rPr>
        <w:t>content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of small nanoparticles becomes more pronounced. </w:t>
      </w:r>
      <w:r w:rsidR="00653577">
        <w:rPr>
          <w:rFonts w:ascii="Times New Roman" w:hAnsi="Times New Roman"/>
          <w:sz w:val="18"/>
          <w:szCs w:val="18"/>
          <w:lang w:val="en-US"/>
        </w:rPr>
        <w:t>The m</w:t>
      </w:r>
      <w:r w:rsidRPr="00DA561F">
        <w:rPr>
          <w:rFonts w:ascii="Times New Roman" w:hAnsi="Times New Roman"/>
          <w:sz w:val="18"/>
          <w:szCs w:val="18"/>
          <w:lang w:val="en-US"/>
        </w:rPr>
        <w:t>odification with methotrexate leads to increased interaction between nanoparticles and, as a result, to the formation of larger aggregates in</w:t>
      </w:r>
      <w:r w:rsidR="00653577">
        <w:rPr>
          <w:rFonts w:ascii="Times New Roman" w:hAnsi="Times New Roman"/>
          <w:sz w:val="18"/>
          <w:szCs w:val="18"/>
          <w:lang w:val="en-US"/>
        </w:rPr>
        <w:t xml:space="preserve"> the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conjugates</w:t>
      </w:r>
      <w:r w:rsidR="00653577">
        <w:rPr>
          <w:rFonts w:ascii="Times New Roman" w:hAnsi="Times New Roman"/>
          <w:sz w:val="18"/>
          <w:szCs w:val="18"/>
          <w:lang w:val="en-US"/>
        </w:rPr>
        <w:t>.</w:t>
      </w:r>
    </w:p>
    <w:p w14:paraId="137B614F" w14:textId="2B20060B" w:rsidR="004B5197" w:rsidRPr="00DA561F" w:rsidRDefault="004B5197" w:rsidP="0042536D">
      <w:pPr>
        <w:spacing w:after="0"/>
        <w:ind w:firstLine="284"/>
        <w:jc w:val="both"/>
        <w:rPr>
          <w:rStyle w:val="rynqvb"/>
          <w:rFonts w:cs="Calibri"/>
          <w:sz w:val="18"/>
          <w:szCs w:val="18"/>
          <w:lang w:val="en-US"/>
        </w:rPr>
      </w:pPr>
      <w:r w:rsidRPr="00DA561F">
        <w:rPr>
          <w:rFonts w:ascii="Times New Roman" w:hAnsi="Times New Roman"/>
          <w:sz w:val="18"/>
          <w:szCs w:val="18"/>
          <w:lang w:val="en-US"/>
        </w:rPr>
        <w:t xml:space="preserve">The experimental scattering curves of </w:t>
      </w:r>
      <w:r w:rsidR="0012071D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bimetallic nanoparticles of </w:t>
      </w:r>
      <w:proofErr w:type="spellStart"/>
      <w:r w:rsidRPr="00DA561F">
        <w:rPr>
          <w:rFonts w:ascii="Times New Roman" w:hAnsi="Times New Roman"/>
          <w:sz w:val="18"/>
          <w:szCs w:val="18"/>
          <w:lang w:val="en-US"/>
        </w:rPr>
        <w:t>AuFeTol</w:t>
      </w:r>
      <w:proofErr w:type="spellEnd"/>
      <w:r w:rsidRPr="00DA561F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="0012071D">
        <w:rPr>
          <w:rFonts w:ascii="Times New Roman" w:hAnsi="Times New Roman"/>
          <w:sz w:val="18"/>
          <w:szCs w:val="18"/>
          <w:lang w:val="en-US"/>
        </w:rPr>
        <w:t xml:space="preserve">those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modified with methotrexate differ </w:t>
      </w:r>
      <w:r w:rsidR="0012071D">
        <w:rPr>
          <w:rFonts w:ascii="Times New Roman" w:hAnsi="Times New Roman"/>
          <w:sz w:val="18"/>
          <w:szCs w:val="18"/>
          <w:lang w:val="en-US"/>
        </w:rPr>
        <w:t xml:space="preserve">only </w:t>
      </w:r>
      <w:r w:rsidRPr="00DA561F">
        <w:rPr>
          <w:rFonts w:ascii="Times New Roman" w:hAnsi="Times New Roman"/>
          <w:sz w:val="18"/>
          <w:szCs w:val="18"/>
          <w:lang w:val="en-US"/>
        </w:rPr>
        <w:t>slightly (</w:t>
      </w:r>
      <w:r w:rsidRPr="00D87C11">
        <w:rPr>
          <w:rFonts w:ascii="Times New Roman" w:hAnsi="Times New Roman"/>
          <w:sz w:val="18"/>
          <w:szCs w:val="18"/>
          <w:highlight w:val="green"/>
          <w:lang w:val="en-US"/>
        </w:rPr>
        <w:t>Fig</w:t>
      </w:r>
      <w:r w:rsidR="0012071D" w:rsidRPr="00D87C11">
        <w:rPr>
          <w:rFonts w:ascii="Times New Roman" w:hAnsi="Times New Roman"/>
          <w:sz w:val="18"/>
          <w:szCs w:val="18"/>
          <w:highlight w:val="green"/>
          <w:lang w:val="en-US"/>
        </w:rPr>
        <w:t>.</w:t>
      </w:r>
      <w:r w:rsidRPr="00D87C11">
        <w:rPr>
          <w:rFonts w:ascii="Times New Roman" w:hAnsi="Times New Roman"/>
          <w:sz w:val="18"/>
          <w:szCs w:val="18"/>
          <w:highlight w:val="green"/>
          <w:lang w:val="en-US"/>
        </w:rPr>
        <w:t xml:space="preserve"> </w:t>
      </w:r>
      <w:r w:rsidR="00D87C11" w:rsidRPr="00D87C11">
        <w:rPr>
          <w:rFonts w:ascii="Times New Roman" w:hAnsi="Times New Roman"/>
          <w:sz w:val="18"/>
          <w:szCs w:val="18"/>
          <w:highlight w:val="green"/>
          <w:lang w:val="en-US"/>
        </w:rPr>
        <w:t>2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). </w:t>
      </w:r>
      <w:r w:rsidR="00DA0130">
        <w:rPr>
          <w:rFonts w:ascii="Times New Roman" w:hAnsi="Times New Roman"/>
          <w:sz w:val="18"/>
          <w:szCs w:val="18"/>
          <w:lang w:val="en-US"/>
        </w:rPr>
        <w:t>The m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odification of nanoparticles with this drug does not lead to their additional aggregation. The distribution functions are bimodal and reveal narrow populations of individual MNPs together with a wide fraction of aggregates. The narrow fraction of individual bimetallic nanoparticles consists of nanoparticles with an average radius of </w:t>
      </w:r>
      <w:r w:rsidRPr="00DA561F">
        <w:rPr>
          <w:rStyle w:val="rynqvb"/>
          <w:rFonts w:ascii="Times New Roman" w:hAnsi="Times New Roman"/>
          <w:i/>
          <w:iCs/>
          <w:sz w:val="18"/>
          <w:szCs w:val="18"/>
          <w:lang w:val="en-US"/>
        </w:rPr>
        <w:t>R</w:t>
      </w:r>
      <w:r w:rsidRPr="00DA561F">
        <w:rPr>
          <w:rStyle w:val="rynqvb"/>
          <w:rFonts w:ascii="Times New Roman" w:hAnsi="Times New Roman"/>
          <w:i/>
          <w:iCs/>
          <w:sz w:val="18"/>
          <w:szCs w:val="18"/>
          <w:vertAlign w:val="subscript"/>
          <w:lang w:val="en-US"/>
        </w:rPr>
        <w:t>ind</w:t>
      </w:r>
      <w:r w:rsidRPr="00DA561F">
        <w:rPr>
          <w:rStyle w:val="rynqvb"/>
          <w:rFonts w:ascii="Times New Roman" w:hAnsi="Times New Roman"/>
          <w:sz w:val="18"/>
          <w:szCs w:val="18"/>
          <w:lang w:val="en-US"/>
        </w:rPr>
        <w:t xml:space="preserve"> ≈ 1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nm for both samples, while their aggregates reach a size of </w:t>
      </w:r>
      <w:proofErr w:type="spellStart"/>
      <w:r w:rsidRPr="00DA561F">
        <w:rPr>
          <w:rStyle w:val="rynqvb"/>
          <w:rFonts w:ascii="Times New Roman" w:hAnsi="Times New Roman"/>
          <w:i/>
          <w:iCs/>
          <w:sz w:val="18"/>
          <w:szCs w:val="18"/>
          <w:lang w:val="en-US"/>
        </w:rPr>
        <w:t>R</w:t>
      </w:r>
      <w:r w:rsidRPr="00DA561F">
        <w:rPr>
          <w:rStyle w:val="rynqvb"/>
          <w:rFonts w:ascii="Times New Roman" w:hAnsi="Times New Roman"/>
          <w:i/>
          <w:iCs/>
          <w:sz w:val="18"/>
          <w:szCs w:val="18"/>
          <w:vertAlign w:val="subscript"/>
          <w:lang w:val="en-US"/>
        </w:rPr>
        <w:t>agg</w:t>
      </w:r>
      <w:proofErr w:type="spellEnd"/>
      <w:r w:rsidRPr="00DA561F">
        <w:rPr>
          <w:rStyle w:val="rynqvb"/>
          <w:rFonts w:ascii="Times New Roman" w:hAnsi="Times New Roman"/>
          <w:sz w:val="18"/>
          <w:szCs w:val="18"/>
          <w:lang w:val="en-US"/>
        </w:rPr>
        <w:t xml:space="preserve"> =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30 nm for the initial particles and </w:t>
      </w:r>
      <w:proofErr w:type="spellStart"/>
      <w:r w:rsidRPr="00DA561F">
        <w:rPr>
          <w:rStyle w:val="rynqvb"/>
          <w:rFonts w:ascii="Times New Roman" w:hAnsi="Times New Roman"/>
          <w:i/>
          <w:iCs/>
          <w:sz w:val="18"/>
          <w:szCs w:val="18"/>
          <w:lang w:val="en-US"/>
        </w:rPr>
        <w:t>R</w:t>
      </w:r>
      <w:r w:rsidRPr="00DA561F">
        <w:rPr>
          <w:rStyle w:val="rynqvb"/>
          <w:rFonts w:ascii="Times New Roman" w:hAnsi="Times New Roman"/>
          <w:i/>
          <w:iCs/>
          <w:sz w:val="18"/>
          <w:szCs w:val="18"/>
          <w:vertAlign w:val="subscript"/>
          <w:lang w:val="en-US"/>
        </w:rPr>
        <w:t>agg</w:t>
      </w:r>
      <w:proofErr w:type="spellEnd"/>
      <w:r w:rsidRPr="00DA561F">
        <w:rPr>
          <w:rStyle w:val="rynqvb"/>
          <w:rFonts w:ascii="Times New Roman" w:hAnsi="Times New Roman"/>
          <w:sz w:val="18"/>
          <w:szCs w:val="18"/>
          <w:lang w:val="en-US"/>
        </w:rPr>
        <w:t xml:space="preserve"> =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32 nm for </w:t>
      </w:r>
      <w:r w:rsidR="00DA0130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sz w:val="18"/>
          <w:szCs w:val="18"/>
          <w:lang w:val="en-US"/>
        </w:rPr>
        <w:t>nanoparticles modified with methotrexate.</w:t>
      </w:r>
    </w:p>
    <w:p w14:paraId="7F50C4A0" w14:textId="794574F5" w:rsidR="004B5197" w:rsidRPr="00DA561F" w:rsidRDefault="004B5197" w:rsidP="00D87C11">
      <w:pPr>
        <w:spacing w:before="200" w:after="120"/>
        <w:jc w:val="center"/>
        <w:rPr>
          <w:rStyle w:val="rynqvb"/>
          <w:rFonts w:ascii="Times New Roman" w:hAnsi="Times New Roman"/>
          <w:sz w:val="18"/>
          <w:szCs w:val="18"/>
        </w:rPr>
      </w:pPr>
      <w:r w:rsidRPr="00DA561F">
        <w:rPr>
          <w:noProof/>
          <w:lang w:val="en-US"/>
        </w:rPr>
        <w:drawing>
          <wp:inline distT="0" distB="0" distL="0" distR="0" wp14:anchorId="7514F519" wp14:editId="1D55A270">
            <wp:extent cx="1860550" cy="1534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1F6A" w14:textId="7946CBFD" w:rsidR="004B5197" w:rsidRPr="00DA561F" w:rsidRDefault="004B5197" w:rsidP="0042536D">
      <w:pPr>
        <w:pStyle w:val="Captions"/>
        <w:spacing w:before="120" w:after="200" w:line="276" w:lineRule="auto"/>
        <w:ind w:firstLine="0"/>
        <w:rPr>
          <w:bCs/>
          <w:sz w:val="16"/>
          <w:szCs w:val="16"/>
        </w:rPr>
      </w:pPr>
      <w:r w:rsidRPr="00D87C11">
        <w:rPr>
          <w:sz w:val="16"/>
          <w:szCs w:val="16"/>
          <w:highlight w:val="green"/>
        </w:rPr>
        <w:t xml:space="preserve">Figure </w:t>
      </w:r>
      <w:r w:rsidR="00D87C11" w:rsidRPr="00D87C11">
        <w:rPr>
          <w:sz w:val="16"/>
          <w:szCs w:val="16"/>
          <w:highlight w:val="green"/>
        </w:rPr>
        <w:t>2</w:t>
      </w:r>
      <w:r w:rsidRPr="00D87C11">
        <w:rPr>
          <w:sz w:val="16"/>
          <w:szCs w:val="16"/>
          <w:highlight w:val="green"/>
        </w:rPr>
        <w:t>.</w:t>
      </w:r>
      <w:r w:rsidRPr="00DA561F">
        <w:rPr>
          <w:b w:val="0"/>
          <w:sz w:val="16"/>
          <w:szCs w:val="16"/>
        </w:rPr>
        <w:t xml:space="preserve"> SAXS curves for </w:t>
      </w:r>
      <w:r w:rsidR="00BA5A52">
        <w:rPr>
          <w:b w:val="0"/>
          <w:sz w:val="16"/>
          <w:szCs w:val="16"/>
        </w:rPr>
        <w:t xml:space="preserve">the </w:t>
      </w:r>
      <w:r w:rsidRPr="00DA561F">
        <w:rPr>
          <w:b w:val="0"/>
          <w:sz w:val="16"/>
          <w:szCs w:val="16"/>
        </w:rPr>
        <w:t xml:space="preserve">bimetals and their conjugates obtained in toluene. Inset: </w:t>
      </w:r>
      <w:r w:rsidR="00DA0130">
        <w:rPr>
          <w:b w:val="0"/>
          <w:sz w:val="16"/>
          <w:szCs w:val="16"/>
        </w:rPr>
        <w:t>v</w:t>
      </w:r>
      <w:r w:rsidRPr="00DA561F">
        <w:rPr>
          <w:b w:val="0"/>
          <w:sz w:val="16"/>
          <w:szCs w:val="16"/>
        </w:rPr>
        <w:t xml:space="preserve">olume size distribution functions </w:t>
      </w:r>
      <w:r w:rsidRPr="00DA561F">
        <w:rPr>
          <w:b w:val="0"/>
          <w:i/>
          <w:iCs/>
          <w:sz w:val="16"/>
          <w:szCs w:val="16"/>
        </w:rPr>
        <w:t>D</w:t>
      </w:r>
      <w:r w:rsidRPr="00DA0130">
        <w:rPr>
          <w:b w:val="0"/>
          <w:sz w:val="16"/>
          <w:szCs w:val="16"/>
          <w:vertAlign w:val="subscript"/>
        </w:rPr>
        <w:t>V</w:t>
      </w:r>
      <w:r w:rsidRPr="00DA561F">
        <w:rPr>
          <w:b w:val="0"/>
          <w:i/>
          <w:iCs/>
          <w:sz w:val="16"/>
          <w:szCs w:val="16"/>
        </w:rPr>
        <w:t>(R)</w:t>
      </w:r>
      <w:r w:rsidRPr="00DA561F">
        <w:rPr>
          <w:b w:val="0"/>
          <w:sz w:val="16"/>
          <w:szCs w:val="16"/>
        </w:rPr>
        <w:t>.</w:t>
      </w:r>
    </w:p>
    <w:p w14:paraId="3486E520" w14:textId="772A0121" w:rsidR="006E3B4B" w:rsidRPr="00DA561F" w:rsidRDefault="004B5197" w:rsidP="00D87C11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bookmarkStart w:id="0" w:name="_Hlk167016886"/>
      <w:r w:rsidRPr="00DA561F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5A549E">
        <w:rPr>
          <w:rFonts w:ascii="Times New Roman" w:hAnsi="Times New Roman"/>
          <w:sz w:val="18"/>
          <w:szCs w:val="18"/>
          <w:lang w:val="en-US"/>
        </w:rPr>
        <w:t xml:space="preserve">investigations of the 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antibacterial activity </w:t>
      </w:r>
      <w:r w:rsidR="005A549E">
        <w:rPr>
          <w:rFonts w:ascii="Times New Roman" w:hAnsi="Times New Roman"/>
          <w:sz w:val="18"/>
          <w:szCs w:val="18"/>
          <w:lang w:val="en-US"/>
        </w:rPr>
        <w:t>revealed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moderate inhibitory </w:t>
      </w:r>
      <w:r w:rsidR="005A549E">
        <w:rPr>
          <w:rFonts w:ascii="Times New Roman" w:hAnsi="Times New Roman"/>
          <w:sz w:val="18"/>
          <w:szCs w:val="18"/>
          <w:lang w:val="en-US"/>
        </w:rPr>
        <w:t>effects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="005A549E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sz w:val="18"/>
          <w:szCs w:val="18"/>
          <w:lang w:val="en-US"/>
        </w:rPr>
        <w:t>conjugates against gram-negative and gram-positive bacteria (Table S2</w:t>
      </w:r>
      <w:r w:rsidR="005A549E">
        <w:rPr>
          <w:rFonts w:ascii="Times New Roman" w:hAnsi="Times New Roman"/>
          <w:sz w:val="18"/>
          <w:szCs w:val="18"/>
          <w:lang w:val="en-US"/>
        </w:rPr>
        <w:t xml:space="preserve"> in the ESI</w:t>
      </w:r>
      <w:r w:rsidRPr="00DA561F">
        <w:rPr>
          <w:rFonts w:ascii="Times New Roman" w:hAnsi="Times New Roman"/>
          <w:sz w:val="18"/>
          <w:szCs w:val="18"/>
          <w:lang w:val="en-US"/>
        </w:rPr>
        <w:t>). The level of inhibition detected in normal human fibroblasts did not exceed 25% at the highest tested concentrations of the bimetal conjugates. This effect was manifested in the early testing periods of 24 and 48 h, which indicates the ability of cells to</w:t>
      </w:r>
      <w:bookmarkEnd w:id="0"/>
      <w:r w:rsidR="00D87C11">
        <w:rPr>
          <w:rFonts w:ascii="Times New Roman" w:hAnsi="Times New Roman"/>
          <w:sz w:val="18"/>
          <w:szCs w:val="18"/>
          <w:lang w:val="en-US"/>
        </w:rPr>
        <w:br/>
      </w:r>
    </w:p>
    <w:p w14:paraId="4450A096" w14:textId="0150257D" w:rsidR="004B5197" w:rsidRPr="00DA561F" w:rsidRDefault="004B5197" w:rsidP="00112683">
      <w:pPr>
        <w:spacing w:after="120"/>
        <w:jc w:val="both"/>
        <w:rPr>
          <w:rFonts w:ascii="Times New Roman" w:hAnsi="Times New Roman"/>
          <w:b/>
          <w:bCs/>
          <w:sz w:val="16"/>
          <w:szCs w:val="16"/>
        </w:rPr>
      </w:pPr>
      <w:r w:rsidRPr="00DA561F">
        <w:rPr>
          <w:noProof/>
          <w:lang w:val="en-US"/>
        </w:rPr>
        <w:drawing>
          <wp:inline distT="0" distB="0" distL="0" distR="0" wp14:anchorId="400BB425" wp14:editId="1D347A9A">
            <wp:extent cx="2969260" cy="100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6AE3" w14:textId="3C5A34C7" w:rsidR="004B5197" w:rsidRPr="00DA561F" w:rsidRDefault="004B5197" w:rsidP="0042536D">
      <w:pPr>
        <w:spacing w:before="120"/>
        <w:jc w:val="both"/>
        <w:rPr>
          <w:rFonts w:ascii="Times New Roman" w:hAnsi="Times New Roman"/>
          <w:sz w:val="16"/>
          <w:szCs w:val="16"/>
          <w:lang w:val="en-US" w:eastAsia="ru-RU"/>
        </w:rPr>
      </w:pPr>
      <w:r w:rsidRPr="00D87C11">
        <w:rPr>
          <w:rFonts w:ascii="Times New Roman" w:hAnsi="Times New Roman"/>
          <w:b/>
          <w:bCs/>
          <w:sz w:val="16"/>
          <w:szCs w:val="16"/>
          <w:highlight w:val="green"/>
          <w:lang w:val="en-US"/>
        </w:rPr>
        <w:t xml:space="preserve">Figure </w:t>
      </w:r>
      <w:r w:rsidR="00D87C11" w:rsidRPr="00D87C11">
        <w:rPr>
          <w:rFonts w:ascii="Times New Roman" w:hAnsi="Times New Roman"/>
          <w:b/>
          <w:bCs/>
          <w:sz w:val="16"/>
          <w:szCs w:val="16"/>
          <w:highlight w:val="green"/>
          <w:lang w:val="en-US"/>
        </w:rPr>
        <w:t>3</w:t>
      </w:r>
      <w:r w:rsidRPr="00D87C11">
        <w:rPr>
          <w:rFonts w:ascii="Times New Roman" w:hAnsi="Times New Roman"/>
          <w:b/>
          <w:bCs/>
          <w:sz w:val="16"/>
          <w:szCs w:val="16"/>
          <w:highlight w:val="green"/>
          <w:lang w:val="en-US"/>
        </w:rPr>
        <w:t>.</w:t>
      </w:r>
      <w:r w:rsidRPr="00DA561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560246">
        <w:rPr>
          <w:rFonts w:ascii="Times New Roman" w:hAnsi="Times New Roman"/>
          <w:sz w:val="16"/>
          <w:szCs w:val="16"/>
          <w:lang w:val="en-US"/>
        </w:rPr>
        <w:t>C</w:t>
      </w:r>
      <w:r w:rsidRPr="00DA561F">
        <w:rPr>
          <w:rFonts w:ascii="Times New Roman" w:hAnsi="Times New Roman"/>
          <w:sz w:val="16"/>
          <w:szCs w:val="16"/>
          <w:lang w:val="en-US"/>
        </w:rPr>
        <w:t xml:space="preserve">ytotoxicity of </w:t>
      </w:r>
      <w:r w:rsidR="00560246">
        <w:rPr>
          <w:rFonts w:ascii="Times New Roman" w:hAnsi="Times New Roman"/>
          <w:sz w:val="16"/>
          <w:szCs w:val="16"/>
          <w:lang w:val="en-US"/>
        </w:rPr>
        <w:t xml:space="preserve">the </w:t>
      </w:r>
      <w:r w:rsidRPr="00DA561F">
        <w:rPr>
          <w:rFonts w:ascii="Times New Roman" w:hAnsi="Times New Roman"/>
          <w:sz w:val="16"/>
          <w:szCs w:val="16"/>
          <w:lang w:val="en-US"/>
        </w:rPr>
        <w:t xml:space="preserve">NPs </w:t>
      </w:r>
      <w:r w:rsidR="00560246">
        <w:rPr>
          <w:rFonts w:ascii="Times New Roman" w:hAnsi="Times New Roman"/>
          <w:sz w:val="16"/>
          <w:szCs w:val="16"/>
          <w:lang w:val="en-US"/>
        </w:rPr>
        <w:t xml:space="preserve">under consideration against </w:t>
      </w:r>
      <w:r w:rsidRPr="00DA561F">
        <w:rPr>
          <w:rFonts w:ascii="Times New Roman" w:hAnsi="Times New Roman"/>
          <w:sz w:val="16"/>
          <w:szCs w:val="16"/>
          <w:lang w:val="en-US"/>
        </w:rPr>
        <w:t xml:space="preserve">human fibroblasts </w:t>
      </w:r>
      <w:r w:rsidR="00560246">
        <w:rPr>
          <w:rFonts w:ascii="Times New Roman" w:hAnsi="Times New Roman"/>
          <w:sz w:val="16"/>
          <w:szCs w:val="16"/>
          <w:lang w:val="en-US"/>
        </w:rPr>
        <w:t>(</w:t>
      </w:r>
      <w:r w:rsidR="00560246" w:rsidRPr="00560246">
        <w:rPr>
          <w:rFonts w:ascii="Times New Roman" w:hAnsi="Times New Roman"/>
          <w:b/>
          <w:bCs/>
          <w:i/>
          <w:iCs/>
          <w:sz w:val="16"/>
          <w:szCs w:val="16"/>
          <w:lang w:val="en-US"/>
        </w:rPr>
        <w:t>a</w:t>
      </w:r>
      <w:r w:rsidR="00560246">
        <w:rPr>
          <w:rFonts w:ascii="Times New Roman" w:hAnsi="Times New Roman"/>
          <w:sz w:val="16"/>
          <w:szCs w:val="16"/>
          <w:lang w:val="en-US"/>
        </w:rPr>
        <w:t xml:space="preserve">) </w:t>
      </w:r>
      <w:r w:rsidRPr="00DA561F">
        <w:rPr>
          <w:rFonts w:ascii="Times New Roman" w:hAnsi="Times New Roman"/>
          <w:sz w:val="16"/>
          <w:szCs w:val="16"/>
          <w:lang w:val="en-US"/>
        </w:rPr>
        <w:t>and human lung carcinoma cells</w:t>
      </w:r>
      <w:r w:rsidR="00560246">
        <w:rPr>
          <w:rFonts w:ascii="Times New Roman" w:hAnsi="Times New Roman"/>
          <w:sz w:val="16"/>
          <w:szCs w:val="16"/>
          <w:lang w:val="en-US"/>
        </w:rPr>
        <w:t xml:space="preserve"> (</w:t>
      </w:r>
      <w:r w:rsidR="00560246" w:rsidRPr="00560246">
        <w:rPr>
          <w:rFonts w:ascii="Times New Roman" w:hAnsi="Times New Roman"/>
          <w:b/>
          <w:bCs/>
          <w:i/>
          <w:iCs/>
          <w:sz w:val="16"/>
          <w:szCs w:val="16"/>
          <w:lang w:val="en-US"/>
        </w:rPr>
        <w:t>b</w:t>
      </w:r>
      <w:r w:rsidR="00560246">
        <w:rPr>
          <w:rFonts w:ascii="Times New Roman" w:hAnsi="Times New Roman"/>
          <w:sz w:val="16"/>
          <w:szCs w:val="16"/>
          <w:lang w:val="en-US"/>
        </w:rPr>
        <w:t>)</w:t>
      </w:r>
      <w:r w:rsidRPr="00DA561F">
        <w:rPr>
          <w:rFonts w:ascii="Times New Roman" w:hAnsi="Times New Roman"/>
          <w:sz w:val="16"/>
          <w:szCs w:val="16"/>
          <w:lang w:val="en-US"/>
        </w:rPr>
        <w:t>.</w:t>
      </w:r>
    </w:p>
    <w:p w14:paraId="1039445A" w14:textId="2840ED94" w:rsidR="00D87C11" w:rsidRDefault="00D87C11" w:rsidP="00D87C11">
      <w:pPr>
        <w:spacing w:after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over</w:t>
      </w:r>
      <w:r w:rsidRPr="00DA561F">
        <w:rPr>
          <w:rFonts w:ascii="Times New Roman" w:hAnsi="Times New Roman"/>
          <w:sz w:val="18"/>
          <w:szCs w:val="18"/>
          <w:lang w:val="en-US"/>
        </w:rPr>
        <w:t>come cytotoxic effects and a good potential for biocompatibility of the samples (</w:t>
      </w:r>
      <w:r w:rsidRPr="00D87C11">
        <w:rPr>
          <w:rFonts w:ascii="Times New Roman" w:hAnsi="Times New Roman"/>
          <w:sz w:val="18"/>
          <w:szCs w:val="18"/>
          <w:highlight w:val="green"/>
          <w:lang w:val="en-US"/>
        </w:rPr>
        <w:t>Fig. 3a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). </w:t>
      </w:r>
      <w:r>
        <w:rPr>
          <w:rFonts w:ascii="Times New Roman" w:hAnsi="Times New Roman"/>
          <w:sz w:val="18"/>
          <w:szCs w:val="18"/>
          <w:lang w:val="en-US"/>
        </w:rPr>
        <w:t>I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n low concentrations (10 </w:t>
      </w:r>
      <w:r w:rsidRPr="00DA561F">
        <w:rPr>
          <w:rFonts w:ascii="Times New Roman" w:hAnsi="Times New Roman"/>
          <w:color w:val="202122"/>
          <w:sz w:val="18"/>
          <w:szCs w:val="18"/>
          <w:shd w:val="clear" w:color="auto" w:fill="FFFFFF"/>
          <w:lang w:val="en-US"/>
        </w:rPr>
        <w:t>µg</w:t>
      </w:r>
      <w:r w:rsidRPr="00DA561F">
        <w:rPr>
          <w:rFonts w:ascii="Times New Roman" w:hAnsi="Times New Roman"/>
          <w:sz w:val="18"/>
          <w:szCs w:val="18"/>
          <w:lang w:val="en-US"/>
        </w:rPr>
        <w:t>/m</w:t>
      </w:r>
      <w:r>
        <w:rPr>
          <w:rFonts w:ascii="Times New Roman" w:hAnsi="Times New Roman"/>
          <w:sz w:val="18"/>
          <w:szCs w:val="18"/>
          <w:lang w:val="en-US"/>
        </w:rPr>
        <w:t>L</w:t>
      </w:r>
      <w:r w:rsidRPr="00DA561F">
        <w:rPr>
          <w:rFonts w:ascii="Times New Roman" w:hAnsi="Times New Roman"/>
          <w:sz w:val="18"/>
          <w:szCs w:val="18"/>
          <w:lang w:val="en-US"/>
        </w:rPr>
        <w:t>)</w:t>
      </w:r>
      <w:r>
        <w:rPr>
          <w:rFonts w:ascii="Times New Roman" w:hAnsi="Times New Roman"/>
          <w:sz w:val="18"/>
          <w:szCs w:val="18"/>
          <w:lang w:val="en-US"/>
        </w:rPr>
        <w:t>, the bimetal co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njugates </w:t>
      </w:r>
      <w:r>
        <w:rPr>
          <w:rFonts w:ascii="Times New Roman" w:hAnsi="Times New Roman"/>
          <w:sz w:val="18"/>
          <w:szCs w:val="18"/>
          <w:lang w:val="en-US"/>
        </w:rPr>
        <w:t xml:space="preserve">display </w:t>
      </w:r>
      <w:r w:rsidRPr="00DA561F">
        <w:rPr>
          <w:rFonts w:ascii="Times New Roman" w:hAnsi="Times New Roman"/>
          <w:sz w:val="18"/>
          <w:szCs w:val="18"/>
          <w:lang w:val="en-US"/>
        </w:rPr>
        <w:t>high inhibitory potential against human lung carcinoma cell</w:t>
      </w:r>
      <w:r>
        <w:rPr>
          <w:rFonts w:ascii="Times New Roman" w:hAnsi="Times New Roman"/>
          <w:sz w:val="18"/>
          <w:szCs w:val="18"/>
          <w:lang w:val="en-US"/>
        </w:rPr>
        <w:t xml:space="preserve">s </w:t>
      </w:r>
      <w:r w:rsidRPr="00DA561F">
        <w:rPr>
          <w:rFonts w:ascii="Times New Roman" w:hAnsi="Times New Roman"/>
          <w:sz w:val="18"/>
          <w:szCs w:val="18"/>
          <w:lang w:val="en-US"/>
        </w:rPr>
        <w:t>A549 (</w:t>
      </w:r>
      <w:r w:rsidRPr="00D87C11">
        <w:rPr>
          <w:rFonts w:ascii="Times New Roman" w:hAnsi="Times New Roman"/>
          <w:sz w:val="18"/>
          <w:szCs w:val="18"/>
          <w:highlight w:val="green"/>
          <w:lang w:val="en-US"/>
        </w:rPr>
        <w:t>Fig. 3b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). </w:t>
      </w:r>
      <w:r>
        <w:rPr>
          <w:rFonts w:ascii="Times New Roman" w:hAnsi="Times New Roman"/>
          <w:sz w:val="18"/>
          <w:szCs w:val="18"/>
          <w:lang w:val="en-US"/>
        </w:rPr>
        <w:t>The c</w:t>
      </w:r>
      <w:r w:rsidRPr="00DA561F">
        <w:rPr>
          <w:rFonts w:ascii="Times New Roman" w:hAnsi="Times New Roman"/>
          <w:sz w:val="18"/>
          <w:szCs w:val="18"/>
          <w:lang w:val="en-US"/>
        </w:rPr>
        <w:t xml:space="preserve">onjugate-induced inhibition can be explained by </w:t>
      </w:r>
      <w:r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A561F">
        <w:rPr>
          <w:rFonts w:ascii="Times New Roman" w:hAnsi="Times New Roman"/>
          <w:sz w:val="18"/>
          <w:szCs w:val="18"/>
          <w:lang w:val="en-US"/>
        </w:rPr>
        <w:t>effective drug targeting and possible synergistic effects.</w:t>
      </w:r>
    </w:p>
    <w:p w14:paraId="7FFFFBB2" w14:textId="77777777" w:rsidR="00D87C11" w:rsidRDefault="00D87C11" w:rsidP="00D87C1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1A67D50D" w:rsidR="00F94740" w:rsidRPr="004B5197" w:rsidRDefault="00D87C11" w:rsidP="00D87C11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GB"/>
        </w:rPr>
        <w:t>The metal-vapor synthesis can</w:t>
      </w:r>
      <w:r w:rsidRPr="00DA561F">
        <w:rPr>
          <w:rFonts w:ascii="Times New Roman" w:hAnsi="Times New Roman"/>
          <w:sz w:val="18"/>
          <w:szCs w:val="18"/>
          <w:lang w:val="en-GB"/>
        </w:rPr>
        <w:t xml:space="preserve"> be used for</w:t>
      </w:r>
      <w:r>
        <w:rPr>
          <w:rFonts w:ascii="Times New Roman" w:hAnsi="Times New Roman"/>
          <w:sz w:val="18"/>
          <w:szCs w:val="18"/>
          <w:lang w:val="en-GB"/>
        </w:rPr>
        <w:t xml:space="preserve"> the</w:t>
      </w:r>
      <w:r w:rsidRPr="00DA561F">
        <w:rPr>
          <w:rFonts w:ascii="Times New Roman" w:hAnsi="Times New Roman"/>
          <w:sz w:val="18"/>
          <w:szCs w:val="18"/>
          <w:lang w:val="en-GB"/>
        </w:rPr>
        <w:t xml:space="preserve"> creati</w:t>
      </w:r>
      <w:r>
        <w:rPr>
          <w:rFonts w:ascii="Times New Roman" w:hAnsi="Times New Roman"/>
          <w:sz w:val="18"/>
          <w:szCs w:val="18"/>
          <w:lang w:val="en-GB"/>
        </w:rPr>
        <w:t>o</w:t>
      </w:r>
      <w:r w:rsidRPr="00DA561F">
        <w:rPr>
          <w:rFonts w:ascii="Times New Roman" w:hAnsi="Times New Roman"/>
          <w:sz w:val="18"/>
          <w:szCs w:val="18"/>
          <w:lang w:val="en-GB"/>
        </w:rPr>
        <w:t xml:space="preserve">n </w:t>
      </w:r>
      <w:r>
        <w:rPr>
          <w:rFonts w:ascii="Times New Roman" w:hAnsi="Times New Roman"/>
          <w:sz w:val="18"/>
          <w:szCs w:val="18"/>
          <w:lang w:val="en-GB"/>
        </w:rPr>
        <w:t xml:space="preserve">of </w:t>
      </w:r>
      <w:r w:rsidR="006E3B4B" w:rsidRPr="00DA561F">
        <w:rPr>
          <w:rFonts w:ascii="Times New Roman" w:hAnsi="Times New Roman"/>
          <w:sz w:val="18"/>
          <w:szCs w:val="18"/>
          <w:lang w:val="en-GB"/>
        </w:rPr>
        <w:t xml:space="preserve">targeted drug delivery systems based on bimetallic </w:t>
      </w:r>
      <w:proofErr w:type="spellStart"/>
      <w:r w:rsidR="006E3B4B" w:rsidRPr="00DA561F">
        <w:rPr>
          <w:rFonts w:ascii="Times New Roman" w:hAnsi="Times New Roman"/>
          <w:sz w:val="18"/>
          <w:szCs w:val="18"/>
          <w:lang w:val="en-GB"/>
        </w:rPr>
        <w:t>AuFe</w:t>
      </w:r>
      <w:proofErr w:type="spellEnd"/>
      <w:r w:rsidR="006E3B4B" w:rsidRPr="00DA561F">
        <w:rPr>
          <w:rFonts w:ascii="Times New Roman" w:hAnsi="Times New Roman"/>
          <w:sz w:val="18"/>
          <w:szCs w:val="18"/>
          <w:lang w:val="en-GB"/>
        </w:rPr>
        <w:t xml:space="preserve"> </w:t>
      </w:r>
      <w:r w:rsidR="004B5197" w:rsidRPr="00DA561F">
        <w:rPr>
          <w:rFonts w:ascii="Times New Roman" w:hAnsi="Times New Roman"/>
          <w:sz w:val="18"/>
          <w:szCs w:val="18"/>
          <w:lang w:val="en-GB"/>
        </w:rPr>
        <w:t>nanoparticles and their conjugates with methotrexate.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="007365DA">
        <w:rPr>
          <w:rFonts w:ascii="Times New Roman" w:hAnsi="Times New Roman"/>
          <w:sz w:val="18"/>
          <w:szCs w:val="18"/>
          <w:lang w:val="en-US"/>
        </w:rPr>
        <w:t xml:space="preserve">resulting 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materials showed moderate inhibitory activity against gram-negative and gram-positive bacteria. </w:t>
      </w:r>
      <w:r w:rsidR="007365DA">
        <w:rPr>
          <w:rFonts w:ascii="Times New Roman" w:hAnsi="Times New Roman"/>
          <w:sz w:val="18"/>
          <w:szCs w:val="18"/>
          <w:lang w:val="en-US"/>
        </w:rPr>
        <w:t>The b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imetal conjugates </w:t>
      </w:r>
      <w:r w:rsidR="007365DA">
        <w:rPr>
          <w:rFonts w:ascii="Times New Roman" w:hAnsi="Times New Roman"/>
          <w:sz w:val="18"/>
          <w:szCs w:val="18"/>
          <w:lang w:val="en-US"/>
        </w:rPr>
        <w:t xml:space="preserve">exhibited 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good biocompatibility potential in </w:t>
      </w:r>
      <w:r w:rsidR="004B5197" w:rsidRPr="00DA561F">
        <w:rPr>
          <w:rFonts w:ascii="Times New Roman" w:hAnsi="Times New Roman"/>
          <w:i/>
          <w:sz w:val="18"/>
          <w:szCs w:val="18"/>
          <w:lang w:val="en-US"/>
        </w:rPr>
        <w:t>in vitro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 assays with normal human fibroblasts. </w:t>
      </w:r>
      <w:r w:rsidR="007365DA">
        <w:rPr>
          <w:rFonts w:ascii="Times New Roman" w:hAnsi="Times New Roman"/>
          <w:sz w:val="18"/>
          <w:szCs w:val="18"/>
          <w:lang w:val="en-US"/>
        </w:rPr>
        <w:t>The a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nalyses </w:t>
      </w:r>
      <w:r w:rsidR="007365DA">
        <w:rPr>
          <w:rFonts w:ascii="Times New Roman" w:hAnsi="Times New Roman"/>
          <w:sz w:val="18"/>
          <w:szCs w:val="18"/>
          <w:lang w:val="en-US"/>
        </w:rPr>
        <w:t>revealed prominent</w:t>
      </w:r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 inhibitory properties of </w:t>
      </w:r>
      <w:proofErr w:type="spellStart"/>
      <w:r w:rsidR="004B5197" w:rsidRPr="00DA561F">
        <w:rPr>
          <w:rFonts w:ascii="Times New Roman" w:hAnsi="Times New Roman"/>
          <w:sz w:val="18"/>
          <w:szCs w:val="18"/>
          <w:lang w:val="en-US"/>
        </w:rPr>
        <w:t>AuFeMTX</w:t>
      </w:r>
      <w:proofErr w:type="spellEnd"/>
      <w:r w:rsidR="004B5197" w:rsidRPr="00DA561F">
        <w:rPr>
          <w:rFonts w:ascii="Times New Roman" w:hAnsi="Times New Roman"/>
          <w:sz w:val="18"/>
          <w:szCs w:val="18"/>
          <w:lang w:val="en-US"/>
        </w:rPr>
        <w:t xml:space="preserve"> NPs against human lung carcinoma cells in low concentrations</w:t>
      </w:r>
      <w:r w:rsidR="004B5197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053495C6" w14:textId="77777777" w:rsidR="00B42594" w:rsidRDefault="004B5197" w:rsidP="0042536D">
      <w:pPr>
        <w:pStyle w:val="MainText"/>
        <w:ind w:firstLine="284"/>
      </w:pPr>
      <w:r w:rsidRPr="00DA561F">
        <w:t xml:space="preserve">This work was </w:t>
      </w:r>
      <w:r w:rsidR="007365DA">
        <w:t>supported by th</w:t>
      </w:r>
      <w:r w:rsidRPr="00DA561F">
        <w:t>e Ministry of Science and Higher Education of the Russian Federation (</w:t>
      </w:r>
      <w:r w:rsidR="007365DA">
        <w:t>agreement no</w:t>
      </w:r>
      <w:r w:rsidRPr="00DA561F">
        <w:t xml:space="preserve">. </w:t>
      </w:r>
      <w:r w:rsidRPr="007365DA">
        <w:rPr>
          <w:color w:val="263238"/>
          <w:highlight w:val="green"/>
          <w:shd w:val="clear" w:color="auto" w:fill="FFFFFF"/>
        </w:rPr>
        <w:t>075-00277-24-00</w:t>
      </w:r>
      <w:r w:rsidRPr="00DA561F">
        <w:t>).</w:t>
      </w:r>
    </w:p>
    <w:p w14:paraId="62583AAE" w14:textId="2BE4D7B9" w:rsidR="00F94740" w:rsidRPr="006070A2" w:rsidRDefault="004B5197" w:rsidP="0042536D">
      <w:pPr>
        <w:pStyle w:val="MainText"/>
        <w:ind w:firstLine="284"/>
      </w:pPr>
      <w:r w:rsidRPr="00DA561F">
        <w:rPr>
          <w:color w:val="222222"/>
          <w:shd w:val="clear" w:color="auto" w:fill="FFFFFF"/>
        </w:rPr>
        <w:t xml:space="preserve">The authors are grateful to E. </w:t>
      </w:r>
      <w:proofErr w:type="spellStart"/>
      <w:r w:rsidRPr="00DA561F">
        <w:rPr>
          <w:color w:val="222222"/>
          <w:shd w:val="clear" w:color="auto" w:fill="FFFFFF"/>
        </w:rPr>
        <w:t>Shtykova</w:t>
      </w:r>
      <w:proofErr w:type="spellEnd"/>
      <w:r w:rsidRPr="00DA561F">
        <w:rPr>
          <w:color w:val="222222"/>
          <w:shd w:val="clear" w:color="auto" w:fill="FFFFFF"/>
        </w:rPr>
        <w:t xml:space="preserve"> and V. Volkov for </w:t>
      </w:r>
      <w:r w:rsidR="007365DA">
        <w:rPr>
          <w:color w:val="222222"/>
          <w:shd w:val="clear" w:color="auto" w:fill="FFFFFF"/>
        </w:rPr>
        <w:t xml:space="preserve">the </w:t>
      </w:r>
      <w:r w:rsidRPr="00DA561F">
        <w:rPr>
          <w:color w:val="222222"/>
          <w:shd w:val="clear" w:color="auto" w:fill="FFFFFF"/>
        </w:rPr>
        <w:t xml:space="preserve">SAXS </w:t>
      </w:r>
      <w:r w:rsidR="007365DA">
        <w:rPr>
          <w:color w:val="222222"/>
          <w:shd w:val="clear" w:color="auto" w:fill="FFFFFF"/>
        </w:rPr>
        <w:t>studies</w:t>
      </w:r>
      <w:r>
        <w:rPr>
          <w:color w:val="222222"/>
          <w:shd w:val="clear" w:color="auto" w:fill="FFFFFF"/>
        </w:rP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6E557217" w:rsidR="00F86864" w:rsidRPr="00F86864" w:rsidRDefault="00F86864" w:rsidP="0042536D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4B5197" w:rsidRPr="00DA561F">
        <w:t xml:space="preserve">voronova.anastasiia.a@mail.ru. </w:t>
      </w:r>
      <w:r w:rsidR="004B5197" w:rsidRPr="004B5197">
        <w:rPr>
          <w:highlight w:val="green"/>
        </w:rPr>
        <w:t>Tel: +7(999)801-6219</w:t>
      </w:r>
      <w:r w:rsidR="004B5197">
        <w:t xml:space="preserve"> (A. A. </w:t>
      </w:r>
      <w:proofErr w:type="spellStart"/>
      <w:r w:rsidR="004B5197">
        <w:t>Voronova</w:t>
      </w:r>
      <w:proofErr w:type="spellEnd"/>
      <w:r w:rsidR="004B5197">
        <w:t>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67F6F8D3" w:rsidR="00161894" w:rsidRPr="00A15F05" w:rsidRDefault="00C547B9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DA561F">
        <w:rPr>
          <w:rFonts w:ascii="Times New Roman" w:hAnsi="Times New Roman" w:cs="Times New Roman"/>
          <w:b w:val="0"/>
          <w:bCs/>
          <w:color w:val="000000"/>
          <w:sz w:val="18"/>
          <w:szCs w:val="18"/>
          <w:shd w:val="clear" w:color="auto" w:fill="FFFFFF"/>
        </w:rPr>
        <w:t xml:space="preserve">Electronic supplementary information (ESI) available online: </w:t>
      </w:r>
      <w:r w:rsidR="00FE1E83" w:rsidRPr="007B164C">
        <w:rPr>
          <w:rFonts w:ascii="Times New Roman" w:hAnsi="Times New Roman" w:cs="Times New Roman"/>
          <w:b w:val="0"/>
          <w:bCs/>
          <w:color w:val="000000"/>
          <w:sz w:val="18"/>
          <w:szCs w:val="18"/>
          <w:highlight w:val="green"/>
          <w:shd w:val="clear" w:color="auto" w:fill="FFFFFF"/>
        </w:rPr>
        <w:t xml:space="preserve">the </w:t>
      </w:r>
      <w:r w:rsidRPr="007B164C">
        <w:rPr>
          <w:rFonts w:ascii="Times New Roman" w:hAnsi="Times New Roman" w:cs="Times New Roman"/>
          <w:b w:val="0"/>
          <w:sz w:val="18"/>
          <w:szCs w:val="18"/>
          <w:highlight w:val="green"/>
        </w:rPr>
        <w:t>syntheses</w:t>
      </w:r>
      <w:r w:rsidRPr="007B164C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 xml:space="preserve">, </w:t>
      </w:r>
      <w:r w:rsidR="007B164C" w:rsidRPr="007B164C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XPS and </w:t>
      </w:r>
      <w:r w:rsidRPr="007B164C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SAXS </w:t>
      </w:r>
      <w:r w:rsidR="007B164C" w:rsidRPr="007B164C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data, </w:t>
      </w:r>
      <w:r w:rsidRPr="007B164C">
        <w:rPr>
          <w:rFonts w:ascii="Times New Roman" w:hAnsi="Times New Roman" w:cs="Times New Roman"/>
          <w:b w:val="0"/>
          <w:sz w:val="18"/>
          <w:szCs w:val="18"/>
          <w:highlight w:val="green"/>
        </w:rPr>
        <w:t>antibacterial activity</w:t>
      </w:r>
      <w:r w:rsidRPr="007B164C">
        <w:rPr>
          <w:rFonts w:ascii="Times New Roman" w:hAnsi="Times New Roman" w:cs="Times New Roman"/>
          <w:b w:val="0"/>
          <w:bCs/>
          <w:color w:val="000000"/>
          <w:sz w:val="18"/>
          <w:szCs w:val="18"/>
          <w:highlight w:val="green"/>
          <w:shd w:val="clear" w:color="auto" w:fill="FFFFFF"/>
        </w:rPr>
        <w:t>.</w:t>
      </w:r>
      <w:bookmarkStart w:id="1" w:name="_GoBack"/>
      <w:bookmarkEnd w:id="1"/>
      <w:r w:rsidRPr="00DA561F">
        <w:rPr>
          <w:rFonts w:ascii="Times New Roman" w:hAnsi="Times New Roman" w:cs="Times New Roman"/>
          <w:b w:val="0"/>
          <w:bCs/>
          <w:color w:val="000000"/>
          <w:sz w:val="18"/>
          <w:szCs w:val="18"/>
          <w:shd w:val="clear" w:color="auto" w:fill="FFFFFF"/>
        </w:rPr>
        <w:t xml:space="preserve"> For ESI, see DOI: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10.32931/</w:t>
      </w:r>
      <w:proofErr w:type="spellStart"/>
      <w:r>
        <w:rPr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53369E1C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7EC36547" w14:textId="3CF555AA" w:rsidR="001C6D7A" w:rsidRPr="001C6D7A" w:rsidRDefault="004435F5" w:rsidP="001C6D7A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color w:val="222222"/>
          <w:sz w:val="16"/>
          <w:szCs w:val="16"/>
          <w:shd w:val="clear" w:color="auto" w:fill="FFFFFF"/>
        </w:rPr>
        <w:t>1.</w:t>
      </w:r>
      <w:r>
        <w:rPr>
          <w:color w:val="222222"/>
          <w:sz w:val="16"/>
          <w:szCs w:val="16"/>
          <w:shd w:val="clear" w:color="auto" w:fill="FFFFFF"/>
        </w:rPr>
        <w:tab/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M. Younis, M. Iqbal, N. </w:t>
      </w:r>
      <w:proofErr w:type="spellStart"/>
      <w:r w:rsidR="001C6D7A" w:rsidRPr="001C6D7A">
        <w:rPr>
          <w:color w:val="222222"/>
          <w:sz w:val="16"/>
          <w:szCs w:val="16"/>
          <w:shd w:val="clear" w:color="auto" w:fill="FFFFFF"/>
        </w:rPr>
        <w:t>Shoukat</w:t>
      </w:r>
      <w:proofErr w:type="spellEnd"/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, B. Nawaz, F. </w:t>
      </w:r>
      <w:r w:rsidR="00990F7E">
        <w:rPr>
          <w:color w:val="222222"/>
          <w:sz w:val="16"/>
          <w:szCs w:val="16"/>
          <w:shd w:val="clear" w:color="auto" w:fill="FFFFFF"/>
        </w:rPr>
        <w:t xml:space="preserve">H. </w:t>
      </w:r>
      <w:proofErr w:type="spellStart"/>
      <w:r w:rsidR="001C6D7A" w:rsidRPr="001C6D7A">
        <w:rPr>
          <w:color w:val="222222"/>
          <w:sz w:val="16"/>
          <w:szCs w:val="16"/>
          <w:shd w:val="clear" w:color="auto" w:fill="FFFFFF"/>
        </w:rPr>
        <w:t>Watto</w:t>
      </w:r>
      <w:proofErr w:type="spellEnd"/>
      <w:r w:rsidR="001C6D7A" w:rsidRPr="001C6D7A">
        <w:rPr>
          <w:color w:val="222222"/>
          <w:sz w:val="16"/>
          <w:szCs w:val="16"/>
          <w:shd w:val="clear" w:color="auto" w:fill="FFFFFF"/>
        </w:rPr>
        <w:t>, K.</w:t>
      </w:r>
      <w:r w:rsidR="00990F7E">
        <w:rPr>
          <w:color w:val="222222"/>
          <w:sz w:val="16"/>
          <w:szCs w:val="16"/>
          <w:shd w:val="clear" w:color="auto" w:fill="FFFFFF"/>
        </w:rPr>
        <w:t xml:space="preserve"> A.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Shahzad,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Sci</w:t>
      </w:r>
      <w:r w:rsidR="00990F7E">
        <w:rPr>
          <w:i/>
          <w:iCs/>
          <w:color w:val="222222"/>
          <w:sz w:val="16"/>
          <w:szCs w:val="16"/>
          <w:shd w:val="clear" w:color="auto" w:fill="FFFFFF"/>
        </w:rPr>
        <w:t>.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 xml:space="preserve"> Lett</w:t>
      </w:r>
      <w:r w:rsidR="001C6D7A" w:rsidRPr="00990F7E">
        <w:rPr>
          <w:color w:val="222222"/>
          <w:sz w:val="16"/>
          <w:szCs w:val="16"/>
          <w:shd w:val="clear" w:color="auto" w:fill="FFFFFF"/>
        </w:rPr>
        <w:t xml:space="preserve">., </w:t>
      </w:r>
      <w:r w:rsidR="001C6D7A" w:rsidRPr="001C6D7A">
        <w:rPr>
          <w:b/>
          <w:bCs/>
          <w:color w:val="222222"/>
          <w:sz w:val="16"/>
          <w:szCs w:val="16"/>
          <w:shd w:val="clear" w:color="auto" w:fill="FFFFFF"/>
        </w:rPr>
        <w:t>2014,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2</w:t>
      </w:r>
      <w:r w:rsidR="001C6D7A" w:rsidRPr="001C6D7A">
        <w:rPr>
          <w:color w:val="222222"/>
          <w:sz w:val="16"/>
          <w:szCs w:val="16"/>
          <w:shd w:val="clear" w:color="auto" w:fill="FFFFFF"/>
        </w:rPr>
        <w:t>, 15</w:t>
      </w:r>
      <w:r w:rsidR="00990F7E">
        <w:rPr>
          <w:color w:val="222222"/>
          <w:sz w:val="16"/>
          <w:szCs w:val="16"/>
          <w:shd w:val="clear" w:color="auto" w:fill="FFFFFF"/>
        </w:rPr>
        <w:t>–</w:t>
      </w:r>
      <w:r w:rsidR="001C6D7A" w:rsidRPr="001C6D7A">
        <w:rPr>
          <w:color w:val="222222"/>
          <w:sz w:val="16"/>
          <w:szCs w:val="16"/>
          <w:shd w:val="clear" w:color="auto" w:fill="FFFFFF"/>
        </w:rPr>
        <w:t>18.</w:t>
      </w:r>
    </w:p>
    <w:p w14:paraId="29115393" w14:textId="5048F52E" w:rsidR="001C6D7A" w:rsidRPr="001C6D7A" w:rsidRDefault="004435F5" w:rsidP="001C6D7A">
      <w:pPr>
        <w:pStyle w:val="References"/>
        <w:spacing w:line="264" w:lineRule="auto"/>
        <w:ind w:left="454" w:hanging="454"/>
        <w:rPr>
          <w:rStyle w:val="identifier"/>
          <w:sz w:val="16"/>
          <w:szCs w:val="16"/>
        </w:rPr>
      </w:pPr>
      <w:r>
        <w:rPr>
          <w:color w:val="222222"/>
          <w:sz w:val="16"/>
          <w:szCs w:val="16"/>
          <w:shd w:val="clear" w:color="auto" w:fill="FFFFFF"/>
        </w:rPr>
        <w:t>2.</w:t>
      </w:r>
      <w:r>
        <w:rPr>
          <w:color w:val="222222"/>
          <w:sz w:val="16"/>
          <w:szCs w:val="16"/>
          <w:shd w:val="clear" w:color="auto" w:fill="FFFFFF"/>
        </w:rPr>
        <w:tab/>
      </w:r>
      <w:r w:rsidR="001C6D7A" w:rsidRPr="001C6D7A">
        <w:rPr>
          <w:color w:val="222222"/>
          <w:sz w:val="16"/>
          <w:szCs w:val="16"/>
          <w:shd w:val="clear" w:color="auto" w:fill="FFFFFF"/>
        </w:rPr>
        <w:t>Y.</w:t>
      </w:r>
      <w:r w:rsidR="00166605">
        <w:rPr>
          <w:color w:val="222222"/>
          <w:sz w:val="16"/>
          <w:szCs w:val="16"/>
          <w:shd w:val="clear" w:color="auto" w:fill="FFFFFF"/>
        </w:rPr>
        <w:t xml:space="preserve">-H. </w:t>
      </w:r>
      <w:r w:rsidR="001C6D7A" w:rsidRPr="001C6D7A">
        <w:rPr>
          <w:color w:val="222222"/>
          <w:sz w:val="16"/>
          <w:szCs w:val="16"/>
          <w:shd w:val="clear" w:color="auto" w:fill="FFFFFF"/>
        </w:rPr>
        <w:t>Chen, C.</w:t>
      </w:r>
      <w:r w:rsidR="00166605">
        <w:rPr>
          <w:color w:val="222222"/>
          <w:sz w:val="16"/>
          <w:szCs w:val="16"/>
          <w:shd w:val="clear" w:color="auto" w:fill="FFFFFF"/>
        </w:rPr>
        <w:t>-Y.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Tsai, P.</w:t>
      </w:r>
      <w:r w:rsidR="00166605">
        <w:rPr>
          <w:color w:val="222222"/>
          <w:sz w:val="16"/>
          <w:szCs w:val="16"/>
          <w:shd w:val="clear" w:color="auto" w:fill="FFFFFF"/>
        </w:rPr>
        <w:t>-Y.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Huang, M.</w:t>
      </w:r>
      <w:r w:rsidR="00166605">
        <w:rPr>
          <w:color w:val="222222"/>
          <w:sz w:val="16"/>
          <w:szCs w:val="16"/>
          <w:shd w:val="clear" w:color="auto" w:fill="FFFFFF"/>
        </w:rPr>
        <w:t>-Y.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Chang, P.</w:t>
      </w:r>
      <w:r w:rsidR="00166605">
        <w:rPr>
          <w:color w:val="222222"/>
          <w:sz w:val="16"/>
          <w:szCs w:val="16"/>
          <w:shd w:val="clear" w:color="auto" w:fill="FFFFFF"/>
        </w:rPr>
        <w:t xml:space="preserve">-C. </w:t>
      </w:r>
      <w:r w:rsidR="001C6D7A" w:rsidRPr="001C6D7A">
        <w:rPr>
          <w:color w:val="222222"/>
          <w:sz w:val="16"/>
          <w:szCs w:val="16"/>
          <w:shd w:val="clear" w:color="auto" w:fill="FFFFFF"/>
        </w:rPr>
        <w:t>Cheng, C.</w:t>
      </w:r>
      <w:r w:rsidR="00166605">
        <w:rPr>
          <w:color w:val="222222"/>
          <w:sz w:val="16"/>
          <w:szCs w:val="16"/>
          <w:shd w:val="clear" w:color="auto" w:fill="FFFFFF"/>
        </w:rPr>
        <w:t>-H.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Chou, D.</w:t>
      </w:r>
      <w:r w:rsidR="00166605">
        <w:rPr>
          <w:color w:val="222222"/>
          <w:sz w:val="16"/>
          <w:szCs w:val="16"/>
          <w:shd w:val="clear" w:color="auto" w:fill="FFFFFF"/>
        </w:rPr>
        <w:t>-H.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Chen, C.</w:t>
      </w:r>
      <w:r w:rsidR="00166605">
        <w:rPr>
          <w:color w:val="222222"/>
          <w:sz w:val="16"/>
          <w:szCs w:val="16"/>
          <w:shd w:val="clear" w:color="auto" w:fill="FFFFFF"/>
        </w:rPr>
        <w:t>-R.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Wang, A.</w:t>
      </w:r>
      <w:r w:rsidR="00166605">
        <w:rPr>
          <w:color w:val="222222"/>
          <w:sz w:val="16"/>
          <w:szCs w:val="16"/>
          <w:shd w:val="clear" w:color="auto" w:fill="FFFFFF"/>
        </w:rPr>
        <w:t>-L.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="001C6D7A" w:rsidRPr="001C6D7A">
        <w:rPr>
          <w:color w:val="222222"/>
          <w:sz w:val="16"/>
          <w:szCs w:val="16"/>
          <w:shd w:val="clear" w:color="auto" w:fill="FFFFFF"/>
        </w:rPr>
        <w:t>Shiau</w:t>
      </w:r>
      <w:proofErr w:type="spellEnd"/>
      <w:r w:rsidR="001C6D7A" w:rsidRPr="001C6D7A">
        <w:rPr>
          <w:color w:val="222222"/>
          <w:sz w:val="16"/>
          <w:szCs w:val="16"/>
          <w:shd w:val="clear" w:color="auto" w:fill="FFFFFF"/>
        </w:rPr>
        <w:t>, C.</w:t>
      </w:r>
      <w:r w:rsidR="00166605">
        <w:rPr>
          <w:color w:val="222222"/>
          <w:sz w:val="16"/>
          <w:szCs w:val="16"/>
          <w:shd w:val="clear" w:color="auto" w:fill="FFFFFF"/>
        </w:rPr>
        <w:t>-L.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 Wu,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Mol</w:t>
      </w:r>
      <w:r w:rsidR="00990F7E">
        <w:rPr>
          <w:i/>
          <w:iCs/>
          <w:color w:val="222222"/>
          <w:sz w:val="16"/>
          <w:szCs w:val="16"/>
          <w:shd w:val="clear" w:color="auto" w:fill="FFFFFF"/>
        </w:rPr>
        <w:t>. P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harm</w:t>
      </w:r>
      <w:r w:rsidR="00166605">
        <w:rPr>
          <w:i/>
          <w:iCs/>
          <w:color w:val="222222"/>
          <w:sz w:val="16"/>
          <w:szCs w:val="16"/>
          <w:shd w:val="clear" w:color="auto" w:fill="FFFFFF"/>
        </w:rPr>
        <w:t>aceutics</w:t>
      </w:r>
      <w:r w:rsidR="001C6D7A" w:rsidRPr="00990F7E">
        <w:rPr>
          <w:color w:val="222222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b/>
          <w:bCs/>
          <w:color w:val="222222"/>
          <w:sz w:val="16"/>
          <w:szCs w:val="16"/>
          <w:shd w:val="clear" w:color="auto" w:fill="FFFFFF"/>
        </w:rPr>
        <w:t>2007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4</w:t>
      </w:r>
      <w:r w:rsidR="001C6D7A" w:rsidRPr="001C6D7A">
        <w:rPr>
          <w:color w:val="222222"/>
          <w:sz w:val="16"/>
          <w:szCs w:val="16"/>
          <w:shd w:val="clear" w:color="auto" w:fill="FFFFFF"/>
        </w:rPr>
        <w:t>, 713</w:t>
      </w:r>
      <w:r w:rsidR="00166605">
        <w:rPr>
          <w:color w:val="222222"/>
          <w:sz w:val="16"/>
          <w:szCs w:val="16"/>
          <w:shd w:val="clear" w:color="auto" w:fill="FFFFFF"/>
        </w:rPr>
        <w:t>–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722. DOI: </w:t>
      </w:r>
      <w:r w:rsidR="001C6D7A" w:rsidRPr="001C6D7A">
        <w:rPr>
          <w:rStyle w:val="identifier"/>
          <w:color w:val="212121"/>
          <w:sz w:val="16"/>
          <w:szCs w:val="16"/>
        </w:rPr>
        <w:t>10.1021/mp060132k</w:t>
      </w:r>
    </w:p>
    <w:p w14:paraId="18BFEEC5" w14:textId="609660BB" w:rsidR="001C6D7A" w:rsidRPr="001C6D7A" w:rsidRDefault="004435F5" w:rsidP="001C6D7A">
      <w:pPr>
        <w:pStyle w:val="References"/>
        <w:spacing w:line="264" w:lineRule="auto"/>
        <w:ind w:left="454" w:hanging="454"/>
        <w:rPr>
          <w:rStyle w:val="identifier"/>
          <w:sz w:val="16"/>
          <w:szCs w:val="16"/>
        </w:rPr>
      </w:pPr>
      <w:r w:rsidRPr="00713379">
        <w:rPr>
          <w:color w:val="222222"/>
          <w:sz w:val="16"/>
          <w:szCs w:val="16"/>
          <w:highlight w:val="green"/>
          <w:shd w:val="clear" w:color="auto" w:fill="FFFFFF"/>
        </w:rPr>
        <w:t>3.</w:t>
      </w:r>
      <w:r>
        <w:rPr>
          <w:color w:val="222222"/>
          <w:sz w:val="16"/>
          <w:szCs w:val="16"/>
          <w:shd w:val="clear" w:color="auto" w:fill="FFFFFF"/>
        </w:rPr>
        <w:tab/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T. Kubo, K. Tachibana, T. Naito, S. Mukai, K. </w:t>
      </w:r>
      <w:proofErr w:type="spellStart"/>
      <w:r w:rsidR="001C6D7A" w:rsidRPr="001C6D7A">
        <w:rPr>
          <w:color w:val="222222"/>
          <w:sz w:val="16"/>
          <w:szCs w:val="16"/>
          <w:shd w:val="clear" w:color="auto" w:fill="FFFFFF"/>
        </w:rPr>
        <w:t>Akiyoshi</w:t>
      </w:r>
      <w:proofErr w:type="spellEnd"/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, J. Balachandran, K. Otsuka,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 xml:space="preserve">ACS </w:t>
      </w:r>
      <w:proofErr w:type="spellStart"/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Biomater</w:t>
      </w:r>
      <w:proofErr w:type="spellEnd"/>
      <w:r w:rsidR="00713379">
        <w:rPr>
          <w:i/>
          <w:iCs/>
          <w:color w:val="222222"/>
          <w:sz w:val="16"/>
          <w:szCs w:val="16"/>
          <w:shd w:val="clear" w:color="auto" w:fill="FFFFFF"/>
        </w:rPr>
        <w:t>.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 xml:space="preserve"> Sci</w:t>
      </w:r>
      <w:r w:rsidR="00713379">
        <w:rPr>
          <w:i/>
          <w:iCs/>
          <w:color w:val="222222"/>
          <w:sz w:val="16"/>
          <w:szCs w:val="16"/>
          <w:shd w:val="clear" w:color="auto" w:fill="FFFFFF"/>
        </w:rPr>
        <w:t xml:space="preserve">.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Eng</w:t>
      </w:r>
      <w:r w:rsidR="00713379">
        <w:rPr>
          <w:i/>
          <w:iCs/>
          <w:color w:val="222222"/>
          <w:sz w:val="16"/>
          <w:szCs w:val="16"/>
          <w:shd w:val="clear" w:color="auto" w:fill="FFFFFF"/>
        </w:rPr>
        <w:t>.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, </w:t>
      </w:r>
      <w:r w:rsidR="001C6D7A" w:rsidRPr="00713379">
        <w:rPr>
          <w:b/>
          <w:bCs/>
          <w:color w:val="222222"/>
          <w:sz w:val="16"/>
          <w:szCs w:val="16"/>
          <w:highlight w:val="green"/>
          <w:shd w:val="clear" w:color="auto" w:fill="FFFFFF"/>
        </w:rPr>
        <w:t>201</w:t>
      </w:r>
      <w:r w:rsidR="00713379" w:rsidRPr="00713379">
        <w:rPr>
          <w:b/>
          <w:bCs/>
          <w:color w:val="222222"/>
          <w:sz w:val="16"/>
          <w:szCs w:val="16"/>
          <w:highlight w:val="green"/>
          <w:shd w:val="clear" w:color="auto" w:fill="FFFFFF"/>
        </w:rPr>
        <w:t>9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i/>
          <w:iCs/>
          <w:color w:val="222222"/>
          <w:sz w:val="16"/>
          <w:szCs w:val="16"/>
          <w:shd w:val="clear" w:color="auto" w:fill="FFFFFF"/>
        </w:rPr>
        <w:t>5</w:t>
      </w:r>
      <w:r w:rsidR="001C6D7A" w:rsidRPr="001C6D7A">
        <w:rPr>
          <w:color w:val="222222"/>
          <w:sz w:val="16"/>
          <w:szCs w:val="16"/>
          <w:shd w:val="clear" w:color="auto" w:fill="FFFFFF"/>
        </w:rPr>
        <w:t>, 759</w:t>
      </w:r>
      <w:r w:rsidR="00713379">
        <w:rPr>
          <w:color w:val="222222"/>
          <w:sz w:val="16"/>
          <w:szCs w:val="16"/>
          <w:shd w:val="clear" w:color="auto" w:fill="FFFFFF"/>
        </w:rPr>
        <w:t>–</w:t>
      </w:r>
      <w:r w:rsidR="001C6D7A" w:rsidRPr="001C6D7A">
        <w:rPr>
          <w:color w:val="222222"/>
          <w:sz w:val="16"/>
          <w:szCs w:val="16"/>
          <w:shd w:val="clear" w:color="auto" w:fill="FFFFFF"/>
        </w:rPr>
        <w:t xml:space="preserve">767. DOI: </w:t>
      </w:r>
      <w:r w:rsidR="001C6D7A" w:rsidRPr="001C6D7A">
        <w:rPr>
          <w:rStyle w:val="identifier"/>
          <w:color w:val="212121"/>
          <w:sz w:val="16"/>
          <w:szCs w:val="16"/>
        </w:rPr>
        <w:t>10.1021/acsbiomaterials.8b01401</w:t>
      </w:r>
    </w:p>
    <w:p w14:paraId="1637B02B" w14:textId="3B490D49" w:rsidR="001C6D7A" w:rsidRPr="001C6D7A" w:rsidRDefault="004435F5" w:rsidP="001C6D7A">
      <w:pPr>
        <w:pStyle w:val="References"/>
        <w:spacing w:line="264" w:lineRule="auto"/>
        <w:ind w:left="454" w:hanging="454"/>
        <w:rPr>
          <w:rStyle w:val="af4"/>
          <w:b w:val="0"/>
          <w:bCs w:val="0"/>
          <w:sz w:val="16"/>
          <w:szCs w:val="16"/>
        </w:rPr>
      </w:pPr>
      <w:r>
        <w:rPr>
          <w:color w:val="222222"/>
          <w:sz w:val="16"/>
          <w:szCs w:val="16"/>
          <w:shd w:val="clear" w:color="auto" w:fill="FFFFFF"/>
        </w:rPr>
        <w:t>4.</w:t>
      </w:r>
      <w:r>
        <w:rPr>
          <w:color w:val="222222"/>
          <w:sz w:val="16"/>
          <w:szCs w:val="16"/>
          <w:shd w:val="clear" w:color="auto" w:fill="FFFFFF"/>
        </w:rPr>
        <w:tab/>
      </w:r>
      <w:r w:rsidR="001C6D7A" w:rsidRPr="001C6D7A">
        <w:rPr>
          <w:color w:val="222222"/>
          <w:sz w:val="16"/>
          <w:szCs w:val="16"/>
          <w:shd w:val="clear" w:color="auto" w:fill="FFFFFF"/>
        </w:rPr>
        <w:t>A.</w:t>
      </w:r>
      <w:r w:rsidR="001C6D7A" w:rsidRPr="001C6D7A">
        <w:rPr>
          <w:sz w:val="16"/>
          <w:szCs w:val="16"/>
        </w:rPr>
        <w:t xml:space="preserve"> </w:t>
      </w:r>
      <w:r w:rsidR="00713379">
        <w:rPr>
          <w:sz w:val="16"/>
          <w:szCs w:val="16"/>
        </w:rPr>
        <w:t xml:space="preserve">A. </w:t>
      </w:r>
      <w:proofErr w:type="spellStart"/>
      <w:r w:rsidR="001C6D7A" w:rsidRPr="001C6D7A">
        <w:rPr>
          <w:sz w:val="16"/>
          <w:szCs w:val="16"/>
        </w:rPr>
        <w:t>Voronova</w:t>
      </w:r>
      <w:proofErr w:type="spellEnd"/>
      <w:r w:rsidR="001C6D7A" w:rsidRPr="001C6D7A">
        <w:rPr>
          <w:sz w:val="16"/>
          <w:szCs w:val="16"/>
        </w:rPr>
        <w:t>, A.</w:t>
      </w:r>
      <w:r w:rsidR="00713379">
        <w:rPr>
          <w:sz w:val="16"/>
          <w:szCs w:val="16"/>
        </w:rPr>
        <w:t xml:space="preserve"> V.</w:t>
      </w:r>
      <w:r w:rsidR="001C6D7A" w:rsidRPr="001C6D7A">
        <w:rPr>
          <w:sz w:val="16"/>
          <w:szCs w:val="16"/>
        </w:rPr>
        <w:t xml:space="preserve"> </w:t>
      </w:r>
      <w:proofErr w:type="spellStart"/>
      <w:r w:rsidR="001C6D7A" w:rsidRPr="001C6D7A">
        <w:rPr>
          <w:sz w:val="16"/>
          <w:szCs w:val="16"/>
        </w:rPr>
        <w:t>Naumkin</w:t>
      </w:r>
      <w:proofErr w:type="spellEnd"/>
      <w:r w:rsidR="001C6D7A" w:rsidRPr="001C6D7A">
        <w:rPr>
          <w:sz w:val="16"/>
          <w:szCs w:val="16"/>
        </w:rPr>
        <w:t xml:space="preserve">, A. </w:t>
      </w:r>
      <w:r w:rsidR="00713379">
        <w:rPr>
          <w:sz w:val="16"/>
          <w:szCs w:val="16"/>
        </w:rPr>
        <w:t xml:space="preserve">Yu. </w:t>
      </w:r>
      <w:proofErr w:type="spellStart"/>
      <w:r w:rsidR="001C6D7A" w:rsidRPr="001C6D7A">
        <w:rPr>
          <w:sz w:val="16"/>
          <w:szCs w:val="16"/>
        </w:rPr>
        <w:t>Vasil</w:t>
      </w:r>
      <w:r w:rsidR="00713379">
        <w:rPr>
          <w:sz w:val="16"/>
          <w:szCs w:val="16"/>
        </w:rPr>
        <w:t>'</w:t>
      </w:r>
      <w:r w:rsidR="001C6D7A" w:rsidRPr="001C6D7A">
        <w:rPr>
          <w:sz w:val="16"/>
          <w:szCs w:val="16"/>
        </w:rPr>
        <w:t>kov</w:t>
      </w:r>
      <w:proofErr w:type="spellEnd"/>
      <w:r w:rsidR="001C6D7A" w:rsidRPr="001C6D7A">
        <w:rPr>
          <w:sz w:val="16"/>
          <w:szCs w:val="16"/>
        </w:rPr>
        <w:t xml:space="preserve">, </w:t>
      </w:r>
      <w:r w:rsidR="001C6D7A" w:rsidRPr="001C6D7A">
        <w:rPr>
          <w:i/>
          <w:iCs/>
          <w:sz w:val="16"/>
          <w:szCs w:val="16"/>
        </w:rPr>
        <w:t>INEOS OPEN</w:t>
      </w:r>
      <w:r w:rsidR="001C6D7A" w:rsidRPr="001C6D7A">
        <w:rPr>
          <w:sz w:val="16"/>
          <w:szCs w:val="16"/>
        </w:rPr>
        <w:t xml:space="preserve">, </w:t>
      </w:r>
      <w:r w:rsidR="001C6D7A" w:rsidRPr="001C6D7A">
        <w:rPr>
          <w:b/>
          <w:bCs/>
          <w:color w:val="263238"/>
          <w:sz w:val="16"/>
          <w:szCs w:val="16"/>
          <w:shd w:val="clear" w:color="auto" w:fill="FFFFFF"/>
        </w:rPr>
        <w:t>2022</w:t>
      </w:r>
      <w:r w:rsidR="001C6D7A" w:rsidRPr="001C6D7A">
        <w:rPr>
          <w:color w:val="263238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i/>
          <w:iCs/>
          <w:color w:val="263238"/>
          <w:sz w:val="16"/>
          <w:szCs w:val="16"/>
          <w:shd w:val="clear" w:color="auto" w:fill="FFFFFF"/>
        </w:rPr>
        <w:t>5</w:t>
      </w:r>
      <w:r w:rsidR="001C6D7A" w:rsidRPr="001C6D7A">
        <w:rPr>
          <w:color w:val="263238"/>
          <w:sz w:val="16"/>
          <w:szCs w:val="16"/>
          <w:shd w:val="clear" w:color="auto" w:fill="FFFFFF"/>
        </w:rPr>
        <w:t>, 79</w:t>
      </w:r>
      <w:r w:rsidR="00713379">
        <w:rPr>
          <w:color w:val="263238"/>
          <w:sz w:val="16"/>
          <w:szCs w:val="16"/>
          <w:shd w:val="clear" w:color="auto" w:fill="FFFFFF"/>
        </w:rPr>
        <w:t>–</w:t>
      </w:r>
      <w:r w:rsidR="001C6D7A" w:rsidRPr="001C6D7A">
        <w:rPr>
          <w:color w:val="263238"/>
          <w:sz w:val="16"/>
          <w:szCs w:val="16"/>
          <w:shd w:val="clear" w:color="auto" w:fill="FFFFFF"/>
        </w:rPr>
        <w:t xml:space="preserve">84. DOI: </w:t>
      </w:r>
      <w:r w:rsidR="001C6D7A" w:rsidRPr="001C6D7A">
        <w:rPr>
          <w:rStyle w:val="af4"/>
          <w:b w:val="0"/>
          <w:bCs w:val="0"/>
          <w:color w:val="263238"/>
          <w:sz w:val="16"/>
          <w:szCs w:val="16"/>
        </w:rPr>
        <w:t>10.32931/io2215a</w:t>
      </w:r>
    </w:p>
    <w:p w14:paraId="716E28BA" w14:textId="58D8CA93" w:rsidR="001C6D7A" w:rsidRPr="001C6D7A" w:rsidRDefault="004435F5" w:rsidP="001C6D7A">
      <w:pPr>
        <w:pStyle w:val="References"/>
        <w:spacing w:line="264" w:lineRule="auto"/>
        <w:ind w:left="454" w:hanging="454"/>
        <w:rPr>
          <w:rStyle w:val="identifier"/>
          <w:sz w:val="16"/>
          <w:szCs w:val="16"/>
        </w:rPr>
      </w:pPr>
      <w:r>
        <w:rPr>
          <w:color w:val="111111"/>
          <w:sz w:val="16"/>
          <w:szCs w:val="16"/>
          <w:shd w:val="clear" w:color="auto" w:fill="FFFFFF"/>
        </w:rPr>
        <w:t>5.</w:t>
      </w:r>
      <w:r>
        <w:rPr>
          <w:color w:val="111111"/>
          <w:sz w:val="16"/>
          <w:szCs w:val="16"/>
          <w:shd w:val="clear" w:color="auto" w:fill="FFFFFF"/>
        </w:rPr>
        <w:tab/>
      </w:r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A.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Voronova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A. </w:t>
      </w:r>
      <w:r w:rsidR="00DB5532">
        <w:rPr>
          <w:color w:val="111111"/>
          <w:sz w:val="16"/>
          <w:szCs w:val="16"/>
          <w:shd w:val="clear" w:color="auto" w:fill="FFFFFF"/>
        </w:rPr>
        <w:t xml:space="preserve">V.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Naumkin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A. </w:t>
      </w:r>
      <w:proofErr w:type="spellStart"/>
      <w:r w:rsidR="00DB5532">
        <w:rPr>
          <w:color w:val="111111"/>
          <w:sz w:val="16"/>
          <w:szCs w:val="16"/>
          <w:shd w:val="clear" w:color="auto" w:fill="FFFFFF"/>
        </w:rPr>
        <w:t>Ya</w:t>
      </w:r>
      <w:proofErr w:type="spellEnd"/>
      <w:r w:rsidR="00DB5532">
        <w:rPr>
          <w:color w:val="111111"/>
          <w:sz w:val="16"/>
          <w:szCs w:val="16"/>
          <w:shd w:val="clear" w:color="auto" w:fill="FFFFFF"/>
        </w:rPr>
        <w:t xml:space="preserve">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Pereyaslavtsev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T.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Batsalova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B.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Dzhambazov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A. </w:t>
      </w:r>
      <w:proofErr w:type="spellStart"/>
      <w:r w:rsidR="001C6D7A" w:rsidRPr="001C6D7A">
        <w:rPr>
          <w:color w:val="111111"/>
          <w:sz w:val="16"/>
          <w:szCs w:val="16"/>
          <w:shd w:val="clear" w:color="auto" w:fill="FFFFFF"/>
        </w:rPr>
        <w:t>Vasil</w:t>
      </w:r>
      <w:r w:rsidR="00713379">
        <w:rPr>
          <w:color w:val="111111"/>
          <w:sz w:val="16"/>
          <w:szCs w:val="16"/>
          <w:shd w:val="clear" w:color="auto" w:fill="FFFFFF"/>
        </w:rPr>
        <w:t>'</w:t>
      </w:r>
      <w:r w:rsidR="001C6D7A" w:rsidRPr="001C6D7A">
        <w:rPr>
          <w:color w:val="111111"/>
          <w:sz w:val="16"/>
          <w:szCs w:val="16"/>
          <w:shd w:val="clear" w:color="auto" w:fill="FFFFFF"/>
        </w:rPr>
        <w:t>kov</w:t>
      </w:r>
      <w:proofErr w:type="spellEnd"/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 w:rsidR="001C6D7A" w:rsidRPr="001C6D7A">
        <w:rPr>
          <w:i/>
          <w:iCs/>
          <w:color w:val="111111"/>
          <w:sz w:val="16"/>
          <w:szCs w:val="16"/>
          <w:shd w:val="clear" w:color="auto" w:fill="FFFFFF"/>
        </w:rPr>
        <w:t>Dokl</w:t>
      </w:r>
      <w:proofErr w:type="spellEnd"/>
      <w:r w:rsidR="00713379">
        <w:rPr>
          <w:i/>
          <w:iCs/>
          <w:color w:val="111111"/>
          <w:sz w:val="16"/>
          <w:szCs w:val="16"/>
          <w:shd w:val="clear" w:color="auto" w:fill="FFFFFF"/>
        </w:rPr>
        <w:t>.</w:t>
      </w:r>
      <w:r w:rsidR="001C6D7A" w:rsidRPr="001C6D7A">
        <w:rPr>
          <w:i/>
          <w:iCs/>
          <w:color w:val="111111"/>
          <w:sz w:val="16"/>
          <w:szCs w:val="16"/>
          <w:shd w:val="clear" w:color="auto" w:fill="FFFFFF"/>
        </w:rPr>
        <w:t xml:space="preserve"> Phys</w:t>
      </w:r>
      <w:r w:rsidR="00713379">
        <w:rPr>
          <w:i/>
          <w:iCs/>
          <w:color w:val="111111"/>
          <w:sz w:val="16"/>
          <w:szCs w:val="16"/>
          <w:shd w:val="clear" w:color="auto" w:fill="FFFFFF"/>
        </w:rPr>
        <w:t>.</w:t>
      </w:r>
      <w:r w:rsidR="001C6D7A" w:rsidRPr="001C6D7A">
        <w:rPr>
          <w:i/>
          <w:iCs/>
          <w:color w:val="111111"/>
          <w:sz w:val="16"/>
          <w:szCs w:val="16"/>
          <w:shd w:val="clear" w:color="auto" w:fill="FFFFFF"/>
        </w:rPr>
        <w:t xml:space="preserve"> Chem</w:t>
      </w:r>
      <w:r w:rsidR="00713379">
        <w:rPr>
          <w:i/>
          <w:iCs/>
          <w:color w:val="111111"/>
          <w:sz w:val="16"/>
          <w:szCs w:val="16"/>
          <w:shd w:val="clear" w:color="auto" w:fill="FFFFFF"/>
        </w:rPr>
        <w:t>.</w:t>
      </w:r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b/>
          <w:bCs/>
          <w:color w:val="111111"/>
          <w:sz w:val="16"/>
          <w:szCs w:val="16"/>
          <w:shd w:val="clear" w:color="auto" w:fill="FFFFFF"/>
        </w:rPr>
        <w:t>2024</w:t>
      </w:r>
      <w:r w:rsidR="001C6D7A" w:rsidRPr="001C6D7A">
        <w:rPr>
          <w:color w:val="111111"/>
          <w:sz w:val="16"/>
          <w:szCs w:val="16"/>
          <w:shd w:val="clear" w:color="auto" w:fill="FFFFFF"/>
        </w:rPr>
        <w:t xml:space="preserve">, </w:t>
      </w:r>
      <w:r w:rsidR="001C6D7A" w:rsidRPr="001C6D7A">
        <w:rPr>
          <w:i/>
          <w:iCs/>
          <w:color w:val="111111"/>
          <w:sz w:val="16"/>
          <w:szCs w:val="16"/>
          <w:shd w:val="clear" w:color="auto" w:fill="FFFFFF"/>
        </w:rPr>
        <w:t>514</w:t>
      </w:r>
      <w:r w:rsidR="001C6D7A" w:rsidRPr="001C6D7A">
        <w:rPr>
          <w:color w:val="111111"/>
          <w:sz w:val="16"/>
          <w:szCs w:val="16"/>
          <w:shd w:val="clear" w:color="auto" w:fill="FFFFFF"/>
        </w:rPr>
        <w:t>, 1–8. DOI:</w:t>
      </w:r>
      <w:r w:rsidR="001C6D7A" w:rsidRPr="001C6D7A">
        <w:rPr>
          <w:rStyle w:val="identifier"/>
          <w:sz w:val="16"/>
          <w:szCs w:val="16"/>
        </w:rPr>
        <w:t xml:space="preserve"> 10.1134/S0012501624600025</w:t>
      </w:r>
    </w:p>
    <w:p w14:paraId="7E8CA124" w14:textId="77777777" w:rsidR="00D604FD" w:rsidRPr="001A22A0" w:rsidRDefault="00D604FD" w:rsidP="00D604F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D604FD" w:rsidRPr="003A13B7" w14:paraId="1AAAE54F" w14:textId="77777777" w:rsidTr="00830EBD">
        <w:trPr>
          <w:jc w:val="right"/>
        </w:trPr>
        <w:tc>
          <w:tcPr>
            <w:tcW w:w="3255" w:type="dxa"/>
            <w:vAlign w:val="center"/>
          </w:tcPr>
          <w:p w14:paraId="740EDFA8" w14:textId="77777777" w:rsidR="00D604FD" w:rsidRPr="001A22A0" w:rsidRDefault="00D604FD" w:rsidP="00830EBD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A22A0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A22A0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A22A0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79A71A5A" w14:textId="77777777" w:rsidR="00D604FD" w:rsidRPr="003A13B7" w:rsidRDefault="00D604FD" w:rsidP="00830E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92BCFDB" wp14:editId="10D1DB54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60962" w14:textId="77777777" w:rsidR="0042536D" w:rsidRPr="001C6D7A" w:rsidRDefault="0042536D" w:rsidP="001C6D7A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42536D" w:rsidRPr="001C6D7A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F5C85" w14:textId="5B9F54E4"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="00C84429">
      <w:rPr>
        <w:rStyle w:val="MainText0"/>
      </w:rPr>
      <w:t>A</w:t>
    </w:r>
    <w:r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 w:rsidR="00C84429">
      <w:rPr>
        <w:rFonts w:ascii="Times New Roman" w:hAnsi="Times New Roman" w:cs="Times New Roman"/>
        <w:sz w:val="18"/>
        <w:szCs w:val="18"/>
        <w:lang w:val="en-US"/>
      </w:rPr>
      <w:t>Voronova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C84429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C84429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C84429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Nesmeyanov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Institute of </w:t>
            </w:r>
            <w:proofErr w:type="spellStart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Organoelement</w:t>
            </w:r>
            <w:proofErr w:type="spellEnd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47A07"/>
    <w:rsid w:val="00052C07"/>
    <w:rsid w:val="00064622"/>
    <w:rsid w:val="00067EC7"/>
    <w:rsid w:val="00071D12"/>
    <w:rsid w:val="00080691"/>
    <w:rsid w:val="0008088D"/>
    <w:rsid w:val="000B5E27"/>
    <w:rsid w:val="000E1B06"/>
    <w:rsid w:val="000F4E8A"/>
    <w:rsid w:val="00112683"/>
    <w:rsid w:val="0012071D"/>
    <w:rsid w:val="00161894"/>
    <w:rsid w:val="00166162"/>
    <w:rsid w:val="00166605"/>
    <w:rsid w:val="00185DD2"/>
    <w:rsid w:val="001B0919"/>
    <w:rsid w:val="001B6750"/>
    <w:rsid w:val="001C6D7A"/>
    <w:rsid w:val="001E7945"/>
    <w:rsid w:val="002500A5"/>
    <w:rsid w:val="00256C7D"/>
    <w:rsid w:val="002D6411"/>
    <w:rsid w:val="0031578F"/>
    <w:rsid w:val="00321C31"/>
    <w:rsid w:val="0035739D"/>
    <w:rsid w:val="00373DC8"/>
    <w:rsid w:val="003B067D"/>
    <w:rsid w:val="003C5533"/>
    <w:rsid w:val="003E0821"/>
    <w:rsid w:val="003E2893"/>
    <w:rsid w:val="0042536D"/>
    <w:rsid w:val="00427E5A"/>
    <w:rsid w:val="00436D4B"/>
    <w:rsid w:val="00440577"/>
    <w:rsid w:val="004435F5"/>
    <w:rsid w:val="00463737"/>
    <w:rsid w:val="004A44BC"/>
    <w:rsid w:val="004A5676"/>
    <w:rsid w:val="004B5197"/>
    <w:rsid w:val="004C0411"/>
    <w:rsid w:val="004E0BFD"/>
    <w:rsid w:val="00502985"/>
    <w:rsid w:val="00524995"/>
    <w:rsid w:val="00530226"/>
    <w:rsid w:val="00533D73"/>
    <w:rsid w:val="00534762"/>
    <w:rsid w:val="0054166F"/>
    <w:rsid w:val="00560246"/>
    <w:rsid w:val="005A549E"/>
    <w:rsid w:val="005C7369"/>
    <w:rsid w:val="005E76C3"/>
    <w:rsid w:val="005F6F7A"/>
    <w:rsid w:val="00622DF1"/>
    <w:rsid w:val="0065245B"/>
    <w:rsid w:val="00653577"/>
    <w:rsid w:val="00681055"/>
    <w:rsid w:val="00683408"/>
    <w:rsid w:val="006A2153"/>
    <w:rsid w:val="006B2FA7"/>
    <w:rsid w:val="006E0C73"/>
    <w:rsid w:val="006E3B4B"/>
    <w:rsid w:val="00706F05"/>
    <w:rsid w:val="00707EF6"/>
    <w:rsid w:val="00713379"/>
    <w:rsid w:val="0072037E"/>
    <w:rsid w:val="007365DA"/>
    <w:rsid w:val="007516EA"/>
    <w:rsid w:val="00792D8A"/>
    <w:rsid w:val="007A3351"/>
    <w:rsid w:val="007B164C"/>
    <w:rsid w:val="007D3F5F"/>
    <w:rsid w:val="008114FB"/>
    <w:rsid w:val="00820A77"/>
    <w:rsid w:val="00842E5C"/>
    <w:rsid w:val="008622A1"/>
    <w:rsid w:val="00863A30"/>
    <w:rsid w:val="00875175"/>
    <w:rsid w:val="0089304F"/>
    <w:rsid w:val="00894EE2"/>
    <w:rsid w:val="00895EFD"/>
    <w:rsid w:val="008970FA"/>
    <w:rsid w:val="008A02BF"/>
    <w:rsid w:val="008A6A35"/>
    <w:rsid w:val="008C6630"/>
    <w:rsid w:val="008C68C0"/>
    <w:rsid w:val="008D2BCF"/>
    <w:rsid w:val="008E062B"/>
    <w:rsid w:val="00904B7F"/>
    <w:rsid w:val="00916E1F"/>
    <w:rsid w:val="00930DA8"/>
    <w:rsid w:val="0093282C"/>
    <w:rsid w:val="00965FED"/>
    <w:rsid w:val="009667F3"/>
    <w:rsid w:val="009850ED"/>
    <w:rsid w:val="00990F7E"/>
    <w:rsid w:val="009A6DAE"/>
    <w:rsid w:val="009B1ECD"/>
    <w:rsid w:val="009C5F52"/>
    <w:rsid w:val="00A231BA"/>
    <w:rsid w:val="00A6442F"/>
    <w:rsid w:val="00A71216"/>
    <w:rsid w:val="00A76F33"/>
    <w:rsid w:val="00A93871"/>
    <w:rsid w:val="00AB1FE4"/>
    <w:rsid w:val="00AE14D0"/>
    <w:rsid w:val="00AF1C2F"/>
    <w:rsid w:val="00B23601"/>
    <w:rsid w:val="00B41DB9"/>
    <w:rsid w:val="00B42594"/>
    <w:rsid w:val="00B5202A"/>
    <w:rsid w:val="00BA5967"/>
    <w:rsid w:val="00BA5A52"/>
    <w:rsid w:val="00BB1D07"/>
    <w:rsid w:val="00BE4FEF"/>
    <w:rsid w:val="00C03094"/>
    <w:rsid w:val="00C25E43"/>
    <w:rsid w:val="00C44CDF"/>
    <w:rsid w:val="00C547B9"/>
    <w:rsid w:val="00C84429"/>
    <w:rsid w:val="00CA605E"/>
    <w:rsid w:val="00CD128C"/>
    <w:rsid w:val="00CD6FAC"/>
    <w:rsid w:val="00D33D37"/>
    <w:rsid w:val="00D36C9F"/>
    <w:rsid w:val="00D43AF5"/>
    <w:rsid w:val="00D604FD"/>
    <w:rsid w:val="00D71473"/>
    <w:rsid w:val="00D87C11"/>
    <w:rsid w:val="00DA0130"/>
    <w:rsid w:val="00DA0A72"/>
    <w:rsid w:val="00DB5532"/>
    <w:rsid w:val="00DF1FCB"/>
    <w:rsid w:val="00DF4999"/>
    <w:rsid w:val="00DF4C22"/>
    <w:rsid w:val="00E253D2"/>
    <w:rsid w:val="00E60451"/>
    <w:rsid w:val="00E74F74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37F38"/>
    <w:rsid w:val="00F44BBC"/>
    <w:rsid w:val="00F5558A"/>
    <w:rsid w:val="00F6796A"/>
    <w:rsid w:val="00F73E89"/>
    <w:rsid w:val="00F86864"/>
    <w:rsid w:val="00F94740"/>
    <w:rsid w:val="00F95280"/>
    <w:rsid w:val="00FA0CD1"/>
    <w:rsid w:val="00FB4DBE"/>
    <w:rsid w:val="00FD2F8B"/>
    <w:rsid w:val="00FE1E83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uiPriority w:val="99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uiPriority w:val="99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uiPriority w:val="99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uiPriority w:val="99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uiPriority w:val="99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uiPriority w:val="99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uiPriority w:val="99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uiPriority w:val="99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uiPriority w:val="99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uiPriority w:val="99"/>
    <w:rsid w:val="004B5197"/>
  </w:style>
  <w:style w:type="character" w:customStyle="1" w:styleId="identifier">
    <w:name w:val="identifier"/>
    <w:uiPriority w:val="99"/>
    <w:rsid w:val="001C6D7A"/>
    <w:rPr>
      <w:rFonts w:cs="Times New Roman"/>
    </w:rPr>
  </w:style>
  <w:style w:type="character" w:styleId="af4">
    <w:name w:val="Strong"/>
    <w:uiPriority w:val="22"/>
    <w:qFormat/>
    <w:rsid w:val="001C6D7A"/>
    <w:rPr>
      <w:b/>
      <w:bCs/>
    </w:rPr>
  </w:style>
  <w:style w:type="character" w:customStyle="1" w:styleId="ezkurwreuab5ozgtqnkl">
    <w:name w:val="ezkurwreuab5ozgtqnkl"/>
    <w:rsid w:val="004E0BFD"/>
    <w:rPr>
      <w:rFonts w:cs="Times New Roman"/>
    </w:rPr>
  </w:style>
  <w:style w:type="table" w:customStyle="1" w:styleId="13">
    <w:name w:val="Сетка таблицы1"/>
    <w:basedOn w:val="a1"/>
    <w:next w:val="a1"/>
    <w:uiPriority w:val="59"/>
    <w:rsid w:val="00D604F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59776-E0F3-49BD-AA3B-A13E40CB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Mvideo</cp:lastModifiedBy>
  <cp:revision>73</cp:revision>
  <dcterms:created xsi:type="dcterms:W3CDTF">2018-09-10T13:23:00Z</dcterms:created>
  <dcterms:modified xsi:type="dcterms:W3CDTF">2025-08-07T18:41:00Z</dcterms:modified>
</cp:coreProperties>
</file>