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96"/>
        <w:gridCol w:w="1159"/>
        <w:gridCol w:w="2524"/>
        <w:gridCol w:w="4660"/>
      </w:tblGrid>
      <w:tr w:rsidR="008622A1" w:rsidRPr="00626442" w:rsidTr="00521592">
        <w:trPr>
          <w:trHeight w:val="516"/>
        </w:trPr>
        <w:tc>
          <w:tcPr>
            <w:tcW w:w="1242" w:type="dxa"/>
            <w:vAlign w:val="center"/>
          </w:tcPr>
          <w:p w:rsidR="008622A1" w:rsidRPr="00D71473" w:rsidRDefault="001B0919" w:rsidP="00683408">
            <w:pPr>
              <w:pStyle w:val="MainText"/>
              <w:ind w:firstLine="4"/>
              <w:jc w:val="left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:rsidR="008622A1" w:rsidRPr="00D71473" w:rsidRDefault="00521592" w:rsidP="00521592">
            <w:pPr>
              <w:pStyle w:val="11"/>
            </w:pPr>
            <w:r>
              <w:t xml:space="preserve">assessment </w:t>
            </w:r>
            <w:r w:rsidRPr="00521592">
              <w:rPr>
                <w:rStyle w:val="MainText0"/>
                <w:rFonts w:ascii="Arial" w:hAnsi="Arial" w:cs="Arial"/>
                <w:caps w:val="0"/>
                <w:sz w:val="28"/>
                <w:szCs w:val="28"/>
              </w:rPr>
              <w:t>OF POLARITY OF COMB-</w:t>
            </w:r>
            <w:r w:rsidR="00136F6A">
              <w:rPr>
                <w:rStyle w:val="MainText0"/>
                <w:rFonts w:ascii="Arial" w:hAnsi="Arial" w:cs="Arial"/>
                <w:caps w:val="0"/>
                <w:sz w:val="28"/>
                <w:szCs w:val="28"/>
              </w:rPr>
              <w:t>L</w:t>
            </w:r>
            <w:r w:rsidR="00136F6A">
              <w:rPr>
                <w:rStyle w:val="MainText0"/>
                <w:rFonts w:ascii="Arial" w:hAnsi="Arial" w:cs="Arial"/>
                <w:sz w:val="28"/>
                <w:szCs w:val="28"/>
              </w:rPr>
              <w:t>ike</w:t>
            </w:r>
            <w:r w:rsidRPr="00521592">
              <w:rPr>
                <w:rStyle w:val="MainText0"/>
                <w:rFonts w:ascii="Arial" w:hAnsi="Arial" w:cs="Arial"/>
                <w:caps w:val="0"/>
                <w:sz w:val="28"/>
                <w:szCs w:val="28"/>
              </w:rPr>
              <w:t xml:space="preserve"> POLYELECTROLYTES USING A PYRENE PROBE</w:t>
            </w:r>
          </w:p>
        </w:tc>
      </w:tr>
      <w:tr w:rsidR="00D71473" w:rsidRPr="00626442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:rsidR="000E1B06" w:rsidRDefault="00D71473" w:rsidP="007516EA">
            <w:pPr>
              <w:pStyle w:val="MainText"/>
              <w:ind w:firstLine="0"/>
              <w:jc w:val="left"/>
            </w:pPr>
            <w:r w:rsidRPr="00D71473">
              <w:t>Cite this</w:t>
            </w:r>
            <w:r w:rsidRPr="00DF4999">
              <w:t xml:space="preserve">: </w:t>
            </w:r>
            <w:r w:rsidR="00DF4999" w:rsidRPr="008E062B">
              <w:rPr>
                <w:i/>
              </w:rPr>
              <w:t>INEOS</w:t>
            </w:r>
            <w:r w:rsidR="00DF4999" w:rsidRPr="008E062B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941F8C">
              <w:t>,</w:t>
            </w:r>
          </w:p>
          <w:p w:rsidR="00D71473" w:rsidRPr="00930DA8" w:rsidRDefault="00DF4999" w:rsidP="007516EA">
            <w:pPr>
              <w:pStyle w:val="MainText"/>
              <w:ind w:firstLine="0"/>
              <w:jc w:val="left"/>
            </w:pPr>
            <w:r w:rsidRPr="00941F8C">
              <w:rPr>
                <w:b/>
              </w:rPr>
              <w:t>20</w:t>
            </w:r>
            <w:r w:rsidR="004635E5">
              <w:rPr>
                <w:b/>
              </w:rPr>
              <w:t>25</w:t>
            </w:r>
            <w:r w:rsidRPr="00941F8C">
              <w:t xml:space="preserve">, </w:t>
            </w:r>
            <w:r w:rsidR="004635E5">
              <w:rPr>
                <w:i/>
                <w:iCs/>
              </w:rPr>
              <w:t>8</w:t>
            </w:r>
            <w:r w:rsidRPr="000E1B06">
              <w:rPr>
                <w:i/>
                <w:iCs/>
              </w:rPr>
              <w:t xml:space="preserve"> (</w:t>
            </w:r>
            <w:r w:rsidR="004635E5">
              <w:rPr>
                <w:i/>
                <w:iCs/>
              </w:rPr>
              <w:t>1–3</w:t>
            </w:r>
            <w:r w:rsidRPr="000E1B06">
              <w:rPr>
                <w:i/>
                <w:iCs/>
              </w:rPr>
              <w:t>)</w:t>
            </w:r>
            <w:r w:rsidRPr="00941F8C">
              <w:t>, XX–XX</w:t>
            </w:r>
          </w:p>
          <w:p w:rsidR="007516EA" w:rsidRPr="007516EA" w:rsidRDefault="007516EA" w:rsidP="007516EA">
            <w:pPr>
              <w:pStyle w:val="MainText"/>
              <w:ind w:firstLine="0"/>
              <w:jc w:val="left"/>
            </w:pPr>
            <w:r>
              <w:t>DOI: 10.32931/</w:t>
            </w:r>
            <w:proofErr w:type="spellStart"/>
            <w:r>
              <w:t>ioXXXXx</w:t>
            </w:r>
            <w:proofErr w:type="spellEnd"/>
          </w:p>
          <w:p w:rsidR="00BE4FEF" w:rsidRPr="00D71473" w:rsidRDefault="00BE4FEF" w:rsidP="007516EA">
            <w:pPr>
              <w:pStyle w:val="MainText"/>
              <w:ind w:firstLine="0"/>
              <w:jc w:val="left"/>
            </w:pPr>
          </w:p>
          <w:p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4635E5">
              <w:rPr>
                <w:i/>
                <w:szCs w:val="14"/>
                <w:highlight w:val="green"/>
              </w:rPr>
              <w:t xml:space="preserve">Received </w:t>
            </w:r>
            <w:r w:rsidR="008E062B" w:rsidRPr="004635E5">
              <w:rPr>
                <w:i/>
                <w:szCs w:val="14"/>
                <w:highlight w:val="green"/>
              </w:rPr>
              <w:t>XX</w:t>
            </w:r>
            <w:r w:rsidRPr="004635E5">
              <w:rPr>
                <w:i/>
                <w:szCs w:val="14"/>
                <w:highlight w:val="green"/>
              </w:rPr>
              <w:t xml:space="preserve"> </w:t>
            </w:r>
            <w:r w:rsidR="008E062B" w:rsidRPr="004635E5">
              <w:rPr>
                <w:i/>
                <w:szCs w:val="14"/>
                <w:highlight w:val="green"/>
              </w:rPr>
              <w:t>Month</w:t>
            </w:r>
            <w:r w:rsidRPr="004635E5">
              <w:rPr>
                <w:i/>
                <w:szCs w:val="14"/>
                <w:highlight w:val="green"/>
              </w:rPr>
              <w:t xml:space="preserve"> 2</w:t>
            </w:r>
            <w:r w:rsidR="008E062B" w:rsidRPr="004635E5">
              <w:rPr>
                <w:i/>
                <w:szCs w:val="14"/>
                <w:highlight w:val="green"/>
              </w:rPr>
              <w:t>0XX</w:t>
            </w:r>
            <w:r w:rsidRPr="00D71473">
              <w:rPr>
                <w:i/>
                <w:szCs w:val="14"/>
              </w:rPr>
              <w:t>,</w:t>
            </w:r>
          </w:p>
          <w:p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D71473">
              <w:rPr>
                <w:i/>
                <w:szCs w:val="14"/>
              </w:rPr>
              <w:t xml:space="preserve">Accepted </w:t>
            </w:r>
            <w:r w:rsidR="00E22D1B">
              <w:rPr>
                <w:i/>
                <w:szCs w:val="14"/>
              </w:rPr>
              <w:t>12</w:t>
            </w:r>
            <w:r w:rsidRPr="00D71473">
              <w:rPr>
                <w:i/>
                <w:szCs w:val="14"/>
              </w:rPr>
              <w:t xml:space="preserve"> </w:t>
            </w:r>
            <w:r w:rsidR="00E22D1B">
              <w:rPr>
                <w:i/>
                <w:szCs w:val="14"/>
              </w:rPr>
              <w:t xml:space="preserve">May </w:t>
            </w:r>
            <w:r w:rsidR="008E062B">
              <w:rPr>
                <w:i/>
                <w:szCs w:val="14"/>
              </w:rPr>
              <w:t>20</w:t>
            </w:r>
            <w:r w:rsidR="00E22D1B">
              <w:rPr>
                <w:i/>
                <w:szCs w:val="14"/>
              </w:rPr>
              <w:t>25</w:t>
            </w:r>
          </w:p>
          <w:p w:rsidR="00820A77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:rsidR="00D71473" w:rsidRDefault="00440577" w:rsidP="007516EA">
            <w:pPr>
              <w:pStyle w:val="MainText"/>
              <w:ind w:firstLine="0"/>
            </w:pPr>
            <w:r>
              <w:rPr>
                <w:szCs w:val="14"/>
              </w:rPr>
              <w:t>http://</w:t>
            </w:r>
            <w:r w:rsidR="00D71473" w:rsidRPr="00D71473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:rsidR="00D71473" w:rsidRPr="00D71473" w:rsidRDefault="008E062B" w:rsidP="007516EA">
            <w:pPr>
              <w:pStyle w:val="AuthorNames"/>
              <w:ind w:left="0"/>
            </w:pPr>
            <w:r>
              <w:t xml:space="preserve">A. </w:t>
            </w:r>
            <w:r w:rsidR="00E32FFE">
              <w:t>A. Solunina,* P. A. Fetin, and I. M. Zorin</w:t>
            </w:r>
          </w:p>
        </w:tc>
      </w:tr>
      <w:tr w:rsidR="00D71473" w:rsidRPr="00626442" w:rsidTr="00DF4999">
        <w:trPr>
          <w:trHeight w:val="263"/>
        </w:trPr>
        <w:tc>
          <w:tcPr>
            <w:tcW w:w="2410" w:type="dxa"/>
            <w:gridSpan w:val="2"/>
            <w:vMerge/>
          </w:tcPr>
          <w:p w:rsidR="00D71473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:rsidR="00E32FFE" w:rsidRDefault="008E062B" w:rsidP="00E32FFE">
            <w:pPr>
              <w:pStyle w:val="Affiliations"/>
              <w:ind w:left="0"/>
              <w:rPr>
                <w:rFonts w:cs="Times New Roman"/>
              </w:rPr>
            </w:pPr>
            <w:r w:rsidRPr="006070A2">
              <w:rPr>
                <w:rFonts w:cs="Times New Roman"/>
              </w:rPr>
              <w:t>Institut</w:t>
            </w:r>
            <w:r w:rsidR="00E32FFE">
              <w:rPr>
                <w:rFonts w:cs="Times New Roman"/>
              </w:rPr>
              <w:t>e of Chemistry, St. Petersburg State University,</w:t>
            </w:r>
          </w:p>
          <w:p w:rsidR="00E32FFE" w:rsidRDefault="00E32FFE" w:rsidP="00E32FFE">
            <w:pPr>
              <w:pStyle w:val="Affiliations"/>
              <w:ind w:left="0"/>
            </w:pPr>
            <w:r>
              <w:rPr>
                <w:rFonts w:cs="Times New Roman"/>
              </w:rPr>
              <w:t>Universitetskaya nab. 7–9, St. Petersburg, 199034 Russia</w:t>
            </w:r>
          </w:p>
        </w:tc>
      </w:tr>
      <w:tr w:rsidR="00CD6FAC" w:rsidRPr="00602C9E" w:rsidTr="00DF4999">
        <w:tc>
          <w:tcPr>
            <w:tcW w:w="4962" w:type="dxa"/>
            <w:gridSpan w:val="3"/>
          </w:tcPr>
          <w:p w:rsidR="00D71473" w:rsidRPr="0065245B" w:rsidRDefault="00D71473" w:rsidP="009667F3">
            <w:pPr>
              <w:pStyle w:val="Header1"/>
            </w:pPr>
            <w:r w:rsidRPr="00021E9C">
              <w:t>Abstract</w:t>
            </w:r>
          </w:p>
          <w:p w:rsidR="00CD6FAC" w:rsidRDefault="00FD23C3" w:rsidP="00236E9E">
            <w:pPr>
              <w:pStyle w:val="MainText"/>
              <w:ind w:firstLine="284"/>
            </w:pPr>
            <w:r>
              <w:t>In re</w:t>
            </w:r>
            <w:r w:rsidR="00236E9E" w:rsidRPr="00236E9E">
              <w:t>cent years</w:t>
            </w:r>
            <w:r>
              <w:t xml:space="preserve">, particular attention has been drawn to the </w:t>
            </w:r>
            <w:r w:rsidR="00C57EFF">
              <w:t xml:space="preserve">investigations on the application of </w:t>
            </w:r>
            <w:r w:rsidR="00236E9E" w:rsidRPr="00236E9E">
              <w:t>comb-</w:t>
            </w:r>
            <w:r w:rsidR="00C57EFF">
              <w:t xml:space="preserve">like </w:t>
            </w:r>
            <w:r w:rsidR="00236E9E" w:rsidRPr="00236E9E">
              <w:t xml:space="preserve">polyelectrolytes as micellar catalysts. One of the </w:t>
            </w:r>
            <w:r w:rsidR="00C802E6">
              <w:t xml:space="preserve">most </w:t>
            </w:r>
            <w:r w:rsidR="00236E9E" w:rsidRPr="00236E9E">
              <w:t xml:space="preserve">important parameters </w:t>
            </w:r>
            <w:r w:rsidR="00C802E6">
              <w:t xml:space="preserve">that </w:t>
            </w:r>
            <w:r w:rsidR="00236E9E" w:rsidRPr="00236E9E">
              <w:t>determin</w:t>
            </w:r>
            <w:r w:rsidR="00C802E6">
              <w:t>e</w:t>
            </w:r>
            <w:r w:rsidR="00236E9E" w:rsidRPr="00236E9E">
              <w:t xml:space="preserve"> the course of </w:t>
            </w:r>
            <w:r w:rsidR="00C802E6">
              <w:t xml:space="preserve">a </w:t>
            </w:r>
            <w:r w:rsidR="00236E9E" w:rsidRPr="00236E9E">
              <w:t>catalytic reaction is the polarity of the medium in</w:t>
            </w:r>
            <w:r w:rsidR="00C802E6">
              <w:t xml:space="preserve"> a</w:t>
            </w:r>
            <w:r w:rsidR="00236E9E" w:rsidRPr="00236E9E">
              <w:t xml:space="preserve"> </w:t>
            </w:r>
            <w:proofErr w:type="spellStart"/>
            <w:r w:rsidR="00236E9E" w:rsidRPr="00236E9E">
              <w:t>micellar</w:t>
            </w:r>
            <w:proofErr w:type="spellEnd"/>
            <w:r w:rsidR="00236E9E" w:rsidRPr="00236E9E">
              <w:t xml:space="preserve"> </w:t>
            </w:r>
            <w:proofErr w:type="spellStart"/>
            <w:r w:rsidR="00236E9E" w:rsidRPr="00236E9E">
              <w:t>pseudophase</w:t>
            </w:r>
            <w:proofErr w:type="spellEnd"/>
            <w:r w:rsidR="00236E9E" w:rsidRPr="00236E9E">
              <w:t xml:space="preserve">. In this </w:t>
            </w:r>
            <w:r w:rsidR="0098702B">
              <w:t>work</w:t>
            </w:r>
            <w:r w:rsidR="00236E9E" w:rsidRPr="00236E9E">
              <w:t>, the polarity of a series of comb-</w:t>
            </w:r>
            <w:r w:rsidR="0098702B">
              <w:t>like p</w:t>
            </w:r>
            <w:r w:rsidR="00236E9E" w:rsidRPr="00236E9E">
              <w:t xml:space="preserve">olyelectrolytes </w:t>
            </w:r>
            <w:r w:rsidR="00EB06B8">
              <w:t>bearing</w:t>
            </w:r>
            <w:r w:rsidR="00236E9E" w:rsidRPr="00236E9E">
              <w:t xml:space="preserve"> different ionic groups was assessed using </w:t>
            </w:r>
            <w:r w:rsidR="0098702B">
              <w:t>the</w:t>
            </w:r>
            <w:r w:rsidR="00236E9E" w:rsidRPr="00236E9E">
              <w:t xml:space="preserve"> pyrene polarity scale</w:t>
            </w:r>
            <w:r w:rsidR="00F94740" w:rsidRPr="006070A2">
              <w:t>.</w:t>
            </w:r>
          </w:p>
        </w:tc>
        <w:tc>
          <w:tcPr>
            <w:tcW w:w="4677" w:type="dxa"/>
            <w:vAlign w:val="center"/>
          </w:tcPr>
          <w:p w:rsidR="00447003" w:rsidRDefault="00236E9E" w:rsidP="00626442">
            <w:pPr>
              <w:pStyle w:val="MainText"/>
              <w:ind w:firstLine="0"/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746982" cy="1224000"/>
                  <wp:effectExtent l="19050" t="0" r="5618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982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45B" w:rsidRPr="00626442" w:rsidTr="00DF4999">
        <w:tc>
          <w:tcPr>
            <w:tcW w:w="9639" w:type="dxa"/>
            <w:gridSpan w:val="4"/>
          </w:tcPr>
          <w:p w:rsidR="0065245B" w:rsidRDefault="0065245B" w:rsidP="00930DA8">
            <w:pPr>
              <w:pStyle w:val="MainText"/>
              <w:spacing w:before="120" w:after="120"/>
              <w:ind w:firstLine="284"/>
            </w:pPr>
            <w:r w:rsidRPr="006A32BB">
              <w:rPr>
                <w:b/>
              </w:rPr>
              <w:t>Key words:</w:t>
            </w:r>
            <w:r w:rsidRPr="0065245B">
              <w:t xml:space="preserve"> </w:t>
            </w:r>
            <w:r w:rsidR="00236E9E" w:rsidRPr="00236E9E">
              <w:t>pyrene polarity scale, comb</w:t>
            </w:r>
            <w:r w:rsidR="00447003">
              <w:t xml:space="preserve">-like </w:t>
            </w:r>
            <w:r w:rsidR="00236E9E" w:rsidRPr="00236E9E">
              <w:t>polyelectrolytes, micellar catalysis</w:t>
            </w:r>
            <w:r w:rsidRPr="0065245B">
              <w:t>.</w:t>
            </w:r>
          </w:p>
        </w:tc>
      </w:tr>
    </w:tbl>
    <w:p w:rsidR="00166162" w:rsidRDefault="00166162" w:rsidP="00427E5A">
      <w:pPr>
        <w:rPr>
          <w:sz w:val="20"/>
          <w:szCs w:val="20"/>
          <w:lang w:val="en-US"/>
        </w:rPr>
        <w:sectPr w:rsidR="00166162" w:rsidSect="007A3351">
          <w:headerReference w:type="default" r:id="rId10"/>
          <w:footerReference w:type="default" r:id="rId11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166162" w:rsidRDefault="00166162" w:rsidP="00427E5A">
      <w:pPr>
        <w:rPr>
          <w:sz w:val="20"/>
          <w:szCs w:val="20"/>
          <w:lang w:val="en-US"/>
        </w:rPr>
        <w:sectPr w:rsidR="00166162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875175" w:rsidRPr="004A44BC" w:rsidRDefault="00427E5A" w:rsidP="00EB06B8">
      <w:pPr>
        <w:spacing w:after="240"/>
        <w:rPr>
          <w:rFonts w:ascii="Arial" w:hAnsi="Arial" w:cs="Arial"/>
          <w:b/>
          <w:lang w:val="en-US"/>
        </w:rPr>
      </w:pPr>
      <w:r w:rsidRPr="00427E5A">
        <w:rPr>
          <w:rFonts w:ascii="Arial" w:hAnsi="Arial" w:cs="Arial"/>
          <w:b/>
          <w:lang w:val="en-US"/>
        </w:rPr>
        <w:lastRenderedPageBreak/>
        <w:t>Introduction</w:t>
      </w:r>
    </w:p>
    <w:p w:rsidR="009F12DC" w:rsidRDefault="009F12DC" w:rsidP="009F12DC">
      <w:pPr>
        <w:pStyle w:val="MainText"/>
        <w:ind w:firstLine="284"/>
      </w:pPr>
      <w:r>
        <w:t>Comb</w:t>
      </w:r>
      <w:r w:rsidR="00EB06B8">
        <w:t>-like</w:t>
      </w:r>
      <w:r>
        <w:t xml:space="preserve"> polyelectrolytes </w:t>
      </w:r>
      <w:r w:rsidR="00C716BD">
        <w:t>comprise</w:t>
      </w:r>
      <w:r>
        <w:t xml:space="preserve"> a multifunctional platform</w:t>
      </w:r>
      <w:r w:rsidR="00C716BD">
        <w:t xml:space="preserve"> which can be used for solving a</w:t>
      </w:r>
      <w:r>
        <w:t xml:space="preserve"> wide range of scientific and practical problems. High-molecular</w:t>
      </w:r>
      <w:r w:rsidR="00C716BD">
        <w:t>-weight</w:t>
      </w:r>
      <w:r>
        <w:t xml:space="preserve"> compounds of this type are used as ion-exchange resins, reagents for micellar capillary electrophoresis and for ion-selective electrodes. The term comb</w:t>
      </w:r>
      <w:r w:rsidR="00CF53DC">
        <w:t>-like</w:t>
      </w:r>
      <w:r>
        <w:t xml:space="preserve"> polyelectrolyte refers to the polymerization product of a surfac</w:t>
      </w:r>
      <w:r w:rsidR="00CC4472">
        <w:t xml:space="preserve">tant </w:t>
      </w:r>
      <w:r>
        <w:t>monomer containing a polymerizable group in the hydrophobic tail of the molecule.</w:t>
      </w:r>
    </w:p>
    <w:p w:rsidR="009F12DC" w:rsidRDefault="009F12DC" w:rsidP="009F12DC">
      <w:pPr>
        <w:pStyle w:val="MainText"/>
        <w:ind w:firstLine="284"/>
      </w:pPr>
      <w:r>
        <w:t>In recent years, comb</w:t>
      </w:r>
      <w:r w:rsidR="0015773E">
        <w:t>-like</w:t>
      </w:r>
      <w:r>
        <w:t xml:space="preserve"> polyelectrolytes have been studied in micellar catalysis, in particular, in alkaline hydrolysis of esters and Suzuki coupling </w:t>
      </w:r>
      <w:r w:rsidR="0015773E">
        <w:t xml:space="preserve">performed </w:t>
      </w:r>
      <w:r>
        <w:t xml:space="preserve">in </w:t>
      </w:r>
      <w:r w:rsidR="0015773E">
        <w:t xml:space="preserve">an </w:t>
      </w:r>
      <w:r>
        <w:t xml:space="preserve">aqueous phase </w:t>
      </w:r>
      <w:r w:rsidR="0015773E">
        <w:t>[1–4]</w:t>
      </w:r>
      <w:r>
        <w:t xml:space="preserve">. One of the characteristics </w:t>
      </w:r>
      <w:r w:rsidR="0015773E">
        <w:t xml:space="preserve">affecting </w:t>
      </w:r>
      <w:r>
        <w:t xml:space="preserve">the reaction in the </w:t>
      </w:r>
      <w:proofErr w:type="spellStart"/>
      <w:r>
        <w:t>micellar</w:t>
      </w:r>
      <w:proofErr w:type="spellEnd"/>
      <w:r>
        <w:t xml:space="preserve"> </w:t>
      </w:r>
      <w:proofErr w:type="spellStart"/>
      <w:r>
        <w:t>pseudophase</w:t>
      </w:r>
      <w:proofErr w:type="spellEnd"/>
      <w:r>
        <w:t xml:space="preserve"> is the polarity of the surfactant. However, empirical de</w:t>
      </w:r>
      <w:r w:rsidR="0015773E">
        <w:t xml:space="preserve">finition </w:t>
      </w:r>
      <w:r>
        <w:t xml:space="preserve">of </w:t>
      </w:r>
      <w:r w:rsidR="0015773E">
        <w:t xml:space="preserve">the </w:t>
      </w:r>
      <w:r>
        <w:t xml:space="preserve">polarity is very difficult. One </w:t>
      </w:r>
      <w:r w:rsidR="00A976A8">
        <w:t xml:space="preserve">of the approaches used to </w:t>
      </w:r>
      <w:r>
        <w:t xml:space="preserve">assess this characteristic </w:t>
      </w:r>
      <w:r w:rsidR="00A976A8">
        <w:t xml:space="preserve">can </w:t>
      </w:r>
      <w:r>
        <w:t xml:space="preserve">be probing micelles with luminescent labels [5]. It is known that some polycyclic aromatic hydrocarbons are sensitive to changes in the polarity of their microenvironment, which is reflected in a change in the ratio of </w:t>
      </w:r>
      <w:r w:rsidR="00C3090A">
        <w:t xml:space="preserve">peak </w:t>
      </w:r>
      <w:r>
        <w:t xml:space="preserve">intensities </w:t>
      </w:r>
      <w:r w:rsidR="00C3090A">
        <w:t>i</w:t>
      </w:r>
      <w:r>
        <w:t xml:space="preserve">n their luminescence spectra </w:t>
      </w:r>
      <w:r w:rsidR="00C3090A">
        <w:t>[6, 7]</w:t>
      </w:r>
      <w:r>
        <w:t xml:space="preserve">. In particular, the pyrene polarity scale </w:t>
      </w:r>
      <w:r w:rsidR="005B3953">
        <w:t xml:space="preserve">has been described </w:t>
      </w:r>
      <w:r>
        <w:t>in the literature</w:t>
      </w:r>
      <w:r w:rsidR="005B3953">
        <w:t xml:space="preserve">, namely, </w:t>
      </w:r>
      <w:r>
        <w:t>the dependence of the ratio of characteristic luminescence peaks of pyrene on the dipole moment of the solvent molecules.</w:t>
      </w:r>
    </w:p>
    <w:p w:rsidR="00427E5A" w:rsidRDefault="000424BA" w:rsidP="009F12DC">
      <w:pPr>
        <w:pStyle w:val="MainText"/>
        <w:ind w:firstLine="284"/>
      </w:pPr>
      <w:r>
        <w:t xml:space="preserve">Herein, we report </w:t>
      </w:r>
      <w:r w:rsidR="009F12DC">
        <w:t xml:space="preserve">for the first time </w:t>
      </w:r>
      <w:r>
        <w:t xml:space="preserve">the polarity </w:t>
      </w:r>
      <w:r w:rsidR="009F12DC">
        <w:t>data of comb-</w:t>
      </w:r>
      <w:r>
        <w:t xml:space="preserve">like </w:t>
      </w:r>
      <w:r w:rsidR="009F12DC">
        <w:t>macromolecules that differ in the type of ionic group</w:t>
      </w:r>
      <w:r>
        <w:t>s</w:t>
      </w:r>
      <w:r w:rsidR="008E062B">
        <w:t>.</w:t>
      </w:r>
    </w:p>
    <w:p w:rsidR="00096D77" w:rsidRPr="009667F3" w:rsidRDefault="00096D77" w:rsidP="00096D77">
      <w:pPr>
        <w:pStyle w:val="Header1"/>
        <w:spacing w:before="240" w:after="240"/>
      </w:pPr>
      <w:r w:rsidRPr="009667F3">
        <w:t>Experiment</w:t>
      </w:r>
      <w:r>
        <w:t>al section</w:t>
      </w:r>
    </w:p>
    <w:p w:rsidR="001F68A5" w:rsidRDefault="00096D77" w:rsidP="00602C9E">
      <w:pPr>
        <w:pStyle w:val="Header1"/>
        <w:widowControl w:val="0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096D77">
        <w:rPr>
          <w:rFonts w:ascii="Times New Roman" w:hAnsi="Times New Roman" w:cs="Times New Roman"/>
          <w:b w:val="0"/>
          <w:sz w:val="18"/>
          <w:szCs w:val="18"/>
        </w:rPr>
        <w:t>A stock solution of pyrene in benzene with a concentration of 1 mg/m</w:t>
      </w:r>
      <w:r w:rsidR="000424BA">
        <w:rPr>
          <w:rFonts w:ascii="Times New Roman" w:hAnsi="Times New Roman" w:cs="Times New Roman"/>
          <w:b w:val="0"/>
          <w:sz w:val="18"/>
          <w:szCs w:val="18"/>
        </w:rPr>
        <w:t>L</w:t>
      </w:r>
      <w:r w:rsidRPr="00096D77">
        <w:rPr>
          <w:rFonts w:ascii="Times New Roman" w:hAnsi="Times New Roman" w:cs="Times New Roman"/>
          <w:b w:val="0"/>
          <w:sz w:val="18"/>
          <w:szCs w:val="18"/>
        </w:rPr>
        <w:t xml:space="preserve"> was prepared. </w:t>
      </w:r>
      <w:r w:rsidR="000424BA">
        <w:rPr>
          <w:rFonts w:ascii="Times New Roman" w:hAnsi="Times New Roman" w:cs="Times New Roman"/>
          <w:b w:val="0"/>
          <w:sz w:val="18"/>
          <w:szCs w:val="18"/>
        </w:rPr>
        <w:t>Aliquots of the stock solution (</w:t>
      </w:r>
      <w:r w:rsidRPr="00096D77">
        <w:rPr>
          <w:rFonts w:ascii="Times New Roman" w:hAnsi="Times New Roman" w:cs="Times New Roman"/>
          <w:b w:val="0"/>
          <w:sz w:val="18"/>
          <w:szCs w:val="18"/>
        </w:rPr>
        <w:t xml:space="preserve">100 </w:t>
      </w:r>
      <w:proofErr w:type="spellStart"/>
      <w:r w:rsidRPr="00096D77">
        <w:rPr>
          <w:rFonts w:ascii="Times New Roman" w:hAnsi="Times New Roman" w:cs="Times New Roman"/>
          <w:b w:val="0"/>
          <w:sz w:val="18"/>
          <w:szCs w:val="18"/>
        </w:rPr>
        <w:t>μ</w:t>
      </w:r>
      <w:r w:rsidR="000424BA">
        <w:rPr>
          <w:rFonts w:ascii="Times New Roman" w:hAnsi="Times New Roman" w:cs="Times New Roman"/>
          <w:b w:val="0"/>
          <w:sz w:val="18"/>
          <w:szCs w:val="18"/>
        </w:rPr>
        <w:t>L</w:t>
      </w:r>
      <w:proofErr w:type="spellEnd"/>
      <w:r w:rsidR="000424BA">
        <w:rPr>
          <w:rFonts w:ascii="Times New Roman" w:hAnsi="Times New Roman" w:cs="Times New Roman"/>
          <w:b w:val="0"/>
          <w:sz w:val="18"/>
          <w:szCs w:val="18"/>
        </w:rPr>
        <w:t xml:space="preserve">) </w:t>
      </w:r>
      <w:r w:rsidRPr="00096D77">
        <w:rPr>
          <w:rFonts w:ascii="Times New Roman" w:hAnsi="Times New Roman" w:cs="Times New Roman"/>
          <w:b w:val="0"/>
          <w:sz w:val="18"/>
          <w:szCs w:val="18"/>
        </w:rPr>
        <w:t xml:space="preserve">were placed in vials, then the containers were left </w:t>
      </w:r>
      <w:r w:rsidR="000424BA" w:rsidRPr="00096D77">
        <w:rPr>
          <w:rFonts w:ascii="Times New Roman" w:hAnsi="Times New Roman" w:cs="Times New Roman"/>
          <w:b w:val="0"/>
          <w:sz w:val="18"/>
          <w:szCs w:val="18"/>
        </w:rPr>
        <w:t>at 25</w:t>
      </w:r>
      <w:r w:rsidR="000424BA">
        <w:rPr>
          <w:rFonts w:ascii="Times New Roman" w:hAnsi="Times New Roman" w:cs="Times New Roman"/>
          <w:b w:val="0"/>
          <w:sz w:val="18"/>
          <w:szCs w:val="18"/>
        </w:rPr>
        <w:t xml:space="preserve"> °</w:t>
      </w:r>
      <w:r w:rsidR="000424BA" w:rsidRPr="00096D77">
        <w:rPr>
          <w:rFonts w:ascii="Times New Roman" w:hAnsi="Times New Roman" w:cs="Times New Roman"/>
          <w:b w:val="0"/>
          <w:sz w:val="18"/>
          <w:szCs w:val="18"/>
        </w:rPr>
        <w:t xml:space="preserve">C </w:t>
      </w:r>
      <w:r w:rsidRPr="00096D77">
        <w:rPr>
          <w:rFonts w:ascii="Times New Roman" w:hAnsi="Times New Roman" w:cs="Times New Roman"/>
          <w:b w:val="0"/>
          <w:sz w:val="18"/>
          <w:szCs w:val="18"/>
        </w:rPr>
        <w:t>for 24 h</w:t>
      </w:r>
      <w:r w:rsidR="000424BA">
        <w:rPr>
          <w:rFonts w:ascii="Times New Roman" w:hAnsi="Times New Roman" w:cs="Times New Roman"/>
          <w:b w:val="0"/>
          <w:sz w:val="18"/>
          <w:szCs w:val="18"/>
        </w:rPr>
        <w:t>,</w:t>
      </w:r>
      <w:r w:rsidRPr="00096D77">
        <w:rPr>
          <w:rFonts w:ascii="Times New Roman" w:hAnsi="Times New Roman" w:cs="Times New Roman"/>
          <w:b w:val="0"/>
          <w:sz w:val="18"/>
          <w:szCs w:val="18"/>
        </w:rPr>
        <w:t xml:space="preserve"> until the </w:t>
      </w:r>
      <w:r w:rsidR="000424BA">
        <w:rPr>
          <w:rFonts w:ascii="Times New Roman" w:hAnsi="Times New Roman" w:cs="Times New Roman"/>
          <w:b w:val="0"/>
          <w:sz w:val="18"/>
          <w:szCs w:val="18"/>
        </w:rPr>
        <w:t xml:space="preserve">complete evaporation of the </w:t>
      </w:r>
      <w:r w:rsidRPr="00096D77">
        <w:rPr>
          <w:rFonts w:ascii="Times New Roman" w:hAnsi="Times New Roman" w:cs="Times New Roman"/>
          <w:b w:val="0"/>
          <w:sz w:val="18"/>
          <w:szCs w:val="18"/>
        </w:rPr>
        <w:t xml:space="preserve">solvent. Then </w:t>
      </w:r>
      <w:r w:rsidR="000424BA">
        <w:rPr>
          <w:rFonts w:ascii="Times New Roman" w:hAnsi="Times New Roman" w:cs="Times New Roman"/>
          <w:b w:val="0"/>
          <w:sz w:val="18"/>
          <w:szCs w:val="18"/>
        </w:rPr>
        <w:lastRenderedPageBreak/>
        <w:t xml:space="preserve">aliquots of the </w:t>
      </w:r>
      <w:r w:rsidR="000424BA" w:rsidRPr="00096D77">
        <w:rPr>
          <w:rFonts w:ascii="Times New Roman" w:hAnsi="Times New Roman" w:cs="Times New Roman"/>
          <w:b w:val="0"/>
          <w:sz w:val="18"/>
          <w:szCs w:val="18"/>
        </w:rPr>
        <w:t xml:space="preserve">aqueous solutions of the studied polyelectrolytes </w:t>
      </w:r>
      <w:r w:rsidR="000424BA">
        <w:rPr>
          <w:rFonts w:ascii="Times New Roman" w:hAnsi="Times New Roman" w:cs="Times New Roman"/>
          <w:b w:val="0"/>
          <w:sz w:val="18"/>
          <w:szCs w:val="18"/>
        </w:rPr>
        <w:t>(</w:t>
      </w:r>
      <w:r w:rsidR="000424BA" w:rsidRPr="00096D77">
        <w:rPr>
          <w:rFonts w:ascii="Times New Roman" w:hAnsi="Times New Roman" w:cs="Times New Roman"/>
          <w:b w:val="0"/>
          <w:sz w:val="18"/>
          <w:szCs w:val="18"/>
        </w:rPr>
        <w:t>4 m</w:t>
      </w:r>
      <w:r w:rsidR="000424BA">
        <w:rPr>
          <w:rFonts w:ascii="Times New Roman" w:hAnsi="Times New Roman" w:cs="Times New Roman"/>
          <w:b w:val="0"/>
          <w:sz w:val="18"/>
          <w:szCs w:val="18"/>
        </w:rPr>
        <w:t>L)</w:t>
      </w:r>
      <w:r w:rsidR="000424BA" w:rsidRPr="00096D77">
        <w:rPr>
          <w:rFonts w:ascii="Times New Roman" w:hAnsi="Times New Roman" w:cs="Times New Roman"/>
          <w:b w:val="0"/>
          <w:sz w:val="18"/>
          <w:szCs w:val="18"/>
        </w:rPr>
        <w:t xml:space="preserve"> with a concentration of 0.003 M </w:t>
      </w:r>
      <w:r w:rsidRPr="00096D77">
        <w:rPr>
          <w:rFonts w:ascii="Times New Roman" w:hAnsi="Times New Roman" w:cs="Times New Roman"/>
          <w:b w:val="0"/>
          <w:sz w:val="18"/>
          <w:szCs w:val="18"/>
        </w:rPr>
        <w:t xml:space="preserve">of </w:t>
      </w:r>
      <w:r w:rsidR="000424BA">
        <w:rPr>
          <w:rFonts w:ascii="Times New Roman" w:hAnsi="Times New Roman" w:cs="Times New Roman"/>
          <w:b w:val="0"/>
          <w:sz w:val="18"/>
          <w:szCs w:val="18"/>
        </w:rPr>
        <w:t xml:space="preserve">the </w:t>
      </w:r>
      <w:r w:rsidRPr="00096D77">
        <w:rPr>
          <w:rFonts w:ascii="Times New Roman" w:hAnsi="Times New Roman" w:cs="Times New Roman"/>
          <w:b w:val="0"/>
          <w:sz w:val="18"/>
          <w:szCs w:val="18"/>
        </w:rPr>
        <w:t>monomer units were placed in the vials. The polymers were obtained</w:t>
      </w:r>
      <w:r w:rsidR="000424BA">
        <w:rPr>
          <w:rFonts w:ascii="Times New Roman" w:hAnsi="Times New Roman" w:cs="Times New Roman"/>
          <w:b w:val="0"/>
          <w:sz w:val="18"/>
          <w:szCs w:val="18"/>
        </w:rPr>
        <w:t xml:space="preserve"> according to the previously described methods [1–4</w:t>
      </w:r>
      <w:r w:rsidRPr="00096D77">
        <w:rPr>
          <w:rFonts w:ascii="Times New Roman" w:hAnsi="Times New Roman" w:cs="Times New Roman"/>
          <w:b w:val="0"/>
          <w:sz w:val="18"/>
          <w:szCs w:val="18"/>
        </w:rPr>
        <w:t xml:space="preserve">]. The vials were closed and kept </w:t>
      </w:r>
      <w:r w:rsidR="00E842EB" w:rsidRPr="00096D77">
        <w:rPr>
          <w:rFonts w:ascii="Times New Roman" w:hAnsi="Times New Roman" w:cs="Times New Roman"/>
          <w:b w:val="0"/>
          <w:sz w:val="18"/>
          <w:szCs w:val="18"/>
        </w:rPr>
        <w:t>at 25</w:t>
      </w:r>
      <w:r w:rsidR="00E842EB">
        <w:rPr>
          <w:rFonts w:ascii="Times New Roman" w:hAnsi="Times New Roman" w:cs="Times New Roman"/>
          <w:b w:val="0"/>
          <w:sz w:val="18"/>
          <w:szCs w:val="18"/>
        </w:rPr>
        <w:t xml:space="preserve"> °</w:t>
      </w:r>
      <w:r w:rsidR="00E842EB" w:rsidRPr="00096D77">
        <w:rPr>
          <w:rFonts w:ascii="Times New Roman" w:hAnsi="Times New Roman" w:cs="Times New Roman"/>
          <w:b w:val="0"/>
          <w:sz w:val="18"/>
          <w:szCs w:val="18"/>
        </w:rPr>
        <w:t xml:space="preserve">C </w:t>
      </w:r>
      <w:r w:rsidRPr="00096D77">
        <w:rPr>
          <w:rFonts w:ascii="Times New Roman" w:hAnsi="Times New Roman" w:cs="Times New Roman"/>
          <w:b w:val="0"/>
          <w:sz w:val="18"/>
          <w:szCs w:val="18"/>
        </w:rPr>
        <w:t>for 14 days</w:t>
      </w:r>
      <w:r w:rsidR="00E842EB">
        <w:rPr>
          <w:rFonts w:ascii="Times New Roman" w:hAnsi="Times New Roman" w:cs="Times New Roman"/>
          <w:b w:val="0"/>
          <w:sz w:val="18"/>
          <w:szCs w:val="18"/>
        </w:rPr>
        <w:t>,</w:t>
      </w:r>
      <w:r w:rsidRPr="00096D77">
        <w:rPr>
          <w:rFonts w:ascii="Times New Roman" w:hAnsi="Times New Roman" w:cs="Times New Roman"/>
          <w:b w:val="0"/>
          <w:sz w:val="18"/>
          <w:szCs w:val="18"/>
        </w:rPr>
        <w:t xml:space="preserve"> until </w:t>
      </w:r>
      <w:r w:rsidR="00E842EB">
        <w:rPr>
          <w:rFonts w:ascii="Times New Roman" w:hAnsi="Times New Roman" w:cs="Times New Roman"/>
          <w:b w:val="0"/>
          <w:sz w:val="18"/>
          <w:szCs w:val="18"/>
        </w:rPr>
        <w:t xml:space="preserve">the </w:t>
      </w:r>
      <w:r w:rsidRPr="00096D77">
        <w:rPr>
          <w:rFonts w:ascii="Times New Roman" w:hAnsi="Times New Roman" w:cs="Times New Roman"/>
          <w:b w:val="0"/>
          <w:sz w:val="18"/>
          <w:szCs w:val="18"/>
        </w:rPr>
        <w:t>equilibrium was established in the system</w:t>
      </w:r>
      <w:r w:rsidR="00441FB4">
        <w:rPr>
          <w:rFonts w:ascii="Times New Roman" w:hAnsi="Times New Roman" w:cs="Times New Roman"/>
          <w:b w:val="0"/>
          <w:sz w:val="18"/>
          <w:szCs w:val="18"/>
        </w:rPr>
        <w:t>s</w:t>
      </w:r>
      <w:r w:rsidRPr="00096D77">
        <w:rPr>
          <w:rFonts w:ascii="Times New Roman" w:hAnsi="Times New Roman" w:cs="Times New Roman"/>
          <w:b w:val="0"/>
          <w:sz w:val="18"/>
          <w:szCs w:val="18"/>
        </w:rPr>
        <w:t>.</w:t>
      </w:r>
    </w:p>
    <w:p w:rsidR="00096D77" w:rsidRPr="00C37170" w:rsidRDefault="00096D77" w:rsidP="00C37170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bCs/>
          <w:sz w:val="18"/>
          <w:szCs w:val="18"/>
        </w:rPr>
      </w:pPr>
      <w:r w:rsidRPr="00096D77">
        <w:rPr>
          <w:rFonts w:ascii="Times New Roman" w:hAnsi="Times New Roman" w:cs="Times New Roman"/>
          <w:b w:val="0"/>
          <w:sz w:val="18"/>
          <w:szCs w:val="18"/>
        </w:rPr>
        <w:t xml:space="preserve">For each solution, </w:t>
      </w:r>
      <w:r w:rsidR="001F68A5">
        <w:rPr>
          <w:rFonts w:ascii="Times New Roman" w:hAnsi="Times New Roman" w:cs="Times New Roman"/>
          <w:b w:val="0"/>
          <w:sz w:val="18"/>
          <w:szCs w:val="18"/>
        </w:rPr>
        <w:t>the</w:t>
      </w:r>
      <w:r w:rsidRPr="00096D77">
        <w:rPr>
          <w:rFonts w:ascii="Times New Roman" w:hAnsi="Times New Roman" w:cs="Times New Roman"/>
          <w:b w:val="0"/>
          <w:sz w:val="18"/>
          <w:szCs w:val="18"/>
        </w:rPr>
        <w:t xml:space="preserve"> luminescence spectrum was recorded on a FluoroMax-4 spectrofluor</w:t>
      </w:r>
      <w:r w:rsidR="001F68A5">
        <w:rPr>
          <w:rFonts w:ascii="Times New Roman" w:hAnsi="Times New Roman" w:cs="Times New Roman"/>
          <w:b w:val="0"/>
          <w:sz w:val="18"/>
          <w:szCs w:val="18"/>
        </w:rPr>
        <w:t>o</w:t>
      </w:r>
      <w:r w:rsidRPr="00096D77">
        <w:rPr>
          <w:rFonts w:ascii="Times New Roman" w:hAnsi="Times New Roman" w:cs="Times New Roman"/>
          <w:b w:val="0"/>
          <w:sz w:val="18"/>
          <w:szCs w:val="18"/>
        </w:rPr>
        <w:t xml:space="preserve">meter </w:t>
      </w:r>
      <w:r w:rsidR="001F68A5">
        <w:rPr>
          <w:rFonts w:ascii="Times New Roman" w:hAnsi="Times New Roman" w:cs="Times New Roman"/>
          <w:b w:val="0"/>
          <w:sz w:val="18"/>
          <w:szCs w:val="18"/>
        </w:rPr>
        <w:t xml:space="preserve">at room temperature </w:t>
      </w:r>
      <w:r w:rsidRPr="00096D77">
        <w:rPr>
          <w:rFonts w:ascii="Times New Roman" w:hAnsi="Times New Roman" w:cs="Times New Roman"/>
          <w:b w:val="0"/>
          <w:sz w:val="18"/>
          <w:szCs w:val="18"/>
        </w:rPr>
        <w:t>in the wavelength range of 350</w:t>
      </w:r>
      <w:r w:rsidR="001F68A5">
        <w:rPr>
          <w:rFonts w:ascii="Times New Roman" w:hAnsi="Times New Roman" w:cs="Times New Roman"/>
          <w:b w:val="0"/>
          <w:sz w:val="18"/>
          <w:szCs w:val="18"/>
        </w:rPr>
        <w:t>–</w:t>
      </w:r>
      <w:r w:rsidRPr="00096D77">
        <w:rPr>
          <w:rFonts w:ascii="Times New Roman" w:hAnsi="Times New Roman" w:cs="Times New Roman"/>
          <w:b w:val="0"/>
          <w:sz w:val="18"/>
          <w:szCs w:val="18"/>
        </w:rPr>
        <w:t xml:space="preserve">550 nm. The excitation wavelength was 335 nm. To assess the polarity, the ratio of intensities of the luminescence </w:t>
      </w:r>
      <w:r w:rsidR="001F68A5">
        <w:rPr>
          <w:rFonts w:ascii="Times New Roman" w:hAnsi="Times New Roman" w:cs="Times New Roman"/>
          <w:b w:val="0"/>
          <w:sz w:val="18"/>
          <w:szCs w:val="18"/>
        </w:rPr>
        <w:t>peaks</w:t>
      </w:r>
      <w:r w:rsidRPr="00096D77">
        <w:rPr>
          <w:rFonts w:ascii="Times New Roman" w:hAnsi="Times New Roman" w:cs="Times New Roman"/>
          <w:b w:val="0"/>
          <w:sz w:val="18"/>
          <w:szCs w:val="18"/>
        </w:rPr>
        <w:t xml:space="preserve"> at 375</w:t>
      </w:r>
      <w:r w:rsidR="00CD1899">
        <w:rPr>
          <w:rFonts w:ascii="Times New Roman" w:hAnsi="Times New Roman" w:cs="Times New Roman"/>
          <w:b w:val="0"/>
          <w:sz w:val="18"/>
          <w:szCs w:val="18"/>
        </w:rPr>
        <w:t> </w:t>
      </w:r>
      <w:r w:rsidRPr="00096D77">
        <w:rPr>
          <w:rFonts w:ascii="Times New Roman" w:hAnsi="Times New Roman" w:cs="Times New Roman"/>
          <w:b w:val="0"/>
          <w:sz w:val="18"/>
          <w:szCs w:val="18"/>
        </w:rPr>
        <w:t>±</w:t>
      </w:r>
      <w:r w:rsidR="00CD1899">
        <w:rPr>
          <w:rFonts w:ascii="Times New Roman" w:hAnsi="Times New Roman" w:cs="Times New Roman"/>
          <w:b w:val="0"/>
          <w:sz w:val="18"/>
          <w:szCs w:val="18"/>
        </w:rPr>
        <w:t> </w:t>
      </w:r>
      <w:r w:rsidRPr="00096D77">
        <w:rPr>
          <w:rFonts w:ascii="Times New Roman" w:hAnsi="Times New Roman" w:cs="Times New Roman"/>
          <w:b w:val="0"/>
          <w:sz w:val="18"/>
          <w:szCs w:val="18"/>
        </w:rPr>
        <w:t>5 nm (I</w:t>
      </w:r>
      <w:r w:rsidRPr="001F68A5">
        <w:rPr>
          <w:rFonts w:ascii="Times New Roman" w:hAnsi="Times New Roman" w:cs="Times New Roman"/>
          <w:b w:val="0"/>
          <w:sz w:val="18"/>
          <w:szCs w:val="18"/>
          <w:vertAlign w:val="subscript"/>
        </w:rPr>
        <w:t>1</w:t>
      </w:r>
      <w:r w:rsidRPr="00096D77">
        <w:rPr>
          <w:rFonts w:ascii="Times New Roman" w:hAnsi="Times New Roman" w:cs="Times New Roman"/>
          <w:b w:val="0"/>
          <w:sz w:val="18"/>
          <w:szCs w:val="18"/>
        </w:rPr>
        <w:t>) and 384</w:t>
      </w:r>
      <w:r w:rsidR="001F68A5">
        <w:rPr>
          <w:rFonts w:ascii="Times New Roman" w:hAnsi="Times New Roman" w:cs="Times New Roman"/>
          <w:b w:val="0"/>
          <w:sz w:val="18"/>
          <w:szCs w:val="18"/>
        </w:rPr>
        <w:t> </w:t>
      </w:r>
      <w:r w:rsidRPr="00096D77">
        <w:rPr>
          <w:rFonts w:ascii="Times New Roman" w:hAnsi="Times New Roman" w:cs="Times New Roman"/>
          <w:b w:val="0"/>
          <w:sz w:val="18"/>
          <w:szCs w:val="18"/>
        </w:rPr>
        <w:t>±</w:t>
      </w:r>
      <w:r w:rsidR="001F68A5">
        <w:rPr>
          <w:rFonts w:ascii="Times New Roman" w:hAnsi="Times New Roman" w:cs="Times New Roman"/>
          <w:b w:val="0"/>
          <w:sz w:val="18"/>
          <w:szCs w:val="18"/>
        </w:rPr>
        <w:t> </w:t>
      </w:r>
      <w:r w:rsidRPr="00096D77">
        <w:rPr>
          <w:rFonts w:ascii="Times New Roman" w:hAnsi="Times New Roman" w:cs="Times New Roman"/>
          <w:b w:val="0"/>
          <w:sz w:val="18"/>
          <w:szCs w:val="18"/>
        </w:rPr>
        <w:t>5 nm (I</w:t>
      </w:r>
      <w:r w:rsidRPr="001F68A5">
        <w:rPr>
          <w:rFonts w:ascii="Times New Roman" w:hAnsi="Times New Roman" w:cs="Times New Roman"/>
          <w:b w:val="0"/>
          <w:sz w:val="18"/>
          <w:szCs w:val="18"/>
          <w:vertAlign w:val="subscript"/>
        </w:rPr>
        <w:t>3</w:t>
      </w:r>
      <w:r w:rsidRPr="00096D77">
        <w:rPr>
          <w:rFonts w:ascii="Times New Roman" w:hAnsi="Times New Roman" w:cs="Times New Roman"/>
          <w:b w:val="0"/>
          <w:sz w:val="18"/>
          <w:szCs w:val="18"/>
        </w:rPr>
        <w:t>) was used.</w:t>
      </w:r>
    </w:p>
    <w:p w:rsidR="00875175" w:rsidRDefault="00875175" w:rsidP="00B23601">
      <w:pPr>
        <w:pStyle w:val="Header1"/>
        <w:spacing w:before="240" w:after="240"/>
      </w:pPr>
      <w:r w:rsidRPr="00875175">
        <w:t>Results and discussion</w:t>
      </w:r>
    </w:p>
    <w:p w:rsidR="00C37170" w:rsidRDefault="00C37170" w:rsidP="00071D12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C37170">
        <w:rPr>
          <w:rFonts w:ascii="Times New Roman" w:hAnsi="Times New Roman" w:cs="Times New Roman"/>
          <w:sz w:val="18"/>
          <w:szCs w:val="18"/>
          <w:lang w:val="en-US"/>
        </w:rPr>
        <w:t>In th</w:t>
      </w:r>
      <w:r w:rsidR="00223F2C">
        <w:rPr>
          <w:rFonts w:ascii="Times New Roman" w:hAnsi="Times New Roman" w:cs="Times New Roman"/>
          <w:sz w:val="18"/>
          <w:szCs w:val="18"/>
          <w:lang w:val="en-US"/>
        </w:rPr>
        <w:t>is</w:t>
      </w:r>
      <w:r w:rsidRPr="00C37170">
        <w:rPr>
          <w:rFonts w:ascii="Times New Roman" w:hAnsi="Times New Roman" w:cs="Times New Roman"/>
          <w:sz w:val="18"/>
          <w:szCs w:val="18"/>
          <w:lang w:val="en-US"/>
        </w:rPr>
        <w:t xml:space="preserve"> work, </w:t>
      </w:r>
      <w:r w:rsidR="00223F2C">
        <w:rPr>
          <w:rFonts w:ascii="Times New Roman" w:hAnsi="Times New Roman" w:cs="Times New Roman"/>
          <w:sz w:val="18"/>
          <w:szCs w:val="18"/>
          <w:lang w:val="en-US"/>
        </w:rPr>
        <w:t>six</w:t>
      </w:r>
      <w:r w:rsidRPr="00C37170">
        <w:rPr>
          <w:rFonts w:ascii="Times New Roman" w:hAnsi="Times New Roman" w:cs="Times New Roman"/>
          <w:sz w:val="18"/>
          <w:szCs w:val="18"/>
          <w:lang w:val="en-US"/>
        </w:rPr>
        <w:t xml:space="preserve"> comb-</w:t>
      </w:r>
      <w:r w:rsidR="00223F2C">
        <w:rPr>
          <w:rFonts w:ascii="Times New Roman" w:hAnsi="Times New Roman" w:cs="Times New Roman"/>
          <w:sz w:val="18"/>
          <w:szCs w:val="18"/>
          <w:lang w:val="en-US"/>
        </w:rPr>
        <w:t xml:space="preserve">like </w:t>
      </w:r>
      <w:r w:rsidRPr="00C37170">
        <w:rPr>
          <w:rFonts w:ascii="Times New Roman" w:hAnsi="Times New Roman" w:cs="Times New Roman"/>
          <w:sz w:val="18"/>
          <w:szCs w:val="18"/>
          <w:lang w:val="en-US"/>
        </w:rPr>
        <w:t xml:space="preserve">polyelectrolytes </w:t>
      </w:r>
      <w:r w:rsidR="00223F2C">
        <w:rPr>
          <w:rFonts w:ascii="Times New Roman" w:hAnsi="Times New Roman" w:cs="Times New Roman"/>
          <w:sz w:val="18"/>
          <w:szCs w:val="18"/>
          <w:lang w:val="en-US"/>
        </w:rPr>
        <w:t xml:space="preserve">bearing </w:t>
      </w:r>
      <w:r w:rsidRPr="00C37170">
        <w:rPr>
          <w:rFonts w:ascii="Times New Roman" w:hAnsi="Times New Roman" w:cs="Times New Roman"/>
          <w:sz w:val="18"/>
          <w:szCs w:val="18"/>
          <w:lang w:val="en-US"/>
        </w:rPr>
        <w:t xml:space="preserve">different ionic groups were investigated (Fig. 1). The </w:t>
      </w:r>
      <w:r w:rsidR="00223F2C">
        <w:rPr>
          <w:rFonts w:ascii="Times New Roman" w:hAnsi="Times New Roman" w:cs="Times New Roman"/>
          <w:sz w:val="18"/>
          <w:szCs w:val="18"/>
          <w:lang w:val="en-US"/>
        </w:rPr>
        <w:t xml:space="preserve">resulting </w:t>
      </w:r>
      <w:r w:rsidRPr="00C37170">
        <w:rPr>
          <w:rFonts w:ascii="Times New Roman" w:hAnsi="Times New Roman" w:cs="Times New Roman"/>
          <w:sz w:val="18"/>
          <w:szCs w:val="18"/>
          <w:lang w:val="en-US"/>
        </w:rPr>
        <w:t>ratios of</w:t>
      </w:r>
      <w:r w:rsidR="00223F2C">
        <w:rPr>
          <w:rFonts w:ascii="Times New Roman" w:hAnsi="Times New Roman" w:cs="Times New Roman"/>
          <w:sz w:val="18"/>
          <w:szCs w:val="18"/>
          <w:lang w:val="en-US"/>
        </w:rPr>
        <w:t xml:space="preserve"> the</w:t>
      </w:r>
      <w:r w:rsidRPr="00C37170">
        <w:rPr>
          <w:rFonts w:ascii="Times New Roman" w:hAnsi="Times New Roman" w:cs="Times New Roman"/>
          <w:sz w:val="18"/>
          <w:szCs w:val="18"/>
          <w:lang w:val="en-US"/>
        </w:rPr>
        <w:t xml:space="preserve"> luminescence peak intensities are presented in Table 1.</w:t>
      </w:r>
    </w:p>
    <w:p w:rsidR="00A67D71" w:rsidRDefault="00A67D71" w:rsidP="00A67D71">
      <w:pPr>
        <w:spacing w:before="200" w:after="120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noProof/>
          <w:sz w:val="18"/>
          <w:szCs w:val="18"/>
          <w:lang w:eastAsia="ru-RU"/>
        </w:rPr>
        <w:drawing>
          <wp:inline distT="0" distB="0" distL="0" distR="0">
            <wp:extent cx="2470927" cy="1987200"/>
            <wp:effectExtent l="19050" t="0" r="557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927" cy="198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D71" w:rsidRDefault="00A67D71" w:rsidP="00A67D71">
      <w:pPr>
        <w:spacing w:before="12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  <w:lang w:val="en-US"/>
        </w:rPr>
        <w:t>Figure</w:t>
      </w:r>
      <w:r w:rsidRPr="00396041">
        <w:rPr>
          <w:rFonts w:ascii="Times New Roman" w:hAnsi="Times New Roman" w:cs="Times New Roman"/>
          <w:b/>
          <w:sz w:val="16"/>
          <w:szCs w:val="16"/>
          <w:lang w:val="en-US"/>
        </w:rPr>
        <w:t xml:space="preserve"> 1.</w:t>
      </w:r>
      <w:proofErr w:type="gramEnd"/>
      <w:r w:rsidRPr="0039604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Structures of the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polyelectrolytes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explored: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pAU</w:t>
      </w:r>
      <w:proofErr w:type="spellEnd"/>
      <w:r w:rsidRPr="00396041">
        <w:rPr>
          <w:rFonts w:ascii="Times New Roman" w:hAnsi="Times New Roman" w:cs="Times New Roman"/>
          <w:sz w:val="16"/>
          <w:szCs w:val="16"/>
          <w:lang w:val="en-US"/>
        </w:rPr>
        <w:t>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MeIm</w:t>
      </w:r>
      <w:proofErr w:type="spellEnd"/>
      <w:r w:rsidRPr="00396041">
        <w:rPr>
          <w:rFonts w:ascii="Times New Roman" w:hAnsi="Times New Roman" w:cs="Times New Roman"/>
          <w:sz w:val="16"/>
          <w:szCs w:val="16"/>
          <w:lang w:val="en-US"/>
        </w:rPr>
        <w:t>-B</w:t>
      </w:r>
      <w:r>
        <w:rPr>
          <w:rFonts w:ascii="Times New Roman" w:hAnsi="Times New Roman" w:cs="Times New Roman"/>
          <w:sz w:val="16"/>
          <w:szCs w:val="16"/>
          <w:lang w:val="en-US"/>
        </w:rPr>
        <w:t>r (</w:t>
      </w:r>
      <w:r w:rsidRPr="00396041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>a</w:t>
      </w:r>
      <w:r>
        <w:rPr>
          <w:rFonts w:ascii="Times New Roman" w:hAnsi="Times New Roman" w:cs="Times New Roman"/>
          <w:sz w:val="16"/>
          <w:szCs w:val="16"/>
          <w:lang w:val="en-US"/>
        </w:rPr>
        <w:t>)</w:t>
      </w:r>
      <w:r w:rsidRPr="00396041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pAUTA</w:t>
      </w:r>
      <w:proofErr w:type="spellEnd"/>
      <w:r w:rsidRPr="00396041">
        <w:rPr>
          <w:rFonts w:ascii="Times New Roman" w:hAnsi="Times New Roman" w:cs="Times New Roman"/>
          <w:sz w:val="16"/>
          <w:szCs w:val="16"/>
          <w:lang w:val="en-US"/>
        </w:rPr>
        <w:t>-</w:t>
      </w:r>
      <w:r>
        <w:rPr>
          <w:rFonts w:ascii="Times New Roman" w:hAnsi="Times New Roman" w:cs="Times New Roman"/>
          <w:sz w:val="16"/>
          <w:szCs w:val="16"/>
          <w:lang w:val="en-US"/>
        </w:rPr>
        <w:t>Br (</w:t>
      </w:r>
      <w:r w:rsidRPr="00396041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>b</w:t>
      </w:r>
      <w:r>
        <w:rPr>
          <w:rFonts w:ascii="Times New Roman" w:hAnsi="Times New Roman" w:cs="Times New Roman"/>
          <w:sz w:val="16"/>
          <w:szCs w:val="16"/>
          <w:lang w:val="en-US"/>
        </w:rPr>
        <w:t>)</w:t>
      </w:r>
      <w:r w:rsidRPr="00396041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pAUMP</w:t>
      </w:r>
      <w:proofErr w:type="spellEnd"/>
      <w:r w:rsidRPr="00396041">
        <w:rPr>
          <w:rFonts w:ascii="Times New Roman" w:hAnsi="Times New Roman" w:cs="Times New Roman"/>
          <w:sz w:val="16"/>
          <w:szCs w:val="16"/>
          <w:lang w:val="en-US"/>
        </w:rPr>
        <w:t>-</w:t>
      </w:r>
      <w:r>
        <w:rPr>
          <w:rFonts w:ascii="Times New Roman" w:hAnsi="Times New Roman" w:cs="Times New Roman"/>
          <w:sz w:val="16"/>
          <w:szCs w:val="16"/>
          <w:lang w:val="en-US"/>
        </w:rPr>
        <w:t>Br (</w:t>
      </w:r>
      <w:r w:rsidRPr="002120E9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>c</w:t>
      </w:r>
      <w:r>
        <w:rPr>
          <w:rFonts w:ascii="Times New Roman" w:hAnsi="Times New Roman" w:cs="Times New Roman"/>
          <w:sz w:val="16"/>
          <w:szCs w:val="16"/>
          <w:lang w:val="en-US"/>
        </w:rPr>
        <w:t>)</w:t>
      </w:r>
      <w:r w:rsidRPr="00396041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pAUTEA</w:t>
      </w:r>
      <w:proofErr w:type="spellEnd"/>
      <w:r w:rsidRPr="00396041">
        <w:rPr>
          <w:rFonts w:ascii="Times New Roman" w:hAnsi="Times New Roman" w:cs="Times New Roman"/>
          <w:sz w:val="16"/>
          <w:szCs w:val="16"/>
          <w:lang w:val="en-US"/>
        </w:rPr>
        <w:t>-</w:t>
      </w:r>
      <w:r>
        <w:rPr>
          <w:rFonts w:ascii="Times New Roman" w:hAnsi="Times New Roman" w:cs="Times New Roman"/>
          <w:sz w:val="16"/>
          <w:szCs w:val="16"/>
          <w:lang w:val="en-US"/>
        </w:rPr>
        <w:t>Br (</w:t>
      </w:r>
      <w:r w:rsidRPr="002120E9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>d</w:t>
      </w:r>
      <w:r>
        <w:rPr>
          <w:rFonts w:ascii="Times New Roman" w:hAnsi="Times New Roman" w:cs="Times New Roman"/>
          <w:sz w:val="16"/>
          <w:szCs w:val="16"/>
          <w:lang w:val="en-US"/>
        </w:rPr>
        <w:t>)</w:t>
      </w:r>
      <w:r w:rsidRPr="00396041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pAU</w:t>
      </w:r>
      <w:proofErr w:type="spellEnd"/>
      <w:r w:rsidRPr="00396041">
        <w:rPr>
          <w:rFonts w:ascii="Times New Roman" w:hAnsi="Times New Roman" w:cs="Times New Roman"/>
          <w:sz w:val="16"/>
          <w:szCs w:val="16"/>
          <w:lang w:val="en-US"/>
        </w:rPr>
        <w:t>-</w:t>
      </w:r>
      <w:r>
        <w:rPr>
          <w:rFonts w:ascii="Times New Roman" w:hAnsi="Times New Roman" w:cs="Times New Roman"/>
          <w:sz w:val="16"/>
          <w:szCs w:val="16"/>
          <w:lang w:val="en-US"/>
        </w:rPr>
        <w:t>DABCO (</w:t>
      </w:r>
      <w:r w:rsidRPr="002120E9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>e</w:t>
      </w:r>
      <w:r>
        <w:rPr>
          <w:rFonts w:ascii="Times New Roman" w:hAnsi="Times New Roman" w:cs="Times New Roman"/>
          <w:sz w:val="16"/>
          <w:szCs w:val="16"/>
          <w:lang w:val="en-US"/>
        </w:rPr>
        <w:t>)</w:t>
      </w:r>
      <w:r w:rsidRPr="00396041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pAU</w:t>
      </w:r>
      <w:r w:rsidRPr="00A45744">
        <w:rPr>
          <w:rFonts w:ascii="Times New Roman" w:hAnsi="Times New Roman" w:cs="Times New Roman"/>
          <w:sz w:val="16"/>
          <w:szCs w:val="16"/>
          <w:lang w:val="en-US"/>
        </w:rPr>
        <w:t>-</w:t>
      </w:r>
      <w:r>
        <w:rPr>
          <w:rFonts w:ascii="Times New Roman" w:hAnsi="Times New Roman" w:cs="Times New Roman"/>
          <w:sz w:val="16"/>
          <w:szCs w:val="16"/>
          <w:lang w:val="en-US"/>
        </w:rPr>
        <w:t>mPEG</w:t>
      </w:r>
      <w:proofErr w:type="spellEnd"/>
      <w:r w:rsidRPr="00A45744">
        <w:rPr>
          <w:rFonts w:ascii="Times New Roman" w:hAnsi="Times New Roman" w:cs="Times New Roman"/>
          <w:sz w:val="16"/>
          <w:szCs w:val="16"/>
          <w:lang w:val="en-US"/>
        </w:rPr>
        <w:t xml:space="preserve"> 160 (</w:t>
      </w:r>
      <w:r>
        <w:rPr>
          <w:rFonts w:ascii="Times New Roman" w:hAnsi="Times New Roman" w:cs="Times New Roman"/>
          <w:sz w:val="16"/>
          <w:szCs w:val="16"/>
          <w:lang w:val="en-US"/>
        </w:rPr>
        <w:t>k</w:t>
      </w:r>
      <w:r w:rsidRPr="00A45744">
        <w:rPr>
          <w:rFonts w:ascii="Times New Roman" w:hAnsi="Times New Roman" w:cs="Times New Roman"/>
          <w:sz w:val="16"/>
          <w:szCs w:val="16"/>
          <w:lang w:val="en-US"/>
        </w:rPr>
        <w:t xml:space="preserve"> = 3)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pAU</w:t>
      </w:r>
      <w:r w:rsidRPr="00A45744">
        <w:rPr>
          <w:rFonts w:ascii="Times New Roman" w:hAnsi="Times New Roman" w:cs="Times New Roman"/>
          <w:sz w:val="16"/>
          <w:szCs w:val="16"/>
          <w:lang w:val="en-US"/>
        </w:rPr>
        <w:t>-</w:t>
      </w:r>
      <w:r>
        <w:rPr>
          <w:rFonts w:ascii="Times New Roman" w:hAnsi="Times New Roman" w:cs="Times New Roman"/>
          <w:sz w:val="16"/>
          <w:szCs w:val="16"/>
          <w:lang w:val="en-US"/>
        </w:rPr>
        <w:t>mPEG</w:t>
      </w:r>
      <w:proofErr w:type="spellEnd"/>
      <w:r w:rsidRPr="00A45744">
        <w:rPr>
          <w:rFonts w:ascii="Times New Roman" w:hAnsi="Times New Roman" w:cs="Times New Roman"/>
          <w:sz w:val="16"/>
          <w:szCs w:val="16"/>
          <w:lang w:val="en-US"/>
        </w:rPr>
        <w:t xml:space="preserve"> 350 (</w:t>
      </w:r>
      <w:r>
        <w:rPr>
          <w:rFonts w:ascii="Times New Roman" w:hAnsi="Times New Roman" w:cs="Times New Roman"/>
          <w:sz w:val="16"/>
          <w:szCs w:val="16"/>
          <w:lang w:val="en-US"/>
        </w:rPr>
        <w:t>k</w:t>
      </w:r>
      <w:r w:rsidRPr="00A45744">
        <w:rPr>
          <w:rFonts w:ascii="Times New Roman" w:hAnsi="Times New Roman" w:cs="Times New Roman"/>
          <w:sz w:val="16"/>
          <w:szCs w:val="16"/>
          <w:lang w:val="en-US"/>
        </w:rPr>
        <w:t xml:space="preserve"> = 7),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pAU</w:t>
      </w:r>
      <w:r w:rsidRPr="00A45744">
        <w:rPr>
          <w:rFonts w:ascii="Times New Roman" w:hAnsi="Times New Roman" w:cs="Times New Roman"/>
          <w:sz w:val="16"/>
          <w:szCs w:val="16"/>
          <w:lang w:val="en-US"/>
        </w:rPr>
        <w:t>-</w:t>
      </w:r>
      <w:r>
        <w:rPr>
          <w:rFonts w:ascii="Times New Roman" w:hAnsi="Times New Roman" w:cs="Times New Roman"/>
          <w:sz w:val="16"/>
          <w:szCs w:val="16"/>
          <w:lang w:val="en-US"/>
        </w:rPr>
        <w:t>mPEG</w:t>
      </w:r>
      <w:proofErr w:type="spellEnd"/>
      <w:r w:rsidRPr="00A45744">
        <w:rPr>
          <w:rFonts w:ascii="Times New Roman" w:hAnsi="Times New Roman" w:cs="Times New Roman"/>
          <w:sz w:val="16"/>
          <w:szCs w:val="16"/>
          <w:lang w:val="en-US"/>
        </w:rPr>
        <w:t xml:space="preserve"> 550 (</w:t>
      </w:r>
      <w:r>
        <w:rPr>
          <w:rFonts w:ascii="Times New Roman" w:hAnsi="Times New Roman" w:cs="Times New Roman"/>
          <w:sz w:val="16"/>
          <w:szCs w:val="16"/>
          <w:lang w:val="en-US"/>
        </w:rPr>
        <w:t>k</w:t>
      </w:r>
      <w:r w:rsidRPr="00A45744">
        <w:rPr>
          <w:rFonts w:ascii="Times New Roman" w:hAnsi="Times New Roman" w:cs="Times New Roman"/>
          <w:sz w:val="16"/>
          <w:szCs w:val="16"/>
          <w:lang w:val="en-US"/>
        </w:rPr>
        <w:t xml:space="preserve"> = 12)</w:t>
      </w:r>
      <w:r w:rsidRPr="002120E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r w:rsidRPr="002120E9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>f</w:t>
      </w:r>
      <w:r>
        <w:rPr>
          <w:rFonts w:ascii="Times New Roman" w:hAnsi="Times New Roman" w:cs="Times New Roman"/>
          <w:sz w:val="16"/>
          <w:szCs w:val="16"/>
          <w:lang w:val="en-US"/>
        </w:rPr>
        <w:t>).</w:t>
      </w:r>
    </w:p>
    <w:p w:rsidR="00A67D71" w:rsidRPr="00C64B3C" w:rsidRDefault="00A67D71" w:rsidP="00A67D71">
      <w:pPr>
        <w:spacing w:before="200" w:after="12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64B3C">
        <w:rPr>
          <w:rFonts w:ascii="Times New Roman" w:hAnsi="Times New Roman" w:cs="Times New Roman"/>
          <w:b/>
          <w:bCs/>
          <w:sz w:val="16"/>
          <w:szCs w:val="16"/>
          <w:lang w:val="en-US"/>
        </w:rPr>
        <w:lastRenderedPageBreak/>
        <w:t>Table 1.</w:t>
      </w:r>
      <w:proofErr w:type="gramEnd"/>
      <w:r w:rsidRPr="00C64B3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US"/>
        </w:rPr>
        <w:t>R</w:t>
      </w:r>
      <w:r w:rsidRPr="00C64B3C">
        <w:rPr>
          <w:rFonts w:ascii="Times New Roman" w:hAnsi="Times New Roman" w:cs="Times New Roman"/>
          <w:sz w:val="16"/>
          <w:szCs w:val="16"/>
          <w:lang w:val="en-US"/>
        </w:rPr>
        <w:t xml:space="preserve">atios of intensities of the characteristic luminescence </w:t>
      </w:r>
      <w:r>
        <w:rPr>
          <w:rFonts w:ascii="Times New Roman" w:hAnsi="Times New Roman" w:cs="Times New Roman"/>
          <w:sz w:val="16"/>
          <w:szCs w:val="16"/>
          <w:lang w:val="en-US"/>
        </w:rPr>
        <w:t>peaks</w:t>
      </w:r>
      <w:r w:rsidRPr="00C64B3C">
        <w:rPr>
          <w:rFonts w:ascii="Times New Roman" w:hAnsi="Times New Roman" w:cs="Times New Roman"/>
          <w:sz w:val="16"/>
          <w:szCs w:val="16"/>
          <w:lang w:val="en-US"/>
        </w:rPr>
        <w:t xml:space="preserve"> of </w:t>
      </w:r>
      <w:proofErr w:type="spellStart"/>
      <w:r w:rsidRPr="00C64B3C">
        <w:rPr>
          <w:rFonts w:ascii="Times New Roman" w:hAnsi="Times New Roman" w:cs="Times New Roman"/>
          <w:sz w:val="16"/>
          <w:szCs w:val="16"/>
          <w:lang w:val="en-US"/>
        </w:rPr>
        <w:t>pyrene</w:t>
      </w:r>
      <w:proofErr w:type="spellEnd"/>
      <w:r w:rsidRPr="00C64B3C">
        <w:rPr>
          <w:rFonts w:ascii="Times New Roman" w:hAnsi="Times New Roman" w:cs="Times New Roman"/>
          <w:sz w:val="16"/>
          <w:szCs w:val="16"/>
          <w:lang w:val="en-US"/>
        </w:rPr>
        <w:t xml:space="preserve"> (I</w:t>
      </w:r>
      <w:r w:rsidRPr="00223F2C">
        <w:rPr>
          <w:rFonts w:ascii="Times New Roman" w:hAnsi="Times New Roman" w:cs="Times New Roman"/>
          <w:sz w:val="16"/>
          <w:szCs w:val="16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r w:rsidRPr="00C64B3C">
        <w:rPr>
          <w:rFonts w:ascii="Times New Roman" w:hAnsi="Times New Roman" w:cs="Times New Roman"/>
          <w:sz w:val="16"/>
          <w:szCs w:val="16"/>
          <w:lang w:val="en-US"/>
        </w:rPr>
        <w:t>375</w:t>
      </w:r>
      <w:r>
        <w:rPr>
          <w:rFonts w:ascii="Times New Roman" w:hAnsi="Times New Roman" w:cs="Times New Roman"/>
          <w:sz w:val="16"/>
          <w:szCs w:val="16"/>
          <w:lang w:val="en-US"/>
        </w:rPr>
        <w:t> </w:t>
      </w:r>
      <w:r w:rsidRPr="00C64B3C">
        <w:rPr>
          <w:rFonts w:ascii="Times New Roman" w:hAnsi="Times New Roman" w:cs="Times New Roman"/>
          <w:sz w:val="16"/>
          <w:szCs w:val="16"/>
          <w:lang w:val="en-US"/>
        </w:rPr>
        <w:t>±</w:t>
      </w:r>
      <w:r>
        <w:rPr>
          <w:rFonts w:ascii="Times New Roman" w:hAnsi="Times New Roman" w:cs="Times New Roman"/>
          <w:sz w:val="16"/>
          <w:szCs w:val="16"/>
          <w:lang w:val="en-US"/>
        </w:rPr>
        <w:t> </w:t>
      </w:r>
      <w:r w:rsidRPr="00C64B3C">
        <w:rPr>
          <w:rFonts w:ascii="Times New Roman" w:hAnsi="Times New Roman" w:cs="Times New Roman"/>
          <w:sz w:val="16"/>
          <w:szCs w:val="16"/>
          <w:lang w:val="en-US"/>
        </w:rPr>
        <w:t>5 nm, I</w:t>
      </w:r>
      <w:r w:rsidRPr="00223F2C">
        <w:rPr>
          <w:rFonts w:ascii="Times New Roman" w:hAnsi="Times New Roman" w:cs="Times New Roman"/>
          <w:sz w:val="16"/>
          <w:szCs w:val="16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16"/>
          <w:szCs w:val="16"/>
          <w:lang w:val="en-US"/>
        </w:rPr>
        <w:t>:</w:t>
      </w:r>
      <w:r w:rsidRPr="00C64B3C">
        <w:rPr>
          <w:rFonts w:ascii="Times New Roman" w:hAnsi="Times New Roman" w:cs="Times New Roman"/>
          <w:sz w:val="16"/>
          <w:szCs w:val="16"/>
          <w:lang w:val="en-US"/>
        </w:rPr>
        <w:t xml:space="preserve"> 384</w:t>
      </w:r>
      <w:r>
        <w:rPr>
          <w:rFonts w:ascii="Times New Roman" w:hAnsi="Times New Roman" w:cs="Times New Roman"/>
          <w:sz w:val="16"/>
          <w:szCs w:val="16"/>
          <w:lang w:val="en-US"/>
        </w:rPr>
        <w:t> </w:t>
      </w:r>
      <w:r w:rsidRPr="00C64B3C">
        <w:rPr>
          <w:rFonts w:ascii="Times New Roman" w:hAnsi="Times New Roman" w:cs="Times New Roman"/>
          <w:sz w:val="16"/>
          <w:szCs w:val="16"/>
          <w:lang w:val="en-US"/>
        </w:rPr>
        <w:t>±</w:t>
      </w:r>
      <w:r>
        <w:rPr>
          <w:rFonts w:ascii="Times New Roman" w:hAnsi="Times New Roman" w:cs="Times New Roman"/>
          <w:sz w:val="16"/>
          <w:szCs w:val="16"/>
          <w:lang w:val="en-US"/>
        </w:rPr>
        <w:t> </w:t>
      </w:r>
      <w:r w:rsidRPr="00C64B3C">
        <w:rPr>
          <w:rFonts w:ascii="Times New Roman" w:hAnsi="Times New Roman" w:cs="Times New Roman"/>
          <w:sz w:val="16"/>
          <w:szCs w:val="16"/>
          <w:lang w:val="en-US"/>
        </w:rPr>
        <w:t xml:space="preserve">5 nm), </w:t>
      </w:r>
      <w:proofErr w:type="spellStart"/>
      <w:r w:rsidRPr="00C64B3C">
        <w:rPr>
          <w:rFonts w:ascii="Times New Roman" w:hAnsi="Times New Roman" w:cs="Times New Roman"/>
          <w:sz w:val="16"/>
          <w:szCs w:val="16"/>
          <w:lang w:val="en-US"/>
        </w:rPr>
        <w:t>solubilized</w:t>
      </w:r>
      <w:proofErr w:type="spellEnd"/>
      <w:r w:rsidRPr="00C64B3C">
        <w:rPr>
          <w:rFonts w:ascii="Times New Roman" w:hAnsi="Times New Roman" w:cs="Times New Roman"/>
          <w:sz w:val="16"/>
          <w:szCs w:val="16"/>
          <w:lang w:val="en-US"/>
        </w:rPr>
        <w:t xml:space="preserve"> by micelles of 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the </w:t>
      </w:r>
      <w:r w:rsidRPr="00C64B3C">
        <w:rPr>
          <w:rFonts w:ascii="Times New Roman" w:hAnsi="Times New Roman" w:cs="Times New Roman"/>
          <w:sz w:val="16"/>
          <w:szCs w:val="16"/>
          <w:lang w:val="en-US"/>
        </w:rPr>
        <w:t>comb-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like </w:t>
      </w:r>
      <w:proofErr w:type="spellStart"/>
      <w:r w:rsidRPr="00C64B3C">
        <w:rPr>
          <w:rFonts w:ascii="Times New Roman" w:hAnsi="Times New Roman" w:cs="Times New Roman"/>
          <w:sz w:val="16"/>
          <w:szCs w:val="16"/>
          <w:lang w:val="en-US"/>
        </w:rPr>
        <w:t>polyelectrolytes</w:t>
      </w:r>
      <w:proofErr w:type="spellEnd"/>
      <w:r w:rsidRPr="00C64B3C">
        <w:rPr>
          <w:rFonts w:ascii="Times New Roman" w:hAnsi="Times New Roman" w:cs="Times New Roman"/>
          <w:sz w:val="16"/>
          <w:szCs w:val="16"/>
          <w:lang w:val="en-US"/>
        </w:rPr>
        <w:t xml:space="preserve"> with different </w:t>
      </w:r>
      <w:r>
        <w:rPr>
          <w:rFonts w:ascii="Times New Roman" w:hAnsi="Times New Roman" w:cs="Times New Roman"/>
          <w:sz w:val="16"/>
          <w:szCs w:val="16"/>
          <w:lang w:val="en-US"/>
        </w:rPr>
        <w:t>terminal</w:t>
      </w:r>
      <w:r w:rsidRPr="00C64B3C">
        <w:rPr>
          <w:rFonts w:ascii="Times New Roman" w:hAnsi="Times New Roman" w:cs="Times New Roman"/>
          <w:sz w:val="16"/>
          <w:szCs w:val="16"/>
          <w:lang w:val="en-US"/>
        </w:rPr>
        <w:t xml:space="preserve"> groups</w:t>
      </w:r>
    </w:p>
    <w:tbl>
      <w:tblPr>
        <w:tblStyle w:val="-11"/>
        <w:tblW w:w="0" w:type="auto"/>
        <w:jc w:val="center"/>
        <w:tblLook w:val="0620"/>
      </w:tblPr>
      <w:tblGrid>
        <w:gridCol w:w="2145"/>
        <w:gridCol w:w="1561"/>
      </w:tblGrid>
      <w:tr w:rsidR="00A67D71" w:rsidRPr="00C7193B" w:rsidTr="004F1874">
        <w:trPr>
          <w:cnfStyle w:val="100000000000"/>
          <w:trHeight w:val="309"/>
          <w:jc w:val="center"/>
        </w:trPr>
        <w:tc>
          <w:tcPr>
            <w:tcW w:w="21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7D71" w:rsidRPr="00C7193B" w:rsidRDefault="00A67D71" w:rsidP="004F187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7193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Polymer</w:t>
            </w:r>
          </w:p>
        </w:tc>
        <w:tc>
          <w:tcPr>
            <w:tcW w:w="15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7D71" w:rsidRPr="00C7193B" w:rsidRDefault="00A67D71" w:rsidP="004F187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7193B">
              <w:rPr>
                <w:rFonts w:ascii="Times New Roman" w:hAnsi="Times New Roman" w:cs="Times New Roman"/>
                <w:sz w:val="16"/>
                <w:szCs w:val="16"/>
              </w:rPr>
              <w:t>I1/I3</w:t>
            </w:r>
          </w:p>
        </w:tc>
      </w:tr>
      <w:tr w:rsidR="00A67D71" w:rsidRPr="00C7193B" w:rsidTr="004F1874">
        <w:trPr>
          <w:trHeight w:val="227"/>
          <w:jc w:val="center"/>
        </w:trPr>
        <w:tc>
          <w:tcPr>
            <w:tcW w:w="2145" w:type="dxa"/>
            <w:tcBorders>
              <w:top w:val="single" w:sz="4" w:space="0" w:color="auto"/>
            </w:tcBorders>
            <w:vAlign w:val="center"/>
          </w:tcPr>
          <w:p w:rsidR="00A67D71" w:rsidRPr="00C7193B" w:rsidRDefault="00A67D71" w:rsidP="004F1874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C7193B">
              <w:rPr>
                <w:rFonts w:ascii="Times New Roman" w:hAnsi="Times New Roman" w:cs="Times New Roman"/>
                <w:sz w:val="16"/>
                <w:szCs w:val="16"/>
              </w:rPr>
              <w:t>pAU-MeIm-Br</w:t>
            </w:r>
            <w:proofErr w:type="spellEnd"/>
          </w:p>
        </w:tc>
        <w:tc>
          <w:tcPr>
            <w:tcW w:w="1561" w:type="dxa"/>
            <w:tcBorders>
              <w:top w:val="single" w:sz="4" w:space="0" w:color="auto"/>
            </w:tcBorders>
            <w:vAlign w:val="center"/>
          </w:tcPr>
          <w:p w:rsidR="00A67D71" w:rsidRPr="00C7193B" w:rsidRDefault="00A67D71" w:rsidP="004F187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7193B">
              <w:rPr>
                <w:rFonts w:ascii="Times New Roman" w:hAnsi="Times New Roman" w:cs="Times New Roman"/>
                <w:sz w:val="16"/>
                <w:szCs w:val="16"/>
              </w:rPr>
              <w:t>1.37</w:t>
            </w:r>
          </w:p>
        </w:tc>
      </w:tr>
      <w:tr w:rsidR="00A67D71" w:rsidRPr="00C7193B" w:rsidTr="004F1874">
        <w:trPr>
          <w:trHeight w:val="227"/>
          <w:jc w:val="center"/>
        </w:trPr>
        <w:tc>
          <w:tcPr>
            <w:tcW w:w="2145" w:type="dxa"/>
            <w:vAlign w:val="center"/>
          </w:tcPr>
          <w:p w:rsidR="00A67D71" w:rsidRPr="00C7193B" w:rsidRDefault="00A67D71" w:rsidP="004F1874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C7193B">
              <w:rPr>
                <w:rFonts w:ascii="Times New Roman" w:hAnsi="Times New Roman" w:cs="Times New Roman"/>
                <w:sz w:val="16"/>
                <w:szCs w:val="16"/>
              </w:rPr>
              <w:t>pAUTA-Br</w:t>
            </w:r>
            <w:proofErr w:type="spellEnd"/>
          </w:p>
        </w:tc>
        <w:tc>
          <w:tcPr>
            <w:tcW w:w="1561" w:type="dxa"/>
            <w:vAlign w:val="center"/>
          </w:tcPr>
          <w:p w:rsidR="00A67D71" w:rsidRPr="00C7193B" w:rsidRDefault="00A67D71" w:rsidP="004F187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7193B">
              <w:rPr>
                <w:rFonts w:ascii="Times New Roman" w:hAnsi="Times New Roman" w:cs="Times New Roman"/>
                <w:sz w:val="16"/>
                <w:szCs w:val="16"/>
              </w:rPr>
              <w:t>1.44</w:t>
            </w:r>
          </w:p>
        </w:tc>
      </w:tr>
      <w:tr w:rsidR="00A67D71" w:rsidRPr="00C7193B" w:rsidTr="004F1874">
        <w:trPr>
          <w:trHeight w:val="227"/>
          <w:jc w:val="center"/>
        </w:trPr>
        <w:tc>
          <w:tcPr>
            <w:tcW w:w="2145" w:type="dxa"/>
            <w:vAlign w:val="center"/>
          </w:tcPr>
          <w:p w:rsidR="00A67D71" w:rsidRPr="00C7193B" w:rsidRDefault="00A67D71" w:rsidP="004F1874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C7193B">
              <w:rPr>
                <w:rFonts w:ascii="Times New Roman" w:hAnsi="Times New Roman" w:cs="Times New Roman"/>
                <w:sz w:val="16"/>
                <w:szCs w:val="16"/>
              </w:rPr>
              <w:t>pAUMP-Br</w:t>
            </w:r>
            <w:proofErr w:type="spellEnd"/>
          </w:p>
        </w:tc>
        <w:tc>
          <w:tcPr>
            <w:tcW w:w="1561" w:type="dxa"/>
            <w:vAlign w:val="center"/>
          </w:tcPr>
          <w:p w:rsidR="00A67D71" w:rsidRPr="00C7193B" w:rsidRDefault="00A67D71" w:rsidP="004F187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7193B">
              <w:rPr>
                <w:rFonts w:ascii="Times New Roman" w:hAnsi="Times New Roman" w:cs="Times New Roman"/>
                <w:sz w:val="16"/>
                <w:szCs w:val="16"/>
              </w:rPr>
              <w:t>1.45</w:t>
            </w:r>
          </w:p>
        </w:tc>
      </w:tr>
      <w:tr w:rsidR="00A67D71" w:rsidRPr="00C7193B" w:rsidTr="004F1874">
        <w:trPr>
          <w:trHeight w:val="227"/>
          <w:jc w:val="center"/>
        </w:trPr>
        <w:tc>
          <w:tcPr>
            <w:tcW w:w="2145" w:type="dxa"/>
            <w:vAlign w:val="center"/>
          </w:tcPr>
          <w:p w:rsidR="00A67D71" w:rsidRPr="00C7193B" w:rsidRDefault="00A67D71" w:rsidP="004F1874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C7193B">
              <w:rPr>
                <w:rFonts w:ascii="Times New Roman" w:hAnsi="Times New Roman" w:cs="Times New Roman"/>
                <w:sz w:val="16"/>
                <w:szCs w:val="16"/>
              </w:rPr>
              <w:t>pAUTEA-Br</w:t>
            </w:r>
            <w:proofErr w:type="spellEnd"/>
          </w:p>
        </w:tc>
        <w:tc>
          <w:tcPr>
            <w:tcW w:w="1561" w:type="dxa"/>
            <w:vAlign w:val="center"/>
          </w:tcPr>
          <w:p w:rsidR="00A67D71" w:rsidRPr="00C7193B" w:rsidRDefault="00A67D71" w:rsidP="004F187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7193B">
              <w:rPr>
                <w:rFonts w:ascii="Times New Roman" w:hAnsi="Times New Roman" w:cs="Times New Roman"/>
                <w:sz w:val="16"/>
                <w:szCs w:val="16"/>
              </w:rPr>
              <w:t>1.47</w:t>
            </w:r>
          </w:p>
        </w:tc>
      </w:tr>
      <w:tr w:rsidR="00A67D71" w:rsidRPr="00C7193B" w:rsidTr="004F1874">
        <w:trPr>
          <w:trHeight w:val="227"/>
          <w:jc w:val="center"/>
        </w:trPr>
        <w:tc>
          <w:tcPr>
            <w:tcW w:w="2145" w:type="dxa"/>
            <w:vAlign w:val="center"/>
          </w:tcPr>
          <w:p w:rsidR="00A67D71" w:rsidRPr="00C7193B" w:rsidRDefault="00A67D71" w:rsidP="004F1874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C7193B">
              <w:rPr>
                <w:rFonts w:ascii="Times New Roman" w:hAnsi="Times New Roman" w:cs="Times New Roman"/>
                <w:sz w:val="16"/>
                <w:szCs w:val="16"/>
              </w:rPr>
              <w:t>pAU</w:t>
            </w:r>
            <w:proofErr w:type="spellEnd"/>
            <w:r w:rsidRPr="00C7193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  <w:r w:rsidRPr="00C7193B">
              <w:rPr>
                <w:rFonts w:ascii="Times New Roman" w:hAnsi="Times New Roman" w:cs="Times New Roman"/>
                <w:sz w:val="16"/>
                <w:szCs w:val="16"/>
              </w:rPr>
              <w:t>DABCO</w:t>
            </w:r>
          </w:p>
        </w:tc>
        <w:tc>
          <w:tcPr>
            <w:tcW w:w="1561" w:type="dxa"/>
            <w:vAlign w:val="center"/>
          </w:tcPr>
          <w:p w:rsidR="00A67D71" w:rsidRPr="00C7193B" w:rsidRDefault="00A67D71" w:rsidP="004F187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7193B">
              <w:rPr>
                <w:rFonts w:ascii="Times New Roman" w:hAnsi="Times New Roman" w:cs="Times New Roman"/>
                <w:sz w:val="16"/>
                <w:szCs w:val="16"/>
              </w:rPr>
              <w:t>1.49</w:t>
            </w:r>
          </w:p>
        </w:tc>
      </w:tr>
      <w:tr w:rsidR="00A67D71" w:rsidRPr="00C7193B" w:rsidTr="004F1874">
        <w:trPr>
          <w:trHeight w:val="227"/>
          <w:jc w:val="center"/>
        </w:trPr>
        <w:tc>
          <w:tcPr>
            <w:tcW w:w="2145" w:type="dxa"/>
            <w:vAlign w:val="center"/>
          </w:tcPr>
          <w:p w:rsidR="00A67D71" w:rsidRPr="00C7193B" w:rsidRDefault="00A67D71" w:rsidP="004F1874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C7193B">
              <w:rPr>
                <w:rFonts w:ascii="Times New Roman" w:hAnsi="Times New Roman" w:cs="Times New Roman"/>
                <w:sz w:val="16"/>
                <w:szCs w:val="16"/>
              </w:rPr>
              <w:t>pAUP-mPEG</w:t>
            </w:r>
            <w:proofErr w:type="spellEnd"/>
            <w:r w:rsidRPr="00C7193B">
              <w:rPr>
                <w:rFonts w:ascii="Times New Roman" w:hAnsi="Times New Roman" w:cs="Times New Roman"/>
                <w:sz w:val="16"/>
                <w:szCs w:val="16"/>
              </w:rPr>
              <w:t xml:space="preserve"> 160 (</w:t>
            </w:r>
            <w:r w:rsidRPr="00C7193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k=3)</w:t>
            </w:r>
          </w:p>
        </w:tc>
        <w:tc>
          <w:tcPr>
            <w:tcW w:w="1561" w:type="dxa"/>
            <w:vAlign w:val="center"/>
          </w:tcPr>
          <w:p w:rsidR="00A67D71" w:rsidRPr="00C7193B" w:rsidRDefault="00A67D71" w:rsidP="004F187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7193B">
              <w:rPr>
                <w:rFonts w:ascii="Times New Roman" w:hAnsi="Times New Roman" w:cs="Times New Roman"/>
                <w:sz w:val="16"/>
                <w:szCs w:val="16"/>
              </w:rPr>
              <w:t>1.62</w:t>
            </w:r>
          </w:p>
        </w:tc>
      </w:tr>
      <w:tr w:rsidR="00A67D71" w:rsidRPr="00C7193B" w:rsidTr="004F1874">
        <w:trPr>
          <w:trHeight w:val="227"/>
          <w:jc w:val="center"/>
        </w:trPr>
        <w:tc>
          <w:tcPr>
            <w:tcW w:w="2145" w:type="dxa"/>
            <w:vAlign w:val="center"/>
          </w:tcPr>
          <w:p w:rsidR="00A67D71" w:rsidRPr="00C7193B" w:rsidRDefault="00A67D71" w:rsidP="004F1874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C7193B">
              <w:rPr>
                <w:rFonts w:ascii="Times New Roman" w:hAnsi="Times New Roman" w:cs="Times New Roman"/>
                <w:sz w:val="16"/>
                <w:szCs w:val="16"/>
              </w:rPr>
              <w:t>pAUP-mPEG</w:t>
            </w:r>
            <w:proofErr w:type="spellEnd"/>
            <w:r w:rsidRPr="00C7193B">
              <w:rPr>
                <w:rFonts w:ascii="Times New Roman" w:hAnsi="Times New Roman" w:cs="Times New Roman"/>
                <w:sz w:val="16"/>
                <w:szCs w:val="16"/>
              </w:rPr>
              <w:t xml:space="preserve"> 350</w:t>
            </w:r>
            <w:r w:rsidRPr="00C7193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(k=7)</w:t>
            </w:r>
          </w:p>
        </w:tc>
        <w:tc>
          <w:tcPr>
            <w:tcW w:w="1561" w:type="dxa"/>
            <w:vAlign w:val="center"/>
          </w:tcPr>
          <w:p w:rsidR="00A67D71" w:rsidRPr="00C7193B" w:rsidRDefault="00A67D71" w:rsidP="004F187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7193B">
              <w:rPr>
                <w:rFonts w:ascii="Times New Roman" w:hAnsi="Times New Roman" w:cs="Times New Roman"/>
                <w:sz w:val="16"/>
                <w:szCs w:val="16"/>
              </w:rPr>
              <w:t>1.62</w:t>
            </w:r>
          </w:p>
        </w:tc>
      </w:tr>
      <w:tr w:rsidR="00A67D71" w:rsidRPr="00C7193B" w:rsidTr="004F1874">
        <w:trPr>
          <w:trHeight w:val="227"/>
          <w:jc w:val="center"/>
        </w:trPr>
        <w:tc>
          <w:tcPr>
            <w:tcW w:w="2145" w:type="dxa"/>
            <w:tcBorders>
              <w:bottom w:val="single" w:sz="4" w:space="0" w:color="auto"/>
            </w:tcBorders>
            <w:vAlign w:val="center"/>
          </w:tcPr>
          <w:p w:rsidR="00A67D71" w:rsidRPr="00C7193B" w:rsidRDefault="00A67D71" w:rsidP="004F1874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C7193B">
              <w:rPr>
                <w:rFonts w:ascii="Times New Roman" w:hAnsi="Times New Roman" w:cs="Times New Roman"/>
                <w:sz w:val="16"/>
                <w:szCs w:val="16"/>
              </w:rPr>
              <w:t>pAUP-mPEG</w:t>
            </w:r>
            <w:proofErr w:type="spellEnd"/>
            <w:r w:rsidRPr="00C7193B">
              <w:rPr>
                <w:rFonts w:ascii="Times New Roman" w:hAnsi="Times New Roman" w:cs="Times New Roman"/>
                <w:sz w:val="16"/>
                <w:szCs w:val="16"/>
              </w:rPr>
              <w:t xml:space="preserve"> 550</w:t>
            </w:r>
            <w:r w:rsidRPr="00C7193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(k=12)</w:t>
            </w:r>
          </w:p>
        </w:tc>
        <w:tc>
          <w:tcPr>
            <w:tcW w:w="1561" w:type="dxa"/>
            <w:tcBorders>
              <w:bottom w:val="single" w:sz="4" w:space="0" w:color="auto"/>
            </w:tcBorders>
            <w:vAlign w:val="center"/>
          </w:tcPr>
          <w:p w:rsidR="00A67D71" w:rsidRPr="00C7193B" w:rsidRDefault="00A67D71" w:rsidP="004F187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7193B">
              <w:rPr>
                <w:rFonts w:ascii="Times New Roman" w:hAnsi="Times New Roman" w:cs="Times New Roman"/>
                <w:sz w:val="16"/>
                <w:szCs w:val="16"/>
              </w:rPr>
              <w:t>1.62</w:t>
            </w:r>
          </w:p>
        </w:tc>
      </w:tr>
    </w:tbl>
    <w:p w:rsidR="00602C9E" w:rsidRDefault="00602C9E" w:rsidP="00A67D71">
      <w:pPr>
        <w:spacing w:before="200"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An</w:t>
      </w:r>
      <w:r w:rsidRPr="00844355">
        <w:rPr>
          <w:rFonts w:ascii="Times New Roman" w:hAnsi="Times New Roman" w:cs="Times New Roman"/>
          <w:sz w:val="18"/>
          <w:szCs w:val="18"/>
          <w:lang w:val="en-US"/>
        </w:rPr>
        <w:t xml:space="preserve"> increase in the ratio of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intensities of</w:t>
      </w:r>
      <w:r w:rsidRPr="00844355">
        <w:rPr>
          <w:rFonts w:ascii="Times New Roman" w:hAnsi="Times New Roman" w:cs="Times New Roman"/>
          <w:sz w:val="18"/>
          <w:szCs w:val="18"/>
          <w:lang w:val="en-US"/>
        </w:rPr>
        <w:t xml:space="preserve"> the characteristic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luminescence </w:t>
      </w:r>
      <w:r w:rsidRPr="00844355">
        <w:rPr>
          <w:rFonts w:ascii="Times New Roman" w:hAnsi="Times New Roman" w:cs="Times New Roman"/>
          <w:sz w:val="18"/>
          <w:szCs w:val="18"/>
          <w:lang w:val="en-US"/>
        </w:rPr>
        <w:t>peak</w:t>
      </w:r>
      <w:r>
        <w:rPr>
          <w:rFonts w:ascii="Times New Roman" w:hAnsi="Times New Roman" w:cs="Times New Roman"/>
          <w:sz w:val="18"/>
          <w:szCs w:val="18"/>
          <w:lang w:val="en-US"/>
        </w:rPr>
        <w:t>s</w:t>
      </w:r>
      <w:r w:rsidRPr="00844355">
        <w:rPr>
          <w:rFonts w:ascii="Times New Roman" w:hAnsi="Times New Roman" w:cs="Times New Roman"/>
          <w:sz w:val="18"/>
          <w:szCs w:val="18"/>
          <w:lang w:val="en-US"/>
        </w:rPr>
        <w:t xml:space="preserve"> of pyrene corresponds to an increase in the dipole moment of the surrounding molecules (molecular fragments). In this case, the </w:t>
      </w:r>
      <w:proofErr w:type="spellStart"/>
      <w:r w:rsidRPr="00844355">
        <w:rPr>
          <w:rFonts w:ascii="Times New Roman" w:hAnsi="Times New Roman" w:cs="Times New Roman"/>
          <w:sz w:val="18"/>
          <w:szCs w:val="18"/>
          <w:lang w:val="en-US"/>
        </w:rPr>
        <w:t>pAU</w:t>
      </w:r>
      <w:proofErr w:type="spellEnd"/>
      <w:r w:rsidRPr="00844355"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 w:rsidRPr="00844355">
        <w:rPr>
          <w:rFonts w:ascii="Times New Roman" w:hAnsi="Times New Roman" w:cs="Times New Roman"/>
          <w:sz w:val="18"/>
          <w:szCs w:val="18"/>
          <w:lang w:val="en-US"/>
        </w:rPr>
        <w:t>MeIm</w:t>
      </w:r>
      <w:proofErr w:type="spellEnd"/>
      <w:r w:rsidRPr="00844355">
        <w:rPr>
          <w:rFonts w:ascii="Times New Roman" w:hAnsi="Times New Roman" w:cs="Times New Roman"/>
          <w:sz w:val="18"/>
          <w:szCs w:val="18"/>
          <w:lang w:val="en-US"/>
        </w:rPr>
        <w:t xml:space="preserve">-Br molecules had the lowest value due to the redistribution of the positive charge over the imidazolium </w:t>
      </w:r>
      <w:r>
        <w:rPr>
          <w:rFonts w:ascii="Times New Roman" w:hAnsi="Times New Roman" w:cs="Times New Roman"/>
          <w:sz w:val="18"/>
          <w:szCs w:val="18"/>
          <w:lang w:val="en-US"/>
        </w:rPr>
        <w:t>moiety</w:t>
      </w:r>
      <w:r w:rsidRPr="00844355">
        <w:rPr>
          <w:rFonts w:ascii="Times New Roman" w:hAnsi="Times New Roman" w:cs="Times New Roman"/>
          <w:sz w:val="18"/>
          <w:szCs w:val="18"/>
          <w:lang w:val="en-US"/>
        </w:rPr>
        <w:t xml:space="preserve">. The </w:t>
      </w:r>
      <w:r>
        <w:rPr>
          <w:rFonts w:ascii="Times New Roman" w:hAnsi="Times New Roman" w:cs="Times New Roman"/>
          <w:sz w:val="18"/>
          <w:szCs w:val="18"/>
          <w:lang w:val="en-US"/>
        </w:rPr>
        <w:t>resulting values of the I</w:t>
      </w:r>
      <w:r w:rsidRPr="001E45A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</w:t>
      </w:r>
      <w:r w:rsidRPr="00844355">
        <w:rPr>
          <w:rFonts w:ascii="Times New Roman" w:hAnsi="Times New Roman" w:cs="Times New Roman"/>
          <w:sz w:val="18"/>
          <w:szCs w:val="18"/>
          <w:lang w:val="en-US"/>
        </w:rPr>
        <w:t>/I</w:t>
      </w:r>
      <w:r w:rsidRPr="001E45A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Pr="00844355">
        <w:rPr>
          <w:rFonts w:ascii="Times New Roman" w:hAnsi="Times New Roman" w:cs="Times New Roman"/>
          <w:sz w:val="18"/>
          <w:szCs w:val="18"/>
          <w:lang w:val="en-US"/>
        </w:rPr>
        <w:t xml:space="preserve"> ratio correspond to the polarity of ethyl acetate, the intermediate polarity values of 1.45</w:t>
      </w:r>
      <w:r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844355">
        <w:rPr>
          <w:rFonts w:ascii="Times New Roman" w:hAnsi="Times New Roman" w:cs="Times New Roman"/>
          <w:sz w:val="18"/>
          <w:szCs w:val="18"/>
          <w:lang w:val="en-US"/>
        </w:rPr>
        <w:t xml:space="preserve">1.49 are close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to that of </w:t>
      </w:r>
      <w:r w:rsidRPr="001E45AB">
        <w:rPr>
          <w:rFonts w:ascii="Times New Roman" w:hAnsi="Times New Roman" w:cs="Times New Roman"/>
          <w:i/>
          <w:iCs/>
          <w:sz w:val="18"/>
          <w:szCs w:val="18"/>
          <w:lang w:val="en-US"/>
        </w:rPr>
        <w:t>N</w:t>
      </w:r>
      <w:r w:rsidRPr="00844355"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 w:rsidRPr="00844355">
        <w:rPr>
          <w:rFonts w:ascii="Times New Roman" w:hAnsi="Times New Roman" w:cs="Times New Roman"/>
          <w:sz w:val="18"/>
          <w:szCs w:val="18"/>
          <w:lang w:val="en-US"/>
        </w:rPr>
        <w:t>methylacetamide</w:t>
      </w:r>
      <w:proofErr w:type="spellEnd"/>
      <w:r w:rsidRPr="00844355">
        <w:rPr>
          <w:rFonts w:ascii="Times New Roman" w:hAnsi="Times New Roman" w:cs="Times New Roman"/>
          <w:sz w:val="18"/>
          <w:szCs w:val="18"/>
          <w:lang w:val="en-US"/>
        </w:rPr>
        <w:t xml:space="preserve"> (1.48)</w:t>
      </w:r>
      <w:r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844355">
        <w:rPr>
          <w:rFonts w:ascii="Times New Roman" w:hAnsi="Times New Roman" w:cs="Times New Roman"/>
          <w:sz w:val="18"/>
          <w:szCs w:val="18"/>
          <w:lang w:val="en-US"/>
        </w:rPr>
        <w:t xml:space="preserve"> the presence of an ethylene glycol </w:t>
      </w:r>
      <w:r>
        <w:rPr>
          <w:rFonts w:ascii="Times New Roman" w:hAnsi="Times New Roman" w:cs="Times New Roman"/>
          <w:sz w:val="18"/>
          <w:szCs w:val="18"/>
          <w:lang w:val="en-US"/>
        </w:rPr>
        <w:t>unit</w:t>
      </w:r>
      <w:r w:rsidRPr="00844355">
        <w:rPr>
          <w:rFonts w:ascii="Times New Roman" w:hAnsi="Times New Roman" w:cs="Times New Roman"/>
          <w:sz w:val="18"/>
          <w:szCs w:val="18"/>
          <w:lang w:val="en-US"/>
        </w:rPr>
        <w:t xml:space="preserve"> in the polar group led to a polarity value of 1.62, which correlates well with the value characteristic of poly</w:t>
      </w:r>
      <w:r>
        <w:rPr>
          <w:rFonts w:ascii="Times New Roman" w:hAnsi="Times New Roman" w:cs="Times New Roman"/>
          <w:sz w:val="18"/>
          <w:szCs w:val="18"/>
          <w:lang w:val="en-US"/>
        </w:rPr>
        <w:t>(</w:t>
      </w:r>
      <w:r w:rsidRPr="00844355">
        <w:rPr>
          <w:rFonts w:ascii="Times New Roman" w:hAnsi="Times New Roman" w:cs="Times New Roman"/>
          <w:sz w:val="18"/>
          <w:szCs w:val="18"/>
          <w:lang w:val="en-US"/>
        </w:rPr>
        <w:t>ethylene glycol</w:t>
      </w:r>
      <w:r>
        <w:rPr>
          <w:rFonts w:ascii="Times New Roman" w:hAnsi="Times New Roman" w:cs="Times New Roman"/>
          <w:sz w:val="18"/>
          <w:szCs w:val="18"/>
          <w:lang w:val="en-US"/>
        </w:rPr>
        <w:t>)</w:t>
      </w:r>
      <w:r w:rsidRPr="00844355">
        <w:rPr>
          <w:rFonts w:ascii="Times New Roman" w:hAnsi="Times New Roman" w:cs="Times New Roman"/>
          <w:sz w:val="18"/>
          <w:szCs w:val="18"/>
          <w:lang w:val="en-US"/>
        </w:rPr>
        <w:t xml:space="preserve"> (1.64) [5].</w:t>
      </w:r>
    </w:p>
    <w:p w:rsidR="00F94740" w:rsidRDefault="00844355" w:rsidP="00A67D71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844355">
        <w:rPr>
          <w:rFonts w:ascii="Times New Roman" w:hAnsi="Times New Roman" w:cs="Times New Roman"/>
          <w:sz w:val="18"/>
          <w:szCs w:val="18"/>
          <w:lang w:val="en-US"/>
        </w:rPr>
        <w:t>pAUTA</w:t>
      </w:r>
      <w:proofErr w:type="spellEnd"/>
      <w:r w:rsidRPr="00844355">
        <w:rPr>
          <w:rFonts w:ascii="Times New Roman" w:hAnsi="Times New Roman" w:cs="Times New Roman"/>
          <w:sz w:val="18"/>
          <w:szCs w:val="18"/>
          <w:lang w:val="en-US"/>
        </w:rPr>
        <w:t>-Br</w:t>
      </w:r>
      <w:proofErr w:type="gramEnd"/>
      <w:r w:rsidRPr="00844355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844355">
        <w:rPr>
          <w:rFonts w:ascii="Times New Roman" w:hAnsi="Times New Roman" w:cs="Times New Roman"/>
          <w:sz w:val="18"/>
          <w:szCs w:val="18"/>
          <w:lang w:val="en-US"/>
        </w:rPr>
        <w:t>pAUMP</w:t>
      </w:r>
      <w:proofErr w:type="spellEnd"/>
      <w:r w:rsidRPr="00844355">
        <w:rPr>
          <w:rFonts w:ascii="Times New Roman" w:hAnsi="Times New Roman" w:cs="Times New Roman"/>
          <w:sz w:val="18"/>
          <w:szCs w:val="18"/>
          <w:lang w:val="en-US"/>
        </w:rPr>
        <w:t xml:space="preserve">-Br, </w:t>
      </w:r>
      <w:proofErr w:type="spellStart"/>
      <w:r w:rsidRPr="00844355">
        <w:rPr>
          <w:rFonts w:ascii="Times New Roman" w:hAnsi="Times New Roman" w:cs="Times New Roman"/>
          <w:sz w:val="18"/>
          <w:szCs w:val="18"/>
          <w:lang w:val="en-US"/>
        </w:rPr>
        <w:t>pAUTEA</w:t>
      </w:r>
      <w:proofErr w:type="spellEnd"/>
      <w:r w:rsidRPr="00844355">
        <w:rPr>
          <w:rFonts w:ascii="Times New Roman" w:hAnsi="Times New Roman" w:cs="Times New Roman"/>
          <w:sz w:val="18"/>
          <w:szCs w:val="18"/>
          <w:lang w:val="en-US"/>
        </w:rPr>
        <w:t>-Br</w:t>
      </w:r>
      <w:r w:rsidR="006469B9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844355">
        <w:rPr>
          <w:rFonts w:ascii="Times New Roman" w:hAnsi="Times New Roman" w:cs="Times New Roman"/>
          <w:sz w:val="18"/>
          <w:szCs w:val="18"/>
          <w:lang w:val="en-US"/>
        </w:rPr>
        <w:t xml:space="preserve"> and </w:t>
      </w:r>
      <w:proofErr w:type="spellStart"/>
      <w:r w:rsidRPr="00844355">
        <w:rPr>
          <w:rFonts w:ascii="Times New Roman" w:hAnsi="Times New Roman" w:cs="Times New Roman"/>
          <w:sz w:val="18"/>
          <w:szCs w:val="18"/>
          <w:lang w:val="en-US"/>
        </w:rPr>
        <w:t>pAUP-mPEG</w:t>
      </w:r>
      <w:proofErr w:type="spellEnd"/>
      <w:r w:rsidRPr="00844355">
        <w:rPr>
          <w:rFonts w:ascii="Times New Roman" w:hAnsi="Times New Roman" w:cs="Times New Roman"/>
          <w:sz w:val="18"/>
          <w:szCs w:val="18"/>
          <w:lang w:val="en-US"/>
        </w:rPr>
        <w:t xml:space="preserve"> with different lengths of the poly</w:t>
      </w:r>
      <w:r w:rsidR="00EB7BDB">
        <w:rPr>
          <w:rFonts w:ascii="Times New Roman" w:hAnsi="Times New Roman" w:cs="Times New Roman"/>
          <w:sz w:val="18"/>
          <w:szCs w:val="18"/>
          <w:lang w:val="en-US"/>
        </w:rPr>
        <w:t>(</w:t>
      </w:r>
      <w:r w:rsidRPr="00844355">
        <w:rPr>
          <w:rFonts w:ascii="Times New Roman" w:hAnsi="Times New Roman" w:cs="Times New Roman"/>
          <w:sz w:val="18"/>
          <w:szCs w:val="18"/>
          <w:lang w:val="en-US"/>
        </w:rPr>
        <w:t>ethylene glycol</w:t>
      </w:r>
      <w:r w:rsidR="00EB7BDB">
        <w:rPr>
          <w:rFonts w:ascii="Times New Roman" w:hAnsi="Times New Roman" w:cs="Times New Roman"/>
          <w:sz w:val="18"/>
          <w:szCs w:val="18"/>
          <w:lang w:val="en-US"/>
        </w:rPr>
        <w:t xml:space="preserve">) moiety </w:t>
      </w:r>
      <w:r w:rsidRPr="00844355">
        <w:rPr>
          <w:rFonts w:ascii="Times New Roman" w:hAnsi="Times New Roman" w:cs="Times New Roman"/>
          <w:sz w:val="18"/>
          <w:szCs w:val="18"/>
          <w:lang w:val="en-US"/>
        </w:rPr>
        <w:t>formed two groups with similar I</w:t>
      </w:r>
      <w:r w:rsidRPr="00EB7BD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</w:t>
      </w:r>
      <w:r w:rsidRPr="00844355">
        <w:rPr>
          <w:rFonts w:ascii="Times New Roman" w:hAnsi="Times New Roman" w:cs="Times New Roman"/>
          <w:sz w:val="18"/>
          <w:szCs w:val="18"/>
          <w:lang w:val="en-US"/>
        </w:rPr>
        <w:t>/I</w:t>
      </w:r>
      <w:r w:rsidRPr="00EB7BD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Pr="00844355">
        <w:rPr>
          <w:rFonts w:ascii="Times New Roman" w:hAnsi="Times New Roman" w:cs="Times New Roman"/>
          <w:sz w:val="18"/>
          <w:szCs w:val="18"/>
          <w:lang w:val="en-US"/>
        </w:rPr>
        <w:t xml:space="preserve"> values. On the one hand, the absence of significant differences in </w:t>
      </w:r>
      <w:r w:rsidR="00624A6F">
        <w:rPr>
          <w:rFonts w:ascii="Times New Roman" w:hAnsi="Times New Roman" w:cs="Times New Roman"/>
          <w:sz w:val="18"/>
          <w:szCs w:val="18"/>
          <w:lang w:val="en-US"/>
        </w:rPr>
        <w:t>the resulting parameters</w:t>
      </w:r>
      <w:r w:rsidRPr="00844355">
        <w:rPr>
          <w:rFonts w:ascii="Times New Roman" w:hAnsi="Times New Roman" w:cs="Times New Roman"/>
          <w:sz w:val="18"/>
          <w:szCs w:val="18"/>
          <w:lang w:val="en-US"/>
        </w:rPr>
        <w:t xml:space="preserve"> within each group may indicate the insensitivity of the method to small changes in the polarity of the functional group. On the other hand, </w:t>
      </w:r>
      <w:r w:rsidR="00F329D2">
        <w:rPr>
          <w:rFonts w:ascii="Times New Roman" w:hAnsi="Times New Roman" w:cs="Times New Roman"/>
          <w:sz w:val="18"/>
          <w:szCs w:val="18"/>
          <w:lang w:val="en-US"/>
        </w:rPr>
        <w:t>a</w:t>
      </w:r>
      <w:r w:rsidRPr="00844355">
        <w:rPr>
          <w:rFonts w:ascii="Times New Roman" w:hAnsi="Times New Roman" w:cs="Times New Roman"/>
          <w:sz w:val="18"/>
          <w:szCs w:val="18"/>
          <w:lang w:val="en-US"/>
        </w:rPr>
        <w:t xml:space="preserve"> significant difference in the values obtained for </w:t>
      </w:r>
      <w:proofErr w:type="spellStart"/>
      <w:r w:rsidRPr="00844355">
        <w:rPr>
          <w:rFonts w:ascii="Times New Roman" w:hAnsi="Times New Roman" w:cs="Times New Roman"/>
          <w:sz w:val="18"/>
          <w:szCs w:val="18"/>
          <w:lang w:val="en-US"/>
        </w:rPr>
        <w:t>pAUMP</w:t>
      </w:r>
      <w:proofErr w:type="spellEnd"/>
      <w:r w:rsidRPr="00844355">
        <w:rPr>
          <w:rFonts w:ascii="Times New Roman" w:hAnsi="Times New Roman" w:cs="Times New Roman"/>
          <w:sz w:val="18"/>
          <w:szCs w:val="18"/>
          <w:lang w:val="en-US"/>
        </w:rPr>
        <w:t xml:space="preserve">-Br and </w:t>
      </w:r>
      <w:proofErr w:type="spellStart"/>
      <w:r w:rsidRPr="00844355">
        <w:rPr>
          <w:rFonts w:ascii="Times New Roman" w:hAnsi="Times New Roman" w:cs="Times New Roman"/>
          <w:sz w:val="18"/>
          <w:szCs w:val="18"/>
          <w:lang w:val="en-US"/>
        </w:rPr>
        <w:t>pAUP-mPEG</w:t>
      </w:r>
      <w:proofErr w:type="spellEnd"/>
      <w:r w:rsidRPr="0084435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624A6F">
        <w:rPr>
          <w:rFonts w:ascii="Times New Roman" w:hAnsi="Times New Roman" w:cs="Times New Roman"/>
          <w:sz w:val="18"/>
          <w:szCs w:val="18"/>
          <w:lang w:val="en-US"/>
        </w:rPr>
        <w:t xml:space="preserve">series </w:t>
      </w:r>
      <w:r w:rsidRPr="00844355">
        <w:rPr>
          <w:rFonts w:ascii="Times New Roman" w:hAnsi="Times New Roman" w:cs="Times New Roman"/>
          <w:sz w:val="18"/>
          <w:szCs w:val="18"/>
          <w:lang w:val="en-US"/>
        </w:rPr>
        <w:t xml:space="preserve">may indicate different localization of </w:t>
      </w:r>
      <w:r w:rsidR="00F329D2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844355">
        <w:rPr>
          <w:rFonts w:ascii="Times New Roman" w:hAnsi="Times New Roman" w:cs="Times New Roman"/>
          <w:sz w:val="18"/>
          <w:szCs w:val="18"/>
          <w:lang w:val="en-US"/>
        </w:rPr>
        <w:t xml:space="preserve">pyrene molecules within </w:t>
      </w:r>
      <w:r w:rsidR="00F329D2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844355">
        <w:rPr>
          <w:rFonts w:ascii="Times New Roman" w:hAnsi="Times New Roman" w:cs="Times New Roman"/>
          <w:sz w:val="18"/>
          <w:szCs w:val="18"/>
          <w:lang w:val="en-US"/>
        </w:rPr>
        <w:t>polyelectrolyte micelles.</w:t>
      </w:r>
    </w:p>
    <w:p w:rsidR="00F376FB" w:rsidRDefault="00875175" w:rsidP="00B23601">
      <w:pPr>
        <w:spacing w:before="240" w:after="240"/>
        <w:rPr>
          <w:rFonts w:ascii="Arial" w:hAnsi="Arial" w:cs="Arial"/>
          <w:b/>
          <w:lang w:val="en-US"/>
        </w:rPr>
      </w:pPr>
      <w:r w:rsidRPr="00875175">
        <w:rPr>
          <w:rFonts w:ascii="Arial" w:hAnsi="Arial" w:cs="Arial"/>
          <w:b/>
          <w:lang w:val="en-US"/>
        </w:rPr>
        <w:t>Conclusions</w:t>
      </w:r>
    </w:p>
    <w:p w:rsidR="00F94740" w:rsidRPr="008376B3" w:rsidRDefault="008376B3" w:rsidP="00A231BA">
      <w:pPr>
        <w:spacing w:after="0"/>
        <w:ind w:firstLine="284"/>
        <w:jc w:val="both"/>
        <w:rPr>
          <w:rFonts w:ascii="Times New Roman" w:hAnsi="Times New Roman" w:cs="Times New Roman"/>
          <w:bCs/>
          <w:lang w:val="en-US"/>
        </w:rPr>
      </w:pPr>
      <w:r w:rsidRPr="008376B3">
        <w:rPr>
          <w:rFonts w:ascii="Times New Roman" w:hAnsi="Times New Roman" w:cs="Times New Roman"/>
          <w:sz w:val="18"/>
          <w:szCs w:val="18"/>
          <w:lang w:val="en-US"/>
        </w:rPr>
        <w:t>In th</w:t>
      </w:r>
      <w:r w:rsidR="00F329D2">
        <w:rPr>
          <w:rFonts w:ascii="Times New Roman" w:hAnsi="Times New Roman" w:cs="Times New Roman"/>
          <w:sz w:val="18"/>
          <w:szCs w:val="18"/>
          <w:lang w:val="en-US"/>
        </w:rPr>
        <w:t>is</w:t>
      </w:r>
      <w:r w:rsidRPr="008376B3">
        <w:rPr>
          <w:rFonts w:ascii="Times New Roman" w:hAnsi="Times New Roman" w:cs="Times New Roman"/>
          <w:sz w:val="18"/>
          <w:szCs w:val="18"/>
          <w:lang w:val="en-US"/>
        </w:rPr>
        <w:t xml:space="preserve"> work, </w:t>
      </w:r>
      <w:r w:rsidR="00F329D2">
        <w:rPr>
          <w:rFonts w:ascii="Times New Roman" w:hAnsi="Times New Roman" w:cs="Times New Roman"/>
          <w:sz w:val="18"/>
          <w:szCs w:val="18"/>
          <w:lang w:val="en-US"/>
        </w:rPr>
        <w:t>the</w:t>
      </w:r>
      <w:r w:rsidRPr="008376B3">
        <w:rPr>
          <w:rFonts w:ascii="Times New Roman" w:hAnsi="Times New Roman" w:cs="Times New Roman"/>
          <w:sz w:val="18"/>
          <w:szCs w:val="18"/>
          <w:lang w:val="en-US"/>
        </w:rPr>
        <w:t xml:space="preserve"> pyrene probe was used to assess the polarity of comb-</w:t>
      </w:r>
      <w:r w:rsidR="00F329D2">
        <w:rPr>
          <w:rFonts w:ascii="Times New Roman" w:hAnsi="Times New Roman" w:cs="Times New Roman"/>
          <w:sz w:val="18"/>
          <w:szCs w:val="18"/>
          <w:lang w:val="en-US"/>
        </w:rPr>
        <w:t xml:space="preserve">like </w:t>
      </w:r>
      <w:proofErr w:type="spellStart"/>
      <w:r w:rsidR="00F329D2">
        <w:rPr>
          <w:rFonts w:ascii="Times New Roman" w:hAnsi="Times New Roman" w:cs="Times New Roman"/>
          <w:sz w:val="18"/>
          <w:szCs w:val="18"/>
          <w:lang w:val="en-US"/>
        </w:rPr>
        <w:t>polyelectro</w:t>
      </w:r>
      <w:r w:rsidRPr="008376B3">
        <w:rPr>
          <w:rFonts w:ascii="Times New Roman" w:hAnsi="Times New Roman" w:cs="Times New Roman"/>
          <w:sz w:val="18"/>
          <w:szCs w:val="18"/>
          <w:lang w:val="en-US"/>
        </w:rPr>
        <w:t>lytes</w:t>
      </w:r>
      <w:proofErr w:type="spellEnd"/>
      <w:r w:rsidRPr="008376B3">
        <w:rPr>
          <w:rFonts w:ascii="Times New Roman" w:hAnsi="Times New Roman" w:cs="Times New Roman"/>
          <w:sz w:val="18"/>
          <w:szCs w:val="18"/>
          <w:lang w:val="en-US"/>
        </w:rPr>
        <w:t>. It was shown that this approach can be used to differentiate the polarity of these macromolecules</w:t>
      </w:r>
      <w:r w:rsidR="00C97E75">
        <w:rPr>
          <w:rFonts w:ascii="Times New Roman" w:hAnsi="Times New Roman" w:cs="Times New Roman"/>
          <w:sz w:val="18"/>
          <w:szCs w:val="18"/>
          <w:lang w:val="en-US"/>
        </w:rPr>
        <w:t>. Th</w:t>
      </w:r>
      <w:r w:rsidRPr="008376B3">
        <w:rPr>
          <w:rFonts w:ascii="Times New Roman" w:hAnsi="Times New Roman" w:cs="Times New Roman"/>
          <w:sz w:val="18"/>
          <w:szCs w:val="18"/>
          <w:lang w:val="en-US"/>
        </w:rPr>
        <w:t xml:space="preserve">e key </w:t>
      </w:r>
      <w:r w:rsidR="00624A6F">
        <w:rPr>
          <w:rFonts w:ascii="Times New Roman" w:hAnsi="Times New Roman" w:cs="Times New Roman"/>
          <w:sz w:val="18"/>
          <w:szCs w:val="18"/>
          <w:lang w:val="en-US"/>
        </w:rPr>
        <w:t>effect on</w:t>
      </w:r>
      <w:r w:rsidRPr="008376B3">
        <w:rPr>
          <w:rFonts w:ascii="Times New Roman" w:hAnsi="Times New Roman" w:cs="Times New Roman"/>
          <w:sz w:val="18"/>
          <w:szCs w:val="18"/>
          <w:lang w:val="en-US"/>
        </w:rPr>
        <w:t xml:space="preserve"> the polarity of the pyrene probe is </w:t>
      </w:r>
      <w:r w:rsidR="00624A6F">
        <w:rPr>
          <w:rFonts w:ascii="Times New Roman" w:hAnsi="Times New Roman" w:cs="Times New Roman"/>
          <w:sz w:val="18"/>
          <w:szCs w:val="18"/>
          <w:lang w:val="en-US"/>
        </w:rPr>
        <w:t>exerted</w:t>
      </w:r>
      <w:r w:rsidR="00C97E75">
        <w:rPr>
          <w:rFonts w:ascii="Times New Roman" w:hAnsi="Times New Roman" w:cs="Times New Roman"/>
          <w:sz w:val="18"/>
          <w:szCs w:val="18"/>
          <w:lang w:val="en-US"/>
        </w:rPr>
        <w:t xml:space="preserve"> by </w:t>
      </w:r>
      <w:r w:rsidRPr="008376B3">
        <w:rPr>
          <w:rFonts w:ascii="Times New Roman" w:hAnsi="Times New Roman" w:cs="Times New Roman"/>
          <w:sz w:val="18"/>
          <w:szCs w:val="18"/>
          <w:lang w:val="en-US"/>
        </w:rPr>
        <w:t>the type of ionic group</w:t>
      </w:r>
      <w:r w:rsidR="00C97E75">
        <w:rPr>
          <w:rFonts w:ascii="Times New Roman" w:hAnsi="Times New Roman" w:cs="Times New Roman"/>
          <w:sz w:val="18"/>
          <w:szCs w:val="18"/>
          <w:lang w:val="en-US"/>
        </w:rPr>
        <w:t>s</w:t>
      </w:r>
      <w:r w:rsidRPr="008376B3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C97E75">
        <w:rPr>
          <w:rFonts w:ascii="Times New Roman" w:hAnsi="Times New Roman" w:cs="Times New Roman"/>
          <w:sz w:val="18"/>
          <w:szCs w:val="18"/>
          <w:lang w:val="en-US"/>
        </w:rPr>
        <w:t>in</w:t>
      </w:r>
      <w:r w:rsidRPr="008376B3">
        <w:rPr>
          <w:rFonts w:ascii="Times New Roman" w:hAnsi="Times New Roman" w:cs="Times New Roman"/>
          <w:sz w:val="18"/>
          <w:szCs w:val="18"/>
          <w:lang w:val="en-US"/>
        </w:rPr>
        <w:t xml:space="preserve"> the polyelectrolyte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F94740" w:rsidRPr="00F94740" w:rsidRDefault="00A67D71" w:rsidP="00A67D71">
      <w:pPr>
        <w:pStyle w:val="Header1"/>
        <w:spacing w:before="0" w:after="240"/>
      </w:pPr>
      <w:r>
        <w:br w:type="column"/>
      </w:r>
      <w:r w:rsidR="00F94740" w:rsidRPr="00F94740">
        <w:lastRenderedPageBreak/>
        <w:t>Acknowledgements</w:t>
      </w:r>
    </w:p>
    <w:p w:rsidR="00C97E75" w:rsidRDefault="00397C2F" w:rsidP="00F94740">
      <w:pPr>
        <w:pStyle w:val="MainText"/>
        <w:ind w:firstLine="284"/>
      </w:pPr>
      <w:r w:rsidRPr="00397C2F">
        <w:t>Th</w:t>
      </w:r>
      <w:r w:rsidR="00C97E75">
        <w:t xml:space="preserve">is work </w:t>
      </w:r>
      <w:r w:rsidRPr="00397C2F">
        <w:t xml:space="preserve">was supported by </w:t>
      </w:r>
      <w:r w:rsidR="00C97E75">
        <w:t xml:space="preserve">the Russian Science Foundation (project no. </w:t>
      </w:r>
      <w:r w:rsidRPr="00397C2F">
        <w:t>24-73-00193</w:t>
      </w:r>
      <w:r w:rsidR="00C97E75">
        <w:t>).</w:t>
      </w:r>
    </w:p>
    <w:p w:rsidR="00F94740" w:rsidRPr="006070A2" w:rsidRDefault="00C97E75" w:rsidP="00F94740">
      <w:pPr>
        <w:pStyle w:val="MainText"/>
        <w:ind w:firstLine="284"/>
      </w:pPr>
      <w:r>
        <w:t xml:space="preserve">The authors are grateful </w:t>
      </w:r>
      <w:r w:rsidR="00397C2F" w:rsidRPr="00397C2F">
        <w:t xml:space="preserve">to the </w:t>
      </w:r>
      <w:r w:rsidR="00C172F8" w:rsidRPr="00397C2F">
        <w:t xml:space="preserve">Magnetic </w:t>
      </w:r>
      <w:r w:rsidR="00C172F8">
        <w:t>R</w:t>
      </w:r>
      <w:r w:rsidR="00C172F8" w:rsidRPr="00397C2F">
        <w:t xml:space="preserve">esonance </w:t>
      </w:r>
      <w:r w:rsidR="00C172F8">
        <w:t>Research Centre</w:t>
      </w:r>
      <w:r w:rsidR="00C172F8" w:rsidRPr="00397C2F">
        <w:t xml:space="preserve"> </w:t>
      </w:r>
      <w:r w:rsidR="00C172F8">
        <w:t xml:space="preserve">and </w:t>
      </w:r>
      <w:r w:rsidR="00812CCB" w:rsidRPr="00812CCB">
        <w:rPr>
          <w:highlight w:val="green"/>
        </w:rPr>
        <w:t>Chemical Analysis and Materials Research Centre</w:t>
      </w:r>
      <w:r w:rsidR="00812CCB">
        <w:t xml:space="preserve"> </w:t>
      </w:r>
      <w:r w:rsidR="00397C2F" w:rsidRPr="00397C2F">
        <w:t>of St. Petersburg State University</w:t>
      </w:r>
      <w:r w:rsidR="00812CCB">
        <w:t>.</w:t>
      </w:r>
    </w:p>
    <w:p w:rsidR="00F86864" w:rsidRPr="00F86864" w:rsidRDefault="00F86864" w:rsidP="00161894">
      <w:pPr>
        <w:pStyle w:val="Header1"/>
        <w:spacing w:before="240" w:after="240"/>
      </w:pPr>
      <w:r w:rsidRPr="00F86864">
        <w:t xml:space="preserve">Corresponding </w:t>
      </w:r>
      <w:r w:rsidR="005C7369">
        <w:t>a</w:t>
      </w:r>
      <w:r w:rsidRPr="00F86864">
        <w:t>uthor</w:t>
      </w:r>
    </w:p>
    <w:p w:rsidR="00F86864" w:rsidRPr="00DE62E1" w:rsidRDefault="00F86864" w:rsidP="00071D12">
      <w:pPr>
        <w:pStyle w:val="MainText"/>
        <w:ind w:firstLine="284"/>
      </w:pPr>
      <w:r w:rsidRPr="00F86864">
        <w:rPr>
          <w:rFonts w:ascii="AdvOT8608a8d1" w:hAnsi="AdvOT8608a8d1" w:cs="AdvOT8608a8d1"/>
        </w:rPr>
        <w:t xml:space="preserve">* </w:t>
      </w:r>
      <w:r w:rsidRPr="00F86864">
        <w:t xml:space="preserve">E-mail: </w:t>
      </w:r>
      <w:r w:rsidR="00DE62E1">
        <w:t>st076490@student.spbu.ru</w:t>
      </w:r>
      <w:r w:rsidR="00DE62E1" w:rsidRPr="00F86864">
        <w:t>.</w:t>
      </w:r>
      <w:r w:rsidR="00DE62E1">
        <w:t xml:space="preserve"> </w:t>
      </w:r>
      <w:r w:rsidR="00DE62E1" w:rsidRPr="00DE62E1">
        <w:rPr>
          <w:highlight w:val="green"/>
        </w:rPr>
        <w:t>Tel: +7(921)898-1092</w:t>
      </w:r>
      <w:r w:rsidR="00DE62E1">
        <w:t xml:space="preserve"> (A. A. </w:t>
      </w:r>
      <w:proofErr w:type="spellStart"/>
      <w:r w:rsidR="00DE62E1">
        <w:t>Solunina</w:t>
      </w:r>
      <w:proofErr w:type="spellEnd"/>
      <w:r w:rsidR="00DE62E1">
        <w:t>).</w:t>
      </w:r>
    </w:p>
    <w:p w:rsidR="00F94740" w:rsidRPr="00F94740" w:rsidRDefault="00F94740" w:rsidP="00161894">
      <w:pPr>
        <w:pStyle w:val="Header1"/>
        <w:spacing w:before="240" w:after="240"/>
      </w:pPr>
      <w:r w:rsidRPr="00F94740">
        <w:t>References</w:t>
      </w:r>
    </w:p>
    <w:p w:rsidR="00BB7A22" w:rsidRPr="00346286" w:rsidRDefault="00BB7A22" w:rsidP="00BB7A22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346286">
        <w:rPr>
          <w:sz w:val="16"/>
          <w:szCs w:val="16"/>
          <w:highlight w:val="green"/>
        </w:rPr>
        <w:t>1.</w:t>
      </w:r>
      <w:r>
        <w:rPr>
          <w:sz w:val="16"/>
          <w:szCs w:val="16"/>
        </w:rPr>
        <w:tab/>
      </w:r>
      <w:r w:rsidRPr="00346286">
        <w:rPr>
          <w:sz w:val="16"/>
          <w:szCs w:val="16"/>
        </w:rPr>
        <w:t xml:space="preserve">P. A. </w:t>
      </w:r>
      <w:proofErr w:type="spellStart"/>
      <w:r w:rsidRPr="00346286">
        <w:rPr>
          <w:sz w:val="16"/>
          <w:szCs w:val="16"/>
        </w:rPr>
        <w:t>Fetin</w:t>
      </w:r>
      <w:proofErr w:type="spellEnd"/>
      <w:r w:rsidRPr="00346286">
        <w:rPr>
          <w:sz w:val="16"/>
          <w:szCs w:val="16"/>
        </w:rPr>
        <w:t xml:space="preserve">, I. M. </w:t>
      </w:r>
      <w:proofErr w:type="spellStart"/>
      <w:r w:rsidRPr="00346286">
        <w:rPr>
          <w:sz w:val="16"/>
          <w:szCs w:val="16"/>
        </w:rPr>
        <w:t>Zorin</w:t>
      </w:r>
      <w:proofErr w:type="spellEnd"/>
      <w:r w:rsidRPr="00346286">
        <w:rPr>
          <w:sz w:val="16"/>
          <w:szCs w:val="16"/>
        </w:rPr>
        <w:t xml:space="preserve">, A. A. </w:t>
      </w:r>
      <w:proofErr w:type="spellStart"/>
      <w:r w:rsidRPr="00346286">
        <w:rPr>
          <w:sz w:val="16"/>
          <w:szCs w:val="16"/>
        </w:rPr>
        <w:t>Lezov</w:t>
      </w:r>
      <w:proofErr w:type="spellEnd"/>
      <w:r w:rsidRPr="00346286">
        <w:rPr>
          <w:sz w:val="16"/>
          <w:szCs w:val="16"/>
        </w:rPr>
        <w:t xml:space="preserve">, V. I. </w:t>
      </w:r>
      <w:proofErr w:type="spellStart"/>
      <w:r w:rsidRPr="00346286">
        <w:rPr>
          <w:sz w:val="16"/>
          <w:szCs w:val="16"/>
        </w:rPr>
        <w:t>Fetina</w:t>
      </w:r>
      <w:proofErr w:type="spellEnd"/>
      <w:r w:rsidRPr="00346286">
        <w:rPr>
          <w:sz w:val="16"/>
          <w:szCs w:val="16"/>
        </w:rPr>
        <w:t>, A. Y</w:t>
      </w:r>
      <w:r w:rsidR="00346286" w:rsidRPr="00346286">
        <w:rPr>
          <w:sz w:val="16"/>
          <w:szCs w:val="16"/>
        </w:rPr>
        <w:t>u</w:t>
      </w:r>
      <w:r w:rsidRPr="00346286">
        <w:rPr>
          <w:sz w:val="16"/>
          <w:szCs w:val="16"/>
        </w:rPr>
        <w:t xml:space="preserve">. </w:t>
      </w:r>
      <w:proofErr w:type="spellStart"/>
      <w:r w:rsidRPr="00346286">
        <w:rPr>
          <w:sz w:val="16"/>
          <w:szCs w:val="16"/>
        </w:rPr>
        <w:t>Bilibin</w:t>
      </w:r>
      <w:proofErr w:type="spellEnd"/>
      <w:r w:rsidRPr="00346286">
        <w:rPr>
          <w:sz w:val="16"/>
          <w:szCs w:val="16"/>
        </w:rPr>
        <w:t xml:space="preserve">, </w:t>
      </w:r>
      <w:r w:rsidRPr="00346286">
        <w:rPr>
          <w:i/>
          <w:sz w:val="16"/>
          <w:szCs w:val="16"/>
        </w:rPr>
        <w:t>J.</w:t>
      </w:r>
      <w:r w:rsidR="002675CB" w:rsidRPr="00346286">
        <w:rPr>
          <w:i/>
          <w:sz w:val="16"/>
          <w:szCs w:val="16"/>
        </w:rPr>
        <w:t xml:space="preserve"> </w:t>
      </w:r>
      <w:r w:rsidRPr="00346286">
        <w:rPr>
          <w:i/>
          <w:sz w:val="16"/>
          <w:szCs w:val="16"/>
        </w:rPr>
        <w:t>Mol. Liq</w:t>
      </w:r>
      <w:r w:rsidRPr="00346286">
        <w:rPr>
          <w:sz w:val="16"/>
          <w:szCs w:val="16"/>
        </w:rPr>
        <w:t>.,</w:t>
      </w:r>
      <w:r w:rsidR="002675CB" w:rsidRPr="00346286">
        <w:rPr>
          <w:sz w:val="16"/>
          <w:szCs w:val="16"/>
        </w:rPr>
        <w:t xml:space="preserve"> </w:t>
      </w:r>
      <w:r w:rsidRPr="00346286">
        <w:rPr>
          <w:b/>
          <w:sz w:val="16"/>
          <w:szCs w:val="16"/>
        </w:rPr>
        <w:t>2020</w:t>
      </w:r>
      <w:r w:rsidRPr="00346286">
        <w:rPr>
          <w:sz w:val="16"/>
          <w:szCs w:val="16"/>
        </w:rPr>
        <w:t>,</w:t>
      </w:r>
      <w:r w:rsidR="002675CB" w:rsidRPr="00346286">
        <w:rPr>
          <w:sz w:val="16"/>
          <w:szCs w:val="16"/>
        </w:rPr>
        <w:t xml:space="preserve"> </w:t>
      </w:r>
      <w:r w:rsidRPr="00346286">
        <w:rPr>
          <w:i/>
          <w:iCs/>
          <w:sz w:val="16"/>
          <w:szCs w:val="16"/>
        </w:rPr>
        <w:t>309</w:t>
      </w:r>
      <w:r w:rsidRPr="00346286">
        <w:rPr>
          <w:sz w:val="16"/>
          <w:szCs w:val="16"/>
        </w:rPr>
        <w:t>,</w:t>
      </w:r>
      <w:r w:rsidR="002675CB" w:rsidRPr="00346286">
        <w:rPr>
          <w:sz w:val="16"/>
          <w:szCs w:val="16"/>
        </w:rPr>
        <w:t xml:space="preserve"> </w:t>
      </w:r>
      <w:r w:rsidRPr="00346286">
        <w:rPr>
          <w:sz w:val="16"/>
          <w:szCs w:val="16"/>
          <w:highlight w:val="green"/>
        </w:rPr>
        <w:t>1</w:t>
      </w:r>
      <w:r w:rsidR="00346286" w:rsidRPr="00346286">
        <w:rPr>
          <w:sz w:val="16"/>
          <w:szCs w:val="16"/>
          <w:highlight w:val="green"/>
        </w:rPr>
        <w:t>1</w:t>
      </w:r>
      <w:r w:rsidRPr="00346286">
        <w:rPr>
          <w:sz w:val="16"/>
          <w:szCs w:val="16"/>
          <w:highlight w:val="green"/>
        </w:rPr>
        <w:t>3</w:t>
      </w:r>
      <w:r w:rsidR="00346286" w:rsidRPr="00346286">
        <w:rPr>
          <w:sz w:val="16"/>
          <w:szCs w:val="16"/>
          <w:highlight w:val="green"/>
        </w:rPr>
        <w:t>103</w:t>
      </w:r>
      <w:r w:rsidRPr="00346286">
        <w:rPr>
          <w:sz w:val="16"/>
          <w:szCs w:val="16"/>
        </w:rPr>
        <w:t>. DOI: 10.1016/j.molliq.2020.113103</w:t>
      </w:r>
    </w:p>
    <w:p w:rsidR="00BB7A22" w:rsidRPr="00D33A17" w:rsidRDefault="00377EDD" w:rsidP="00BB7A22">
      <w:pPr>
        <w:pStyle w:val="References"/>
        <w:spacing w:line="264" w:lineRule="auto"/>
        <w:ind w:left="454" w:hanging="454"/>
        <w:rPr>
          <w:sz w:val="16"/>
          <w:szCs w:val="16"/>
          <w:highlight w:val="yellow"/>
        </w:rPr>
      </w:pPr>
      <w:r w:rsidRPr="00D01A36">
        <w:rPr>
          <w:sz w:val="16"/>
          <w:szCs w:val="16"/>
        </w:rPr>
        <w:t>2.</w:t>
      </w:r>
      <w:r w:rsidRPr="00D01A36">
        <w:rPr>
          <w:sz w:val="16"/>
          <w:szCs w:val="16"/>
        </w:rPr>
        <w:tab/>
      </w:r>
      <w:r w:rsidR="00BB7A22" w:rsidRPr="00D01A36">
        <w:rPr>
          <w:sz w:val="16"/>
          <w:szCs w:val="16"/>
        </w:rPr>
        <w:t xml:space="preserve">P. A. </w:t>
      </w:r>
      <w:proofErr w:type="spellStart"/>
      <w:r w:rsidR="00BB7A22" w:rsidRPr="00D01A36">
        <w:rPr>
          <w:sz w:val="16"/>
          <w:szCs w:val="16"/>
        </w:rPr>
        <w:t>Fetin</w:t>
      </w:r>
      <w:proofErr w:type="spellEnd"/>
      <w:r w:rsidR="00BB7A22" w:rsidRPr="00D01A36">
        <w:rPr>
          <w:sz w:val="16"/>
          <w:szCs w:val="16"/>
        </w:rPr>
        <w:t xml:space="preserve">, V. I. </w:t>
      </w:r>
      <w:proofErr w:type="spellStart"/>
      <w:r w:rsidR="00BB7A22" w:rsidRPr="00D01A36">
        <w:rPr>
          <w:sz w:val="16"/>
          <w:szCs w:val="16"/>
        </w:rPr>
        <w:t>Fetina</w:t>
      </w:r>
      <w:proofErr w:type="spellEnd"/>
      <w:r w:rsidR="00BB7A22" w:rsidRPr="00D01A36">
        <w:rPr>
          <w:sz w:val="16"/>
          <w:szCs w:val="16"/>
        </w:rPr>
        <w:t xml:space="preserve">, M. V. </w:t>
      </w:r>
      <w:proofErr w:type="spellStart"/>
      <w:r w:rsidR="00BB7A22" w:rsidRPr="00D01A36">
        <w:rPr>
          <w:sz w:val="16"/>
          <w:szCs w:val="16"/>
        </w:rPr>
        <w:t>Kadnikov</w:t>
      </w:r>
      <w:proofErr w:type="spellEnd"/>
      <w:r w:rsidR="00BB7A22" w:rsidRPr="00D01A36">
        <w:rPr>
          <w:sz w:val="16"/>
          <w:szCs w:val="16"/>
        </w:rPr>
        <w:t xml:space="preserve">, A. A. </w:t>
      </w:r>
      <w:proofErr w:type="spellStart"/>
      <w:r w:rsidR="00BB7A22" w:rsidRPr="00D01A36">
        <w:rPr>
          <w:sz w:val="16"/>
          <w:szCs w:val="16"/>
        </w:rPr>
        <w:t>Lezov</w:t>
      </w:r>
      <w:proofErr w:type="spellEnd"/>
      <w:r w:rsidR="00BB7A22" w:rsidRPr="00D01A36">
        <w:rPr>
          <w:sz w:val="16"/>
          <w:szCs w:val="16"/>
        </w:rPr>
        <w:t>,</w:t>
      </w:r>
      <w:r w:rsidR="002675CB" w:rsidRPr="00D01A36">
        <w:rPr>
          <w:sz w:val="16"/>
          <w:szCs w:val="16"/>
        </w:rPr>
        <w:t xml:space="preserve"> </w:t>
      </w:r>
      <w:r w:rsidR="00BB7A22" w:rsidRPr="00D01A36">
        <w:rPr>
          <w:sz w:val="16"/>
          <w:szCs w:val="16"/>
        </w:rPr>
        <w:t xml:space="preserve">I. M. </w:t>
      </w:r>
      <w:proofErr w:type="spellStart"/>
      <w:r w:rsidR="00BB7A22" w:rsidRPr="00D01A36">
        <w:rPr>
          <w:sz w:val="16"/>
          <w:szCs w:val="16"/>
        </w:rPr>
        <w:t>Zorin</w:t>
      </w:r>
      <w:proofErr w:type="spellEnd"/>
      <w:r w:rsidR="00BB7A22" w:rsidRPr="00D01A36">
        <w:rPr>
          <w:sz w:val="16"/>
          <w:szCs w:val="16"/>
        </w:rPr>
        <w:t xml:space="preserve">, </w:t>
      </w:r>
      <w:proofErr w:type="spellStart"/>
      <w:r w:rsidR="00BB7A22" w:rsidRPr="00D01A36">
        <w:rPr>
          <w:i/>
          <w:sz w:val="16"/>
          <w:szCs w:val="16"/>
        </w:rPr>
        <w:t>Polym</w:t>
      </w:r>
      <w:proofErr w:type="spellEnd"/>
      <w:r w:rsidR="00BB7A22" w:rsidRPr="00D01A36">
        <w:rPr>
          <w:i/>
          <w:sz w:val="16"/>
          <w:szCs w:val="16"/>
        </w:rPr>
        <w:t>. Sci.</w:t>
      </w:r>
      <w:r w:rsidR="002675CB" w:rsidRPr="00D01A36">
        <w:rPr>
          <w:iCs/>
          <w:sz w:val="16"/>
          <w:szCs w:val="16"/>
        </w:rPr>
        <w:t xml:space="preserve">, </w:t>
      </w:r>
      <w:r w:rsidR="00BB7A22" w:rsidRPr="00D01A36">
        <w:rPr>
          <w:i/>
          <w:sz w:val="16"/>
          <w:szCs w:val="16"/>
        </w:rPr>
        <w:t>Ser. C</w:t>
      </w:r>
      <w:r w:rsidR="00BB7A22" w:rsidRPr="00D01A36">
        <w:rPr>
          <w:sz w:val="16"/>
          <w:szCs w:val="16"/>
        </w:rPr>
        <w:t xml:space="preserve">, </w:t>
      </w:r>
      <w:r w:rsidR="00BB7A22" w:rsidRPr="00D01A36">
        <w:rPr>
          <w:b/>
          <w:sz w:val="16"/>
          <w:szCs w:val="16"/>
        </w:rPr>
        <w:t>2022</w:t>
      </w:r>
      <w:r w:rsidR="00BB7A22" w:rsidRPr="00D01A36">
        <w:rPr>
          <w:sz w:val="16"/>
          <w:szCs w:val="16"/>
        </w:rPr>
        <w:t>,</w:t>
      </w:r>
      <w:r w:rsidR="002675CB" w:rsidRPr="00D01A36">
        <w:rPr>
          <w:sz w:val="16"/>
          <w:szCs w:val="16"/>
        </w:rPr>
        <w:t xml:space="preserve"> </w:t>
      </w:r>
      <w:r w:rsidR="00BB7A22" w:rsidRPr="00D01A36">
        <w:rPr>
          <w:i/>
          <w:iCs/>
          <w:sz w:val="16"/>
          <w:szCs w:val="16"/>
        </w:rPr>
        <w:t>64</w:t>
      </w:r>
      <w:r w:rsidR="00BB7A22" w:rsidRPr="00D01A36">
        <w:rPr>
          <w:sz w:val="16"/>
          <w:szCs w:val="16"/>
        </w:rPr>
        <w:t>,</w:t>
      </w:r>
      <w:r w:rsidR="002675CB" w:rsidRPr="00D01A36">
        <w:rPr>
          <w:sz w:val="16"/>
          <w:szCs w:val="16"/>
        </w:rPr>
        <w:t xml:space="preserve"> </w:t>
      </w:r>
      <w:r w:rsidR="00BB7A22" w:rsidRPr="00D01A36">
        <w:rPr>
          <w:sz w:val="16"/>
          <w:szCs w:val="16"/>
        </w:rPr>
        <w:t>144</w:t>
      </w:r>
      <w:r w:rsidR="002675CB" w:rsidRPr="00D01A36">
        <w:rPr>
          <w:sz w:val="16"/>
          <w:szCs w:val="16"/>
        </w:rPr>
        <w:t>–</w:t>
      </w:r>
      <w:r w:rsidR="00BB7A22" w:rsidRPr="00D01A36">
        <w:rPr>
          <w:sz w:val="16"/>
          <w:szCs w:val="16"/>
        </w:rPr>
        <w:t>153. DOI: 10.1134/S1811238222700163</w:t>
      </w:r>
    </w:p>
    <w:p w:rsidR="00BB7A22" w:rsidRPr="00D01A36" w:rsidRDefault="00377EDD" w:rsidP="00BB7A22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D01A36">
        <w:rPr>
          <w:sz w:val="16"/>
          <w:szCs w:val="16"/>
          <w:highlight w:val="green"/>
        </w:rPr>
        <w:t>3.</w:t>
      </w:r>
      <w:r w:rsidRPr="00D01A36">
        <w:rPr>
          <w:sz w:val="16"/>
          <w:szCs w:val="16"/>
        </w:rPr>
        <w:tab/>
      </w:r>
      <w:r w:rsidR="00BB7A22" w:rsidRPr="00D01A36">
        <w:rPr>
          <w:sz w:val="16"/>
          <w:szCs w:val="16"/>
        </w:rPr>
        <w:t>P.</w:t>
      </w:r>
      <w:r w:rsidR="002675CB" w:rsidRPr="00D01A36">
        <w:rPr>
          <w:sz w:val="16"/>
          <w:szCs w:val="16"/>
        </w:rPr>
        <w:t xml:space="preserve"> </w:t>
      </w:r>
      <w:r w:rsidR="00BB7A22" w:rsidRPr="00D01A36">
        <w:rPr>
          <w:sz w:val="16"/>
          <w:szCs w:val="16"/>
        </w:rPr>
        <w:t>A.</w:t>
      </w:r>
      <w:r w:rsidR="008F1BDA" w:rsidRPr="00D01A36">
        <w:rPr>
          <w:sz w:val="16"/>
          <w:szCs w:val="16"/>
        </w:rPr>
        <w:t xml:space="preserve"> </w:t>
      </w:r>
      <w:proofErr w:type="spellStart"/>
      <w:r w:rsidR="00BB7A22" w:rsidRPr="00D01A36">
        <w:rPr>
          <w:sz w:val="16"/>
          <w:szCs w:val="16"/>
        </w:rPr>
        <w:t>Fetin</w:t>
      </w:r>
      <w:proofErr w:type="spellEnd"/>
      <w:r w:rsidR="00BB7A22" w:rsidRPr="00D01A36">
        <w:rPr>
          <w:sz w:val="16"/>
          <w:szCs w:val="16"/>
        </w:rPr>
        <w:t xml:space="preserve">, </w:t>
      </w:r>
      <w:r w:rsidR="00D01A36" w:rsidRPr="00D01A36">
        <w:rPr>
          <w:sz w:val="16"/>
          <w:szCs w:val="16"/>
          <w:highlight w:val="green"/>
        </w:rPr>
        <w:t xml:space="preserve">V. I. </w:t>
      </w:r>
      <w:proofErr w:type="spellStart"/>
      <w:r w:rsidR="00D01A36" w:rsidRPr="00D01A36">
        <w:rPr>
          <w:sz w:val="16"/>
          <w:szCs w:val="16"/>
          <w:highlight w:val="green"/>
        </w:rPr>
        <w:t>Fetina</w:t>
      </w:r>
      <w:proofErr w:type="spellEnd"/>
      <w:r w:rsidR="00D01A36" w:rsidRPr="00D01A36">
        <w:rPr>
          <w:sz w:val="16"/>
          <w:szCs w:val="16"/>
          <w:highlight w:val="green"/>
        </w:rPr>
        <w:t xml:space="preserve">, M. V. </w:t>
      </w:r>
      <w:proofErr w:type="spellStart"/>
      <w:r w:rsidR="00D01A36" w:rsidRPr="00D01A36">
        <w:rPr>
          <w:sz w:val="16"/>
          <w:szCs w:val="16"/>
          <w:highlight w:val="green"/>
        </w:rPr>
        <w:t>Kadnikov</w:t>
      </w:r>
      <w:proofErr w:type="spellEnd"/>
      <w:r w:rsidR="00D01A36" w:rsidRPr="00D01A36">
        <w:rPr>
          <w:sz w:val="16"/>
          <w:szCs w:val="16"/>
          <w:highlight w:val="green"/>
        </w:rPr>
        <w:t xml:space="preserve">, V. V. </w:t>
      </w:r>
      <w:proofErr w:type="spellStart"/>
      <w:r w:rsidR="00D01A36" w:rsidRPr="00D01A36">
        <w:rPr>
          <w:sz w:val="16"/>
          <w:szCs w:val="16"/>
          <w:highlight w:val="green"/>
        </w:rPr>
        <w:t>Orlova</w:t>
      </w:r>
      <w:proofErr w:type="spellEnd"/>
      <w:r w:rsidR="00D01A36" w:rsidRPr="00D01A36">
        <w:rPr>
          <w:sz w:val="16"/>
          <w:szCs w:val="16"/>
          <w:highlight w:val="green"/>
        </w:rPr>
        <w:t xml:space="preserve">, E. I. </w:t>
      </w:r>
      <w:proofErr w:type="spellStart"/>
      <w:r w:rsidR="00D01A36" w:rsidRPr="00D01A36">
        <w:rPr>
          <w:sz w:val="16"/>
          <w:szCs w:val="16"/>
          <w:highlight w:val="green"/>
        </w:rPr>
        <w:t>Ermolenko</w:t>
      </w:r>
      <w:proofErr w:type="spellEnd"/>
      <w:r w:rsidR="00D01A36" w:rsidRPr="00D01A36">
        <w:rPr>
          <w:sz w:val="16"/>
          <w:szCs w:val="16"/>
          <w:highlight w:val="green"/>
        </w:rPr>
        <w:t xml:space="preserve">, A. A. </w:t>
      </w:r>
      <w:proofErr w:type="spellStart"/>
      <w:r w:rsidR="00D01A36" w:rsidRPr="00D01A36">
        <w:rPr>
          <w:sz w:val="16"/>
          <w:szCs w:val="16"/>
          <w:highlight w:val="green"/>
        </w:rPr>
        <w:t>Lezov</w:t>
      </w:r>
      <w:proofErr w:type="spellEnd"/>
      <w:r w:rsidR="00D01A36" w:rsidRPr="00D01A36">
        <w:rPr>
          <w:sz w:val="16"/>
          <w:szCs w:val="16"/>
          <w:highlight w:val="green"/>
        </w:rPr>
        <w:t xml:space="preserve">, I. M. </w:t>
      </w:r>
      <w:proofErr w:type="spellStart"/>
      <w:r w:rsidR="00D01A36" w:rsidRPr="00D01A36">
        <w:rPr>
          <w:sz w:val="16"/>
          <w:szCs w:val="16"/>
          <w:highlight w:val="green"/>
        </w:rPr>
        <w:t>Zorin</w:t>
      </w:r>
      <w:proofErr w:type="spellEnd"/>
      <w:r w:rsidR="00D01A36" w:rsidRPr="00D01A36">
        <w:rPr>
          <w:sz w:val="16"/>
          <w:szCs w:val="16"/>
          <w:highlight w:val="green"/>
        </w:rPr>
        <w:t xml:space="preserve">, </w:t>
      </w:r>
      <w:r w:rsidR="00BB7A22" w:rsidRPr="00D01A36">
        <w:rPr>
          <w:i/>
          <w:sz w:val="16"/>
          <w:szCs w:val="16"/>
          <w:highlight w:val="green"/>
        </w:rPr>
        <w:t>Col</w:t>
      </w:r>
      <w:r w:rsidR="00D01A36" w:rsidRPr="00D01A36">
        <w:rPr>
          <w:i/>
          <w:sz w:val="16"/>
          <w:szCs w:val="16"/>
          <w:highlight w:val="green"/>
        </w:rPr>
        <w:t xml:space="preserve">loids </w:t>
      </w:r>
      <w:r w:rsidR="00BB7A22" w:rsidRPr="00D01A36">
        <w:rPr>
          <w:i/>
          <w:sz w:val="16"/>
          <w:szCs w:val="16"/>
          <w:highlight w:val="green"/>
        </w:rPr>
        <w:t>Surf.</w:t>
      </w:r>
      <w:r w:rsidR="00D01A36" w:rsidRPr="00D01A36">
        <w:rPr>
          <w:iCs/>
          <w:sz w:val="16"/>
          <w:szCs w:val="16"/>
          <w:highlight w:val="green"/>
        </w:rPr>
        <w:t>,</w:t>
      </w:r>
      <w:r w:rsidR="00BB7A22" w:rsidRPr="00D01A36">
        <w:rPr>
          <w:i/>
          <w:sz w:val="16"/>
          <w:szCs w:val="16"/>
          <w:highlight w:val="green"/>
        </w:rPr>
        <w:t xml:space="preserve"> A</w:t>
      </w:r>
      <w:r w:rsidR="00BB7A22" w:rsidRPr="00D01A36">
        <w:rPr>
          <w:iCs/>
          <w:sz w:val="16"/>
          <w:szCs w:val="16"/>
          <w:highlight w:val="green"/>
        </w:rPr>
        <w:t>,</w:t>
      </w:r>
      <w:r w:rsidR="00BB7A22" w:rsidRPr="00D01A36">
        <w:rPr>
          <w:iCs/>
          <w:sz w:val="16"/>
          <w:szCs w:val="16"/>
        </w:rPr>
        <w:t xml:space="preserve"> </w:t>
      </w:r>
      <w:r w:rsidR="00BB7A22" w:rsidRPr="00D01A36">
        <w:rPr>
          <w:b/>
          <w:sz w:val="16"/>
          <w:szCs w:val="16"/>
        </w:rPr>
        <w:t>2024</w:t>
      </w:r>
      <w:r w:rsidR="00BB7A22" w:rsidRPr="00D01A36">
        <w:rPr>
          <w:sz w:val="16"/>
          <w:szCs w:val="16"/>
        </w:rPr>
        <w:t>,</w:t>
      </w:r>
      <w:r w:rsidR="002675CB" w:rsidRPr="00D01A36">
        <w:rPr>
          <w:sz w:val="16"/>
          <w:szCs w:val="16"/>
        </w:rPr>
        <w:t xml:space="preserve"> </w:t>
      </w:r>
      <w:r w:rsidR="00BB7A22" w:rsidRPr="00D01A36">
        <w:rPr>
          <w:i/>
          <w:iCs/>
          <w:sz w:val="16"/>
          <w:szCs w:val="16"/>
        </w:rPr>
        <w:t>690</w:t>
      </w:r>
      <w:r w:rsidR="00D01A36">
        <w:rPr>
          <w:sz w:val="16"/>
          <w:szCs w:val="16"/>
        </w:rPr>
        <w:t xml:space="preserve">, </w:t>
      </w:r>
      <w:r w:rsidR="00D01A36" w:rsidRPr="00D01A36">
        <w:rPr>
          <w:sz w:val="16"/>
          <w:szCs w:val="16"/>
          <w:highlight w:val="green"/>
        </w:rPr>
        <w:t>133696</w:t>
      </w:r>
      <w:r w:rsidR="00BB7A22" w:rsidRPr="00D01A36">
        <w:rPr>
          <w:sz w:val="16"/>
          <w:szCs w:val="16"/>
        </w:rPr>
        <w:t>. DOI: 10.1016/j.colsurfa.2024.133696</w:t>
      </w:r>
    </w:p>
    <w:p w:rsidR="00BB7A22" w:rsidRPr="00653497" w:rsidRDefault="00377EDD" w:rsidP="00BB7A22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653497">
        <w:rPr>
          <w:sz w:val="16"/>
          <w:szCs w:val="16"/>
        </w:rPr>
        <w:t>4.</w:t>
      </w:r>
      <w:r w:rsidRPr="00653497">
        <w:rPr>
          <w:sz w:val="16"/>
          <w:szCs w:val="16"/>
        </w:rPr>
        <w:tab/>
      </w:r>
      <w:r w:rsidR="00BB7A22" w:rsidRPr="00653497">
        <w:rPr>
          <w:sz w:val="16"/>
          <w:szCs w:val="16"/>
        </w:rPr>
        <w:t>I.</w:t>
      </w:r>
      <w:r w:rsidR="002675CB" w:rsidRPr="00653497">
        <w:rPr>
          <w:sz w:val="16"/>
          <w:szCs w:val="16"/>
        </w:rPr>
        <w:t xml:space="preserve"> </w:t>
      </w:r>
      <w:r w:rsidR="00BB7A22" w:rsidRPr="00653497">
        <w:rPr>
          <w:sz w:val="16"/>
          <w:szCs w:val="16"/>
        </w:rPr>
        <w:t xml:space="preserve">M. </w:t>
      </w:r>
      <w:proofErr w:type="spellStart"/>
      <w:r w:rsidR="00BB7A22" w:rsidRPr="00653497">
        <w:rPr>
          <w:sz w:val="16"/>
          <w:szCs w:val="16"/>
        </w:rPr>
        <w:t>Zorin</w:t>
      </w:r>
      <w:proofErr w:type="spellEnd"/>
      <w:r w:rsidR="00BB7A22" w:rsidRPr="00653497">
        <w:rPr>
          <w:sz w:val="16"/>
          <w:szCs w:val="16"/>
        </w:rPr>
        <w:t>, M.</w:t>
      </w:r>
      <w:r w:rsidR="002675CB" w:rsidRPr="00653497">
        <w:rPr>
          <w:sz w:val="16"/>
          <w:szCs w:val="16"/>
        </w:rPr>
        <w:t xml:space="preserve"> </w:t>
      </w:r>
      <w:r w:rsidR="00BB7A22" w:rsidRPr="00653497">
        <w:rPr>
          <w:sz w:val="16"/>
          <w:szCs w:val="16"/>
        </w:rPr>
        <w:t xml:space="preserve">V. </w:t>
      </w:r>
      <w:proofErr w:type="spellStart"/>
      <w:r w:rsidR="00BB7A22" w:rsidRPr="00653497">
        <w:rPr>
          <w:sz w:val="16"/>
          <w:szCs w:val="16"/>
        </w:rPr>
        <w:t>Kadnikov</w:t>
      </w:r>
      <w:proofErr w:type="spellEnd"/>
      <w:r w:rsidR="00BB7A22" w:rsidRPr="00653497">
        <w:rPr>
          <w:sz w:val="16"/>
          <w:szCs w:val="16"/>
        </w:rPr>
        <w:t>, P.</w:t>
      </w:r>
      <w:r w:rsidR="002675CB" w:rsidRPr="00653497">
        <w:rPr>
          <w:sz w:val="16"/>
          <w:szCs w:val="16"/>
        </w:rPr>
        <w:t xml:space="preserve"> </w:t>
      </w:r>
      <w:r w:rsidR="00BB7A22" w:rsidRPr="00653497">
        <w:rPr>
          <w:sz w:val="16"/>
          <w:szCs w:val="16"/>
        </w:rPr>
        <w:t xml:space="preserve">A. </w:t>
      </w:r>
      <w:proofErr w:type="spellStart"/>
      <w:r w:rsidR="00BB7A22" w:rsidRPr="00653497">
        <w:rPr>
          <w:sz w:val="16"/>
          <w:szCs w:val="16"/>
        </w:rPr>
        <w:t>Fetin</w:t>
      </w:r>
      <w:proofErr w:type="spellEnd"/>
      <w:r w:rsidR="002675CB" w:rsidRPr="00653497">
        <w:rPr>
          <w:sz w:val="16"/>
          <w:szCs w:val="16"/>
        </w:rPr>
        <w:t>,</w:t>
      </w:r>
      <w:r w:rsidR="00BB7A22" w:rsidRPr="00653497">
        <w:rPr>
          <w:sz w:val="16"/>
          <w:szCs w:val="16"/>
        </w:rPr>
        <w:t xml:space="preserve"> </w:t>
      </w:r>
      <w:r w:rsidR="00BB7A22" w:rsidRPr="00653497">
        <w:rPr>
          <w:i/>
          <w:iCs/>
          <w:sz w:val="16"/>
          <w:szCs w:val="16"/>
        </w:rPr>
        <w:t>Russ</w:t>
      </w:r>
      <w:r w:rsidR="002675CB" w:rsidRPr="00653497">
        <w:rPr>
          <w:i/>
          <w:iCs/>
          <w:sz w:val="16"/>
          <w:szCs w:val="16"/>
        </w:rPr>
        <w:t xml:space="preserve">. </w:t>
      </w:r>
      <w:r w:rsidR="00BB7A22" w:rsidRPr="00653497">
        <w:rPr>
          <w:i/>
          <w:iCs/>
          <w:sz w:val="16"/>
          <w:szCs w:val="16"/>
        </w:rPr>
        <w:t>J</w:t>
      </w:r>
      <w:r w:rsidR="002675CB" w:rsidRPr="00653497">
        <w:rPr>
          <w:i/>
          <w:iCs/>
          <w:sz w:val="16"/>
          <w:szCs w:val="16"/>
        </w:rPr>
        <w:t>.</w:t>
      </w:r>
      <w:r w:rsidR="00BB7A22" w:rsidRPr="00653497">
        <w:rPr>
          <w:i/>
          <w:iCs/>
          <w:sz w:val="16"/>
          <w:szCs w:val="16"/>
        </w:rPr>
        <w:t xml:space="preserve"> Gen</w:t>
      </w:r>
      <w:r w:rsidR="002675CB" w:rsidRPr="00653497">
        <w:rPr>
          <w:i/>
          <w:iCs/>
          <w:sz w:val="16"/>
          <w:szCs w:val="16"/>
        </w:rPr>
        <w:t xml:space="preserve">. </w:t>
      </w:r>
      <w:r w:rsidR="00BB7A22" w:rsidRPr="00653497">
        <w:rPr>
          <w:i/>
          <w:iCs/>
          <w:sz w:val="16"/>
          <w:szCs w:val="16"/>
        </w:rPr>
        <w:t>Chem</w:t>
      </w:r>
      <w:r w:rsidR="002675CB" w:rsidRPr="00653497">
        <w:rPr>
          <w:i/>
          <w:iCs/>
          <w:sz w:val="16"/>
          <w:szCs w:val="16"/>
        </w:rPr>
        <w:t>.</w:t>
      </w:r>
      <w:r w:rsidR="00BB7A22" w:rsidRPr="00653497">
        <w:rPr>
          <w:sz w:val="16"/>
          <w:szCs w:val="16"/>
        </w:rPr>
        <w:t>,</w:t>
      </w:r>
      <w:r w:rsidR="00BB7A22" w:rsidRPr="00653497">
        <w:rPr>
          <w:i/>
          <w:iCs/>
          <w:sz w:val="16"/>
          <w:szCs w:val="16"/>
        </w:rPr>
        <w:t xml:space="preserve"> </w:t>
      </w:r>
      <w:r w:rsidR="00BB7A22" w:rsidRPr="00653497">
        <w:rPr>
          <w:b/>
          <w:iCs/>
          <w:sz w:val="16"/>
          <w:szCs w:val="16"/>
        </w:rPr>
        <w:t>2024</w:t>
      </w:r>
      <w:r w:rsidR="00BB7A22" w:rsidRPr="00653497">
        <w:rPr>
          <w:sz w:val="16"/>
          <w:szCs w:val="16"/>
        </w:rPr>
        <w:t xml:space="preserve">, </w:t>
      </w:r>
      <w:r w:rsidR="00BB7A22" w:rsidRPr="00653497">
        <w:rPr>
          <w:i/>
          <w:iCs/>
          <w:sz w:val="16"/>
          <w:szCs w:val="16"/>
        </w:rPr>
        <w:t>94</w:t>
      </w:r>
      <w:r w:rsidR="00BB7A22" w:rsidRPr="00653497">
        <w:rPr>
          <w:sz w:val="16"/>
          <w:szCs w:val="16"/>
        </w:rPr>
        <w:t>, S148</w:t>
      </w:r>
      <w:r w:rsidR="002675CB" w:rsidRPr="00653497">
        <w:rPr>
          <w:sz w:val="16"/>
          <w:szCs w:val="16"/>
        </w:rPr>
        <w:t>–</w:t>
      </w:r>
      <w:r w:rsidR="00BB7A22" w:rsidRPr="00653497">
        <w:rPr>
          <w:sz w:val="16"/>
          <w:szCs w:val="16"/>
        </w:rPr>
        <w:t>S156</w:t>
      </w:r>
      <w:r w:rsidR="00BB7A22" w:rsidRPr="00653497">
        <w:rPr>
          <w:i/>
          <w:iCs/>
          <w:sz w:val="16"/>
          <w:szCs w:val="16"/>
        </w:rPr>
        <w:t xml:space="preserve">. </w:t>
      </w:r>
      <w:r w:rsidR="00BB7A22" w:rsidRPr="00653497">
        <w:rPr>
          <w:sz w:val="16"/>
          <w:szCs w:val="16"/>
        </w:rPr>
        <w:t>DOI: 10.1134/S1070363224140159</w:t>
      </w:r>
    </w:p>
    <w:p w:rsidR="00BB7A22" w:rsidRPr="001A1BE4" w:rsidRDefault="00377EDD" w:rsidP="00BB7A22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1A1BE4">
        <w:rPr>
          <w:sz w:val="16"/>
          <w:szCs w:val="16"/>
        </w:rPr>
        <w:t>5.</w:t>
      </w:r>
      <w:r w:rsidRPr="001A1BE4">
        <w:rPr>
          <w:sz w:val="16"/>
          <w:szCs w:val="16"/>
        </w:rPr>
        <w:tab/>
      </w:r>
      <w:r w:rsidR="00BB7A22" w:rsidRPr="001A1BE4">
        <w:rPr>
          <w:sz w:val="16"/>
          <w:szCs w:val="16"/>
        </w:rPr>
        <w:t>D. C. Dong</w:t>
      </w:r>
      <w:r w:rsidR="00691410" w:rsidRPr="001A1BE4">
        <w:rPr>
          <w:sz w:val="16"/>
          <w:szCs w:val="16"/>
        </w:rPr>
        <w:t xml:space="preserve">, </w:t>
      </w:r>
      <w:r w:rsidR="00BB7A22" w:rsidRPr="001A1BE4">
        <w:rPr>
          <w:sz w:val="16"/>
          <w:szCs w:val="16"/>
        </w:rPr>
        <w:t xml:space="preserve">M. A. Winnik, </w:t>
      </w:r>
      <w:r w:rsidR="00BB7A22" w:rsidRPr="001A1BE4">
        <w:rPr>
          <w:i/>
          <w:sz w:val="16"/>
          <w:szCs w:val="16"/>
        </w:rPr>
        <w:t>Can. J. Chem.</w:t>
      </w:r>
      <w:r w:rsidR="00BB7A22" w:rsidRPr="001A1BE4">
        <w:rPr>
          <w:sz w:val="16"/>
          <w:szCs w:val="16"/>
        </w:rPr>
        <w:t xml:space="preserve">, </w:t>
      </w:r>
      <w:r w:rsidR="00BB7A22" w:rsidRPr="001A1BE4">
        <w:rPr>
          <w:b/>
          <w:sz w:val="16"/>
          <w:szCs w:val="16"/>
        </w:rPr>
        <w:t>1984</w:t>
      </w:r>
      <w:r w:rsidR="00BB7A22" w:rsidRPr="001A1BE4">
        <w:rPr>
          <w:sz w:val="16"/>
          <w:szCs w:val="16"/>
        </w:rPr>
        <w:t>,</w:t>
      </w:r>
      <w:r w:rsidR="00691410" w:rsidRPr="001A1BE4">
        <w:rPr>
          <w:sz w:val="16"/>
          <w:szCs w:val="16"/>
        </w:rPr>
        <w:t xml:space="preserve"> </w:t>
      </w:r>
      <w:r w:rsidR="00BB7A22" w:rsidRPr="001A1BE4">
        <w:rPr>
          <w:i/>
          <w:iCs/>
          <w:sz w:val="16"/>
          <w:szCs w:val="16"/>
        </w:rPr>
        <w:t>62</w:t>
      </w:r>
      <w:r w:rsidR="00BB7A22" w:rsidRPr="001A1BE4">
        <w:rPr>
          <w:sz w:val="16"/>
          <w:szCs w:val="16"/>
        </w:rPr>
        <w:t>,</w:t>
      </w:r>
      <w:r w:rsidR="00691410" w:rsidRPr="001A1BE4">
        <w:rPr>
          <w:sz w:val="16"/>
          <w:szCs w:val="16"/>
        </w:rPr>
        <w:t xml:space="preserve"> </w:t>
      </w:r>
      <w:r w:rsidR="00BB7A22" w:rsidRPr="001A1BE4">
        <w:rPr>
          <w:sz w:val="16"/>
          <w:szCs w:val="16"/>
        </w:rPr>
        <w:t>2560</w:t>
      </w:r>
      <w:r w:rsidR="00691410" w:rsidRPr="001A1BE4">
        <w:rPr>
          <w:sz w:val="16"/>
          <w:szCs w:val="16"/>
        </w:rPr>
        <w:t>–</w:t>
      </w:r>
      <w:r w:rsidR="00BB7A22" w:rsidRPr="001A1BE4">
        <w:rPr>
          <w:sz w:val="16"/>
          <w:szCs w:val="16"/>
        </w:rPr>
        <w:t>2565. DOI: 10.1139/v84-437</w:t>
      </w:r>
    </w:p>
    <w:p w:rsidR="00BB7A22" w:rsidRPr="00602C9E" w:rsidRDefault="00377EDD" w:rsidP="00BB7A22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602C9E">
        <w:rPr>
          <w:sz w:val="16"/>
          <w:szCs w:val="16"/>
        </w:rPr>
        <w:t>6.</w:t>
      </w:r>
      <w:r w:rsidRPr="00602C9E">
        <w:rPr>
          <w:sz w:val="16"/>
          <w:szCs w:val="16"/>
        </w:rPr>
        <w:tab/>
      </w:r>
      <w:r w:rsidR="00BB7A22" w:rsidRPr="00602C9E">
        <w:rPr>
          <w:sz w:val="16"/>
          <w:szCs w:val="16"/>
        </w:rPr>
        <w:t>D. S. Karpovich</w:t>
      </w:r>
      <w:r w:rsidR="00691410" w:rsidRPr="00602C9E">
        <w:rPr>
          <w:sz w:val="16"/>
          <w:szCs w:val="16"/>
        </w:rPr>
        <w:t xml:space="preserve">, </w:t>
      </w:r>
      <w:r w:rsidR="00BB7A22" w:rsidRPr="00602C9E">
        <w:rPr>
          <w:sz w:val="16"/>
          <w:szCs w:val="16"/>
        </w:rPr>
        <w:t xml:space="preserve">G. J. Blanchard, </w:t>
      </w:r>
      <w:r w:rsidR="00BB7A22" w:rsidRPr="00602C9E">
        <w:rPr>
          <w:i/>
          <w:sz w:val="16"/>
          <w:szCs w:val="16"/>
        </w:rPr>
        <w:t>J. Phys. Chem.</w:t>
      </w:r>
      <w:r w:rsidR="00BB7A22" w:rsidRPr="00602C9E">
        <w:rPr>
          <w:sz w:val="16"/>
          <w:szCs w:val="16"/>
        </w:rPr>
        <w:t xml:space="preserve">, </w:t>
      </w:r>
      <w:r w:rsidR="00BB7A22" w:rsidRPr="00602C9E">
        <w:rPr>
          <w:b/>
          <w:sz w:val="16"/>
          <w:szCs w:val="16"/>
        </w:rPr>
        <w:t>1995</w:t>
      </w:r>
      <w:r w:rsidR="00BB7A22" w:rsidRPr="00602C9E">
        <w:rPr>
          <w:sz w:val="16"/>
          <w:szCs w:val="16"/>
        </w:rPr>
        <w:t xml:space="preserve">, </w:t>
      </w:r>
      <w:r w:rsidR="00BB7A22" w:rsidRPr="00602C9E">
        <w:rPr>
          <w:i/>
          <w:iCs/>
          <w:sz w:val="16"/>
          <w:szCs w:val="16"/>
        </w:rPr>
        <w:t>99</w:t>
      </w:r>
      <w:r w:rsidR="00BB7A22" w:rsidRPr="00602C9E">
        <w:rPr>
          <w:sz w:val="16"/>
          <w:szCs w:val="16"/>
        </w:rPr>
        <w:t>, 3951</w:t>
      </w:r>
      <w:r w:rsidR="00691410" w:rsidRPr="00602C9E">
        <w:rPr>
          <w:sz w:val="16"/>
          <w:szCs w:val="16"/>
        </w:rPr>
        <w:t>–</w:t>
      </w:r>
      <w:r w:rsidR="00BB7A22" w:rsidRPr="00602C9E">
        <w:rPr>
          <w:sz w:val="16"/>
          <w:szCs w:val="16"/>
        </w:rPr>
        <w:t>3958. DOI: 10.1021/j100012a014</w:t>
      </w:r>
    </w:p>
    <w:p w:rsidR="00BB7A22" w:rsidRPr="003F09A3" w:rsidRDefault="00377EDD" w:rsidP="00BB7A22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602C9E">
        <w:rPr>
          <w:sz w:val="16"/>
          <w:szCs w:val="16"/>
        </w:rPr>
        <w:t>7.</w:t>
      </w:r>
      <w:r w:rsidRPr="00602C9E">
        <w:rPr>
          <w:sz w:val="16"/>
          <w:szCs w:val="16"/>
        </w:rPr>
        <w:tab/>
      </w:r>
      <w:r w:rsidR="00BB7A22" w:rsidRPr="00602C9E">
        <w:rPr>
          <w:sz w:val="16"/>
          <w:szCs w:val="16"/>
        </w:rPr>
        <w:t xml:space="preserve">B. Ren, F. Gao, Z. Tong, Y. Yan, </w:t>
      </w:r>
      <w:r w:rsidR="00BB7A22" w:rsidRPr="00602C9E">
        <w:rPr>
          <w:i/>
          <w:sz w:val="16"/>
          <w:szCs w:val="16"/>
        </w:rPr>
        <w:t>Chem. Phys. Lett.</w:t>
      </w:r>
      <w:r w:rsidR="00BB7A22" w:rsidRPr="00602C9E">
        <w:rPr>
          <w:sz w:val="16"/>
          <w:szCs w:val="16"/>
        </w:rPr>
        <w:t xml:space="preserve">, </w:t>
      </w:r>
      <w:r w:rsidR="00BB7A22" w:rsidRPr="00602C9E">
        <w:rPr>
          <w:b/>
          <w:sz w:val="16"/>
          <w:szCs w:val="16"/>
        </w:rPr>
        <w:t>1999</w:t>
      </w:r>
      <w:r w:rsidR="00BB7A22" w:rsidRPr="00602C9E">
        <w:rPr>
          <w:sz w:val="16"/>
          <w:szCs w:val="16"/>
        </w:rPr>
        <w:t xml:space="preserve">, </w:t>
      </w:r>
      <w:r w:rsidR="00BB7A22" w:rsidRPr="00602C9E">
        <w:rPr>
          <w:i/>
          <w:iCs/>
          <w:sz w:val="16"/>
          <w:szCs w:val="16"/>
        </w:rPr>
        <w:t>307</w:t>
      </w:r>
      <w:r w:rsidR="00BB7A22" w:rsidRPr="00602C9E">
        <w:rPr>
          <w:sz w:val="16"/>
          <w:szCs w:val="16"/>
        </w:rPr>
        <w:t>,</w:t>
      </w:r>
      <w:r w:rsidR="00691410" w:rsidRPr="00602C9E">
        <w:rPr>
          <w:sz w:val="16"/>
          <w:szCs w:val="16"/>
        </w:rPr>
        <w:t xml:space="preserve"> </w:t>
      </w:r>
      <w:r w:rsidR="00BB7A22" w:rsidRPr="00602C9E">
        <w:rPr>
          <w:sz w:val="16"/>
          <w:szCs w:val="16"/>
        </w:rPr>
        <w:t>55</w:t>
      </w:r>
      <w:r w:rsidR="00691410" w:rsidRPr="00602C9E">
        <w:rPr>
          <w:sz w:val="16"/>
          <w:szCs w:val="16"/>
        </w:rPr>
        <w:t>–</w:t>
      </w:r>
      <w:r w:rsidR="00BB7A22" w:rsidRPr="00602C9E">
        <w:rPr>
          <w:sz w:val="16"/>
          <w:szCs w:val="16"/>
        </w:rPr>
        <w:t>61. DOI: 10.1016/S0009-2614(99)00495-9</w:t>
      </w:r>
    </w:p>
    <w:p w:rsidR="008F1BDA" w:rsidRPr="001A22A0" w:rsidRDefault="008F1BDA" w:rsidP="008F1BDA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55"/>
        <w:gridCol w:w="1236"/>
      </w:tblGrid>
      <w:tr w:rsidR="008F1BDA" w:rsidRPr="003A13B7" w:rsidTr="00BB0850">
        <w:trPr>
          <w:jc w:val="right"/>
        </w:trPr>
        <w:tc>
          <w:tcPr>
            <w:tcW w:w="3255" w:type="dxa"/>
            <w:vAlign w:val="center"/>
          </w:tcPr>
          <w:p w:rsidR="008F1BDA" w:rsidRPr="001A22A0" w:rsidRDefault="008F1BDA" w:rsidP="00BB0850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1A22A0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1A22A0">
              <w:rPr>
                <w:sz w:val="16"/>
                <w:szCs w:val="16"/>
                <w:lang w:val="en-US"/>
              </w:rPr>
              <w:t>This article is licensed under a Creative Commons Attribution-</w:t>
            </w:r>
            <w:proofErr w:type="spellStart"/>
            <w:r w:rsidRPr="001A22A0">
              <w:rPr>
                <w:sz w:val="16"/>
                <w:szCs w:val="16"/>
                <w:lang w:val="en-US"/>
              </w:rPr>
              <w:t>NonCommercial</w:t>
            </w:r>
            <w:proofErr w:type="spellEnd"/>
            <w:r w:rsidRPr="001A22A0">
              <w:rPr>
                <w:sz w:val="16"/>
                <w:szCs w:val="16"/>
                <w:lang w:val="en-US"/>
              </w:rPr>
              <w:t xml:space="preserve"> 4.0 International License.</w:t>
            </w:r>
          </w:p>
        </w:tc>
        <w:tc>
          <w:tcPr>
            <w:tcW w:w="1236" w:type="dxa"/>
            <w:vAlign w:val="center"/>
          </w:tcPr>
          <w:p w:rsidR="008F1BDA" w:rsidRPr="003A13B7" w:rsidRDefault="008F1BDA" w:rsidP="00BB085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1A22A0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>
                  <wp:extent cx="620466" cy="217152"/>
                  <wp:effectExtent l="19050" t="0" r="8184" b="0"/>
                  <wp:docPr id="286762753" name="Рисунок 125" descr="D:\Rinat\Rinat\доки\журнал\cc-by-nc.pn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6162" w:rsidRPr="00BB7A22" w:rsidRDefault="00166162" w:rsidP="00BB7A22">
      <w:pPr>
        <w:pStyle w:val="Header1"/>
        <w:spacing w:before="0" w:after="0"/>
        <w:jc w:val="both"/>
        <w:rPr>
          <w:rFonts w:ascii="Times New Roman" w:hAnsi="Times New Roman" w:cs="Times New Roman"/>
          <w:b w:val="0"/>
          <w:bCs/>
          <w:sz w:val="16"/>
          <w:szCs w:val="16"/>
        </w:rPr>
      </w:pPr>
      <w:bookmarkStart w:id="0" w:name="_GoBack"/>
      <w:bookmarkEnd w:id="0"/>
    </w:p>
    <w:sectPr w:rsidR="00166162" w:rsidRPr="00BB7A22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5E71" w:rsidRDefault="00DB5E71" w:rsidP="00427E5A">
      <w:pPr>
        <w:spacing w:after="0" w:line="240" w:lineRule="auto"/>
      </w:pPr>
      <w:r>
        <w:separator/>
      </w:r>
    </w:p>
    <w:p w:rsidR="00DB5E71" w:rsidRDefault="00DB5E71"/>
  </w:endnote>
  <w:endnote w:type="continuationSeparator" w:id="0">
    <w:p w:rsidR="00DB5E71" w:rsidRDefault="00DB5E71" w:rsidP="00427E5A">
      <w:pPr>
        <w:spacing w:after="0" w:line="240" w:lineRule="auto"/>
      </w:pPr>
      <w:r>
        <w:continuationSeparator/>
      </w:r>
    </w:p>
    <w:p w:rsidR="00DB5E71" w:rsidRDefault="00DB5E7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351" w:rsidRPr="00A6442F" w:rsidRDefault="007A3351" w:rsidP="007A3351">
    <w:pPr>
      <w:pStyle w:val="af"/>
      <w:jc w:val="center"/>
      <w:rPr>
        <w:rStyle w:val="MainText0"/>
        <w:i/>
      </w:rPr>
    </w:pPr>
    <w:r w:rsidRPr="00622DF1">
      <w:rPr>
        <w:rStyle w:val="MainText0"/>
      </w:rPr>
      <w:t>A.</w:t>
    </w:r>
    <w:r w:rsidR="00916E1F" w:rsidRPr="00622DF1">
      <w:rPr>
        <w:rStyle w:val="MainText0"/>
      </w:rPr>
      <w:t xml:space="preserve"> </w:t>
    </w:r>
    <w:r w:rsidR="002F74AD">
      <w:rPr>
        <w:rStyle w:val="MainText0"/>
      </w:rPr>
      <w:t>A</w:t>
    </w:r>
    <w:r w:rsidRPr="00622DF1">
      <w:rPr>
        <w:rFonts w:ascii="Times New Roman" w:hAnsi="Times New Roman" w:cs="Times New Roman"/>
        <w:sz w:val="18"/>
        <w:szCs w:val="18"/>
        <w:lang w:val="en-US"/>
      </w:rPr>
      <w:t xml:space="preserve">. </w:t>
    </w:r>
    <w:proofErr w:type="spellStart"/>
    <w:r w:rsidR="002F74AD">
      <w:rPr>
        <w:rFonts w:ascii="Times New Roman" w:hAnsi="Times New Roman" w:cs="Times New Roman"/>
        <w:sz w:val="18"/>
        <w:szCs w:val="18"/>
        <w:lang w:val="en-US"/>
      </w:rPr>
      <w:t>Solunina</w:t>
    </w:r>
    <w:proofErr w:type="spellEnd"/>
    <w:r w:rsidR="002F74AD">
      <w:rPr>
        <w:rFonts w:ascii="Times New Roman" w:hAnsi="Times New Roman" w:cs="Times New Roman"/>
        <w:sz w:val="18"/>
        <w:szCs w:val="18"/>
        <w:lang w:val="en-US"/>
      </w:rPr>
      <w:t xml:space="preserve"> </w:t>
    </w:r>
    <w:r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 w:rsidR="002F74AD">
      <w:rPr>
        <w:rStyle w:val="MainText0"/>
        <w:b/>
      </w:rPr>
      <w:t>25</w:t>
    </w:r>
    <w:r w:rsidR="00DF4999" w:rsidRPr="00110678">
      <w:rPr>
        <w:rStyle w:val="MainText0"/>
      </w:rPr>
      <w:t xml:space="preserve">, </w:t>
    </w:r>
    <w:r w:rsidR="002F74AD"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 w:rsidR="002F74AD"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DF4999">
      <w:rPr>
        <w:rStyle w:val="MainText0"/>
      </w:rPr>
      <w:t>XX–XX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5E71" w:rsidRDefault="00DB5E71" w:rsidP="00427E5A">
      <w:pPr>
        <w:spacing w:after="0" w:line="240" w:lineRule="auto"/>
      </w:pPr>
      <w:r>
        <w:separator/>
      </w:r>
    </w:p>
    <w:p w:rsidR="00DB5E71" w:rsidRDefault="00DB5E71"/>
  </w:footnote>
  <w:footnote w:type="continuationSeparator" w:id="0">
    <w:p w:rsidR="00DB5E71" w:rsidRDefault="00DB5E71" w:rsidP="00427E5A">
      <w:pPr>
        <w:spacing w:after="0" w:line="240" w:lineRule="auto"/>
      </w:pPr>
      <w:r>
        <w:continuationSeparator/>
      </w:r>
    </w:p>
    <w:p w:rsidR="00DB5E71" w:rsidRDefault="00DB5E7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Content>
          <w:p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CE13BB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CE13BB" w:rsidRPr="001E7945">
          <w:rPr>
            <w:rFonts w:ascii="Times New Roman" w:hAnsi="Times New Roman" w:cs="Times New Roman"/>
            <w:i/>
          </w:rPr>
          <w:fldChar w:fldCharType="separate"/>
        </w:r>
        <w:r w:rsidR="00A67D71">
          <w:rPr>
            <w:rFonts w:ascii="Times New Roman" w:hAnsi="Times New Roman" w:cs="Times New Roman"/>
            <w:i/>
            <w:noProof/>
            <w:lang w:val="en-US"/>
          </w:rPr>
          <w:t>2</w:t>
        </w:r>
        <w:r w:rsidR="00CE13BB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8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/>
  <w:rsids>
    <w:rsidRoot w:val="00F95280"/>
    <w:rsid w:val="00016637"/>
    <w:rsid w:val="00021E9C"/>
    <w:rsid w:val="000424BA"/>
    <w:rsid w:val="00052C07"/>
    <w:rsid w:val="00064622"/>
    <w:rsid w:val="00067EC7"/>
    <w:rsid w:val="00071D12"/>
    <w:rsid w:val="00080691"/>
    <w:rsid w:val="0008088D"/>
    <w:rsid w:val="00096D77"/>
    <w:rsid w:val="000B5E27"/>
    <w:rsid w:val="000E1B06"/>
    <w:rsid w:val="00136F6A"/>
    <w:rsid w:val="0015773E"/>
    <w:rsid w:val="00161894"/>
    <w:rsid w:val="00166162"/>
    <w:rsid w:val="001A1BE4"/>
    <w:rsid w:val="001B0919"/>
    <w:rsid w:val="001B6750"/>
    <w:rsid w:val="001E45AB"/>
    <w:rsid w:val="001E7945"/>
    <w:rsid w:val="001F68A5"/>
    <w:rsid w:val="002120E9"/>
    <w:rsid w:val="00223F2C"/>
    <w:rsid w:val="00236E9E"/>
    <w:rsid w:val="002500A5"/>
    <w:rsid w:val="002675CB"/>
    <w:rsid w:val="002B1CF9"/>
    <w:rsid w:val="002D6411"/>
    <w:rsid w:val="002F74AD"/>
    <w:rsid w:val="0031578F"/>
    <w:rsid w:val="00321C31"/>
    <w:rsid w:val="00346286"/>
    <w:rsid w:val="00377EDD"/>
    <w:rsid w:val="00396041"/>
    <w:rsid w:val="00397C2F"/>
    <w:rsid w:val="003B067D"/>
    <w:rsid w:val="003E2893"/>
    <w:rsid w:val="00427E5A"/>
    <w:rsid w:val="00436D4B"/>
    <w:rsid w:val="00440577"/>
    <w:rsid w:val="00441FB4"/>
    <w:rsid w:val="00447003"/>
    <w:rsid w:val="004635E5"/>
    <w:rsid w:val="00463737"/>
    <w:rsid w:val="004A44BC"/>
    <w:rsid w:val="004A5676"/>
    <w:rsid w:val="004C0411"/>
    <w:rsid w:val="00502985"/>
    <w:rsid w:val="00521592"/>
    <w:rsid w:val="00524995"/>
    <w:rsid w:val="00533D73"/>
    <w:rsid w:val="00534762"/>
    <w:rsid w:val="005B3953"/>
    <w:rsid w:val="005C7369"/>
    <w:rsid w:val="005E76C3"/>
    <w:rsid w:val="00602C9E"/>
    <w:rsid w:val="00622DF1"/>
    <w:rsid w:val="00624A6F"/>
    <w:rsid w:val="00626442"/>
    <w:rsid w:val="006469B9"/>
    <w:rsid w:val="0065245B"/>
    <w:rsid w:val="00653497"/>
    <w:rsid w:val="00682EBB"/>
    <w:rsid w:val="00683408"/>
    <w:rsid w:val="00691410"/>
    <w:rsid w:val="006E0C73"/>
    <w:rsid w:val="00706F05"/>
    <w:rsid w:val="0072037E"/>
    <w:rsid w:val="007516EA"/>
    <w:rsid w:val="00751849"/>
    <w:rsid w:val="007A3351"/>
    <w:rsid w:val="007D3F5F"/>
    <w:rsid w:val="008114FB"/>
    <w:rsid w:val="00812CCB"/>
    <w:rsid w:val="00820A77"/>
    <w:rsid w:val="008376B3"/>
    <w:rsid w:val="00842E5C"/>
    <w:rsid w:val="00844355"/>
    <w:rsid w:val="00844DC5"/>
    <w:rsid w:val="008622A1"/>
    <w:rsid w:val="00863A30"/>
    <w:rsid w:val="00875175"/>
    <w:rsid w:val="0089304F"/>
    <w:rsid w:val="00894EE2"/>
    <w:rsid w:val="008A02BF"/>
    <w:rsid w:val="008A6A35"/>
    <w:rsid w:val="008C6630"/>
    <w:rsid w:val="008C68C0"/>
    <w:rsid w:val="008D2BCF"/>
    <w:rsid w:val="008E062B"/>
    <w:rsid w:val="008E49DB"/>
    <w:rsid w:val="008F1BDA"/>
    <w:rsid w:val="00904B7F"/>
    <w:rsid w:val="00916E1F"/>
    <w:rsid w:val="00930DA8"/>
    <w:rsid w:val="00947CA7"/>
    <w:rsid w:val="009667F3"/>
    <w:rsid w:val="0098702B"/>
    <w:rsid w:val="009A6DAE"/>
    <w:rsid w:val="009B1ECD"/>
    <w:rsid w:val="009F12DC"/>
    <w:rsid w:val="009F4E4D"/>
    <w:rsid w:val="00A231BA"/>
    <w:rsid w:val="00A6442F"/>
    <w:rsid w:val="00A67D71"/>
    <w:rsid w:val="00A76F33"/>
    <w:rsid w:val="00A976A8"/>
    <w:rsid w:val="00AA24E0"/>
    <w:rsid w:val="00B23601"/>
    <w:rsid w:val="00B5202A"/>
    <w:rsid w:val="00BB1D07"/>
    <w:rsid w:val="00BB7A22"/>
    <w:rsid w:val="00BD7E4E"/>
    <w:rsid w:val="00BE4FEF"/>
    <w:rsid w:val="00C172F8"/>
    <w:rsid w:val="00C25E43"/>
    <w:rsid w:val="00C3090A"/>
    <w:rsid w:val="00C37170"/>
    <w:rsid w:val="00C57EFF"/>
    <w:rsid w:val="00C64B3C"/>
    <w:rsid w:val="00C716BD"/>
    <w:rsid w:val="00C7193B"/>
    <w:rsid w:val="00C802E6"/>
    <w:rsid w:val="00C97E75"/>
    <w:rsid w:val="00CA605E"/>
    <w:rsid w:val="00CC4472"/>
    <w:rsid w:val="00CD128C"/>
    <w:rsid w:val="00CD1899"/>
    <w:rsid w:val="00CD6FAC"/>
    <w:rsid w:val="00CE13BB"/>
    <w:rsid w:val="00CF53DC"/>
    <w:rsid w:val="00D01A36"/>
    <w:rsid w:val="00D33A17"/>
    <w:rsid w:val="00D33D37"/>
    <w:rsid w:val="00D36C9F"/>
    <w:rsid w:val="00D71473"/>
    <w:rsid w:val="00DA0A72"/>
    <w:rsid w:val="00DB5E71"/>
    <w:rsid w:val="00DE62E1"/>
    <w:rsid w:val="00DF1FCB"/>
    <w:rsid w:val="00DF4999"/>
    <w:rsid w:val="00E22D1B"/>
    <w:rsid w:val="00E32FFE"/>
    <w:rsid w:val="00E60451"/>
    <w:rsid w:val="00E76E65"/>
    <w:rsid w:val="00E81EDE"/>
    <w:rsid w:val="00E842EB"/>
    <w:rsid w:val="00E95346"/>
    <w:rsid w:val="00EA6C3B"/>
    <w:rsid w:val="00EB06B8"/>
    <w:rsid w:val="00EB2FCC"/>
    <w:rsid w:val="00EB7BDB"/>
    <w:rsid w:val="00EE0429"/>
    <w:rsid w:val="00EE4066"/>
    <w:rsid w:val="00EF625A"/>
    <w:rsid w:val="00F329D2"/>
    <w:rsid w:val="00F376FB"/>
    <w:rsid w:val="00F44BBC"/>
    <w:rsid w:val="00F6796A"/>
    <w:rsid w:val="00F86864"/>
    <w:rsid w:val="00F94740"/>
    <w:rsid w:val="00F95280"/>
    <w:rsid w:val="00F952CD"/>
    <w:rsid w:val="00FA0CD1"/>
    <w:rsid w:val="00FB4DBE"/>
    <w:rsid w:val="00FD23C3"/>
    <w:rsid w:val="00FD2F8B"/>
    <w:rsid w:val="00FE4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table" w:customStyle="1" w:styleId="-11">
    <w:name w:val="Список-таблица 1 светлая1"/>
    <w:basedOn w:val="a1"/>
    <w:uiPriority w:val="46"/>
    <w:rsid w:val="00C7193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3">
    <w:name w:val="Сетка таблицы1"/>
    <w:basedOn w:val="a1"/>
    <w:next w:val="a1"/>
    <w:uiPriority w:val="59"/>
    <w:rsid w:val="008F1BDA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reativecommons.org/licenses/by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04E32-E3C2-4637-8FE9-40E1E3A37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VIP_Kafa</cp:lastModifiedBy>
  <cp:revision>76</cp:revision>
  <dcterms:created xsi:type="dcterms:W3CDTF">2018-09-10T13:23:00Z</dcterms:created>
  <dcterms:modified xsi:type="dcterms:W3CDTF">2025-08-10T19:50:00Z</dcterms:modified>
</cp:coreProperties>
</file>