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AE39E3">
        <w:rPr>
          <w:rFonts w:ascii="Times New Roman" w:hAnsi="Times New Roman" w:cs="Times New Roman"/>
          <w:sz w:val="36"/>
          <w:szCs w:val="36"/>
          <w:lang w:val="en-US"/>
        </w:rPr>
        <w:t>, 25</w:t>
      </w:r>
      <w:r w:rsidR="00F27BF3" w:rsidRPr="006118F4">
        <w:rPr>
          <w:rFonts w:ascii="Times New Roman" w:hAnsi="Times New Roman" w:cs="Times New Roman"/>
          <w:sz w:val="36"/>
          <w:szCs w:val="36"/>
          <w:lang w:val="en-US"/>
        </w:rPr>
        <w:t>–</w:t>
      </w:r>
      <w:r w:rsidR="00AE39E3">
        <w:rPr>
          <w:rFonts w:ascii="Times New Roman" w:hAnsi="Times New Roman" w:cs="Times New Roman"/>
          <w:sz w:val="36"/>
          <w:szCs w:val="36"/>
          <w:lang w:val="en-US"/>
        </w:rPr>
        <w:t>27</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AE39E3">
          <w:rPr>
            <w:rFonts w:ascii="Times New Roman" w:hAnsi="Times New Roman" w:cs="Times New Roman"/>
            <w:b/>
            <w:sz w:val="24"/>
            <w:szCs w:val="24"/>
            <w:lang w:val="en-US"/>
          </w:rPr>
          <w:t>10.32931/io2511</w:t>
        </w:r>
        <w:r w:rsidR="0091084F" w:rsidRPr="00FD0D30">
          <w:rPr>
            <w:rFonts w:ascii="Times New Roman" w:hAnsi="Times New Roman" w:cs="Times New Roman"/>
            <w:b/>
            <w:sz w:val="24"/>
            <w:szCs w:val="24"/>
            <w:lang w:val="en-US"/>
          </w:rPr>
          <w:t>a</w:t>
        </w:r>
      </w:hyperlink>
    </w:p>
    <w:p w:rsidR="002801B8" w:rsidRPr="005827E1" w:rsidRDefault="001704B0" w:rsidP="005827E1">
      <w:pPr>
        <w:pStyle w:val="ArticleTitle"/>
      </w:pPr>
      <w:r w:rsidRPr="005827E1">
        <w:t xml:space="preserve">Synthesis of Wide </w:t>
      </w:r>
      <w:proofErr w:type="spellStart"/>
      <w:r w:rsidRPr="005827E1">
        <w:t>Bandgap</w:t>
      </w:r>
      <w:proofErr w:type="spellEnd"/>
      <w:r w:rsidRPr="005827E1">
        <w:t xml:space="preserve"> C</w:t>
      </w:r>
      <w:r w:rsidR="005827E1">
        <w:t xml:space="preserve">onjugated </w:t>
      </w:r>
      <w:r w:rsidR="005827E1">
        <w:br/>
      </w:r>
      <w:r w:rsidRPr="005827E1">
        <w:t>π-Copolymers</w:t>
      </w:r>
      <w:r w:rsidR="005827E1">
        <w:t xml:space="preserve"> </w:t>
      </w:r>
      <w:r w:rsidRPr="005827E1">
        <w:t xml:space="preserve">Incorporating 9h-Carbazol-3-yl </w:t>
      </w:r>
      <w:r w:rsidR="005827E1">
        <w:br/>
      </w:r>
      <w:proofErr w:type="spellStart"/>
      <w:proofErr w:type="gramStart"/>
      <w:r w:rsidRPr="005827E1">
        <w:t>Dithieno</w:t>
      </w:r>
      <w:proofErr w:type="spellEnd"/>
      <w:r w:rsidRPr="005827E1">
        <w:t>[</w:t>
      </w:r>
      <w:proofErr w:type="gramEnd"/>
      <w:r w:rsidRPr="005827E1">
        <w:t>3,2-F:2',3'-H]</w:t>
      </w:r>
      <w:proofErr w:type="spellStart"/>
      <w:r w:rsidRPr="005827E1">
        <w:t>Quinoxaline</w:t>
      </w:r>
      <w:proofErr w:type="spellEnd"/>
      <w:r w:rsidRPr="005827E1">
        <w:t xml:space="preserve"> Units</w:t>
      </w:r>
    </w:p>
    <w:p w:rsidR="00F46F0E" w:rsidRPr="0091084F" w:rsidRDefault="001704B0" w:rsidP="002801B8">
      <w:pPr>
        <w:pStyle w:val="Authors"/>
      </w:pPr>
      <w:r w:rsidRPr="001704B0">
        <w:t>M. L. Keshtov,</w:t>
      </w:r>
      <w:r w:rsidRPr="001704B0">
        <w:rPr>
          <w:vertAlign w:val="superscript"/>
        </w:rPr>
        <w:t>a</w:t>
      </w:r>
      <w:r w:rsidRPr="001704B0">
        <w:t xml:space="preserve"> N. K. Davydova,</w:t>
      </w:r>
      <w:r w:rsidRPr="001704B0">
        <w:rPr>
          <w:vertAlign w:val="superscript"/>
        </w:rPr>
        <w:t>a</w:t>
      </w:r>
      <w:r w:rsidRPr="001704B0">
        <w:t xml:space="preserve"> D. P. Kalinkin,*</w:t>
      </w:r>
      <w:r w:rsidRPr="001704B0">
        <w:rPr>
          <w:vertAlign w:val="superscript"/>
        </w:rPr>
        <w:t>a</w:t>
      </w:r>
      <w:r w:rsidRPr="001704B0">
        <w:t xml:space="preserve"> and G. D. Sharma</w:t>
      </w:r>
      <w:r w:rsidRPr="001704B0">
        <w:rPr>
          <w:vertAlign w:val="superscript"/>
        </w:rPr>
        <w:t>b</w:t>
      </w:r>
    </w:p>
    <w:p w:rsidR="008518EA" w:rsidRPr="0091084F" w:rsidRDefault="004C2362" w:rsidP="004C2362">
      <w:pPr>
        <w:pStyle w:val="Affelations"/>
      </w:pPr>
      <w:proofErr w:type="gramStart"/>
      <w:r w:rsidRPr="004C2362">
        <w:rPr>
          <w:vertAlign w:val="superscript"/>
        </w:rPr>
        <w:t>a</w:t>
      </w:r>
      <w:proofErr w:type="gramEnd"/>
      <w:r w:rsidRPr="004C2362">
        <w:t xml:space="preserve"> </w:t>
      </w:r>
      <w:proofErr w:type="spell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 xml:space="preserve">. </w:t>
      </w:r>
      <w:proofErr w:type="spellStart"/>
      <w:r w:rsidRPr="004C2362">
        <w:t>Vavilova</w:t>
      </w:r>
      <w:proofErr w:type="spellEnd"/>
      <w:r w:rsidRPr="004C2362">
        <w:t xml:space="preserve"> 28, str. 1, Moscow, 119334 Russia</w:t>
      </w:r>
      <w:r>
        <w:br/>
      </w:r>
      <w:r w:rsidR="001704B0" w:rsidRPr="001704B0">
        <w:rPr>
          <w:vertAlign w:val="superscript"/>
        </w:rPr>
        <w:t>b</w:t>
      </w:r>
      <w:r w:rsidR="001704B0" w:rsidRPr="001704B0">
        <w:t xml:space="preserve"> St. Department of Physics and Electronics Communication Engineering, LNM Institute for Information Technology, </w:t>
      </w:r>
      <w:proofErr w:type="spellStart"/>
      <w:r w:rsidR="001704B0" w:rsidRPr="001704B0">
        <w:t>Jamdoli</w:t>
      </w:r>
      <w:proofErr w:type="spellEnd"/>
      <w:r w:rsidR="001704B0" w:rsidRPr="001704B0">
        <w:t xml:space="preserve">, </w:t>
      </w:r>
      <w:proofErr w:type="spellStart"/>
      <w:r w:rsidR="001704B0" w:rsidRPr="001704B0">
        <w:t>Jaipur</w:t>
      </w:r>
      <w:proofErr w:type="spellEnd"/>
      <w:r w:rsidR="001704B0" w:rsidRPr="001704B0">
        <w:t>, Raj., 302031 India</w:t>
      </w:r>
      <w:r w:rsidR="00F27BF3">
        <w:br/>
      </w:r>
    </w:p>
    <w:p w:rsidR="008518EA" w:rsidRPr="007659A9" w:rsidRDefault="008518EA" w:rsidP="005827E1">
      <w:pPr>
        <w:pStyle w:val="CorrespondingAuthor"/>
      </w:pPr>
      <w:r w:rsidRPr="005827E1">
        <w:rPr>
          <w:b/>
          <w:i w:val="0"/>
        </w:rPr>
        <w:t>Corresponding author:</w:t>
      </w:r>
      <w:r w:rsidRPr="0068614A">
        <w:t xml:space="preserve"> </w:t>
      </w:r>
      <w:r w:rsidR="001704B0" w:rsidRPr="005827E1">
        <w:t xml:space="preserve">D. P. </w:t>
      </w:r>
      <w:proofErr w:type="spellStart"/>
      <w:r w:rsidR="001704B0" w:rsidRPr="005827E1">
        <w:t>Kalinkin</w:t>
      </w:r>
      <w:proofErr w:type="spellEnd"/>
      <w:r w:rsidR="00D31C2D" w:rsidRPr="005827E1">
        <w:t>, e-mail:</w:t>
      </w:r>
      <w:r w:rsidR="00F27BF3" w:rsidRPr="005827E1">
        <w:t xml:space="preserve"> </w:t>
      </w:r>
      <w:r w:rsidR="001704B0" w:rsidRPr="005827E1">
        <w:t>kalinkin@ineos.ac.ru</w:t>
      </w:r>
      <w:r w:rsidR="00C01303" w:rsidRPr="005827E1">
        <w:br/>
      </w:r>
      <w:r w:rsidR="001704B0" w:rsidRPr="005827E1">
        <w:t>Received 23</w:t>
      </w:r>
      <w:r w:rsidRPr="005827E1">
        <w:t xml:space="preserve"> September 2024; accepted </w:t>
      </w:r>
      <w:r w:rsidR="001704B0" w:rsidRPr="005827E1">
        <w:t xml:space="preserve">15 October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1704B0" w:rsidP="001704B0">
      <w:pPr>
        <w:pStyle w:val="AbsText"/>
      </w:pPr>
      <w:r w:rsidRPr="001704B0">
        <w:t xml:space="preserve">A new wide </w:t>
      </w:r>
      <w:proofErr w:type="spellStart"/>
      <w:r w:rsidRPr="001704B0">
        <w:t>bandgap</w:t>
      </w:r>
      <w:proofErr w:type="spellEnd"/>
      <w:r w:rsidRPr="001704B0">
        <w:t xml:space="preserve"> material, P1, was synthesized and compared by the optical and electrochemical properties with the well-known copolymer PM6. Upon employing the narrow </w:t>
      </w:r>
      <w:proofErr w:type="spellStart"/>
      <w:r w:rsidRPr="001704B0">
        <w:t>bandgap</w:t>
      </w:r>
      <w:proofErr w:type="spellEnd"/>
      <w:r w:rsidRPr="001704B0">
        <w:t xml:space="preserve"> non-fullerene acceptor Y6, the organic solar cells based on P1 and PM6 under identical processing conditions exhibited overall power conversion efficiencies of 13.48 and 14.81%, respectively. Utilizing P1 as the secondary donor led to the optimized ternary organic solar cell with a power conversion efficiency of 17.11%, exceeding that of the binary counterparts.</w:t>
      </w:r>
    </w:p>
    <w:p w:rsidR="00166162" w:rsidRPr="00EF6BD4" w:rsidRDefault="00F46F0E" w:rsidP="00EF6BD4">
      <w:pPr>
        <w:pStyle w:val="Keywords"/>
        <w:rPr>
          <w:szCs w:val="20"/>
        </w:rPr>
      </w:pPr>
      <w:r w:rsidRPr="00EF6BD4">
        <w:rPr>
          <w:b/>
        </w:rPr>
        <w:t>Key words:</w:t>
      </w:r>
      <w:r w:rsidRPr="00EF6BD4">
        <w:t xml:space="preserve"> </w:t>
      </w:r>
      <w:r w:rsidR="001704B0" w:rsidRPr="001704B0">
        <w:t>synthesis, copolymer, organic solar cell, photovoltaic application.</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1704B0" w:rsidRPr="007B0653" w:rsidRDefault="001704B0" w:rsidP="001704B0">
      <w:pPr>
        <w:pStyle w:val="htmlparentstyle"/>
        <w:rPr>
          <w:lang w:val="en-US"/>
        </w:rPr>
      </w:pPr>
      <w:r w:rsidRPr="007B0653">
        <w:rPr>
          <w:lang w:val="en-US"/>
        </w:rPr>
        <w:t xml:space="preserve">Currently, the majority of </w:t>
      </w:r>
      <w:r w:rsidRPr="00EA2C59">
        <w:t>π</w:t>
      </w:r>
      <w:r w:rsidRPr="007B0653">
        <w:rPr>
          <w:lang w:val="en-US"/>
        </w:rPr>
        <w:t xml:space="preserve">-conjugated polymers utilized in polymer solar cells (PSCs) are predominantly produced by the </w:t>
      </w:r>
      <w:proofErr w:type="spellStart"/>
      <w:r w:rsidRPr="007B0653">
        <w:rPr>
          <w:lang w:val="en-US"/>
        </w:rPr>
        <w:t>polycondensation</w:t>
      </w:r>
      <w:proofErr w:type="spellEnd"/>
      <w:r w:rsidRPr="007B0653">
        <w:rPr>
          <w:lang w:val="en-US"/>
        </w:rPr>
        <w:t xml:space="preserve"> method using the </w:t>
      </w:r>
      <w:proofErr w:type="spellStart"/>
      <w:r w:rsidRPr="007B0653">
        <w:rPr>
          <w:lang w:val="en-US"/>
        </w:rPr>
        <w:t>Stille</w:t>
      </w:r>
      <w:proofErr w:type="spellEnd"/>
      <w:r w:rsidRPr="007B0653">
        <w:rPr>
          <w:lang w:val="en-US"/>
        </w:rPr>
        <w:t xml:space="preserve"> cross-coupling [1]. However, this approach presents various challenges, such as the preliminary multi-step synthesis of aryl tin reactants and the production of harmful by-products. To overcome these challenges, the idea of utilizing a novel </w:t>
      </w:r>
      <w:proofErr w:type="spellStart"/>
      <w:r w:rsidRPr="007B0653">
        <w:rPr>
          <w:lang w:val="en-US"/>
        </w:rPr>
        <w:t>polycondensation</w:t>
      </w:r>
      <w:proofErr w:type="spellEnd"/>
      <w:r w:rsidRPr="007B0653">
        <w:rPr>
          <w:lang w:val="en-US"/>
        </w:rPr>
        <w:t xml:space="preserve"> process through direct </w:t>
      </w:r>
      <w:proofErr w:type="spellStart"/>
      <w:r w:rsidRPr="007B0653">
        <w:rPr>
          <w:lang w:val="en-US"/>
        </w:rPr>
        <w:t>arylation</w:t>
      </w:r>
      <w:proofErr w:type="spellEnd"/>
      <w:r w:rsidRPr="007B0653">
        <w:rPr>
          <w:lang w:val="en-US"/>
        </w:rPr>
        <w:t xml:space="preserve"> has emerged as an attractive and environmentally friendly alternative to the traditional coupling reactions. This approach eliminates the need for </w:t>
      </w:r>
      <w:proofErr w:type="spellStart"/>
      <w:r w:rsidRPr="007B0653">
        <w:rPr>
          <w:lang w:val="en-US"/>
        </w:rPr>
        <w:t>stannyl</w:t>
      </w:r>
      <w:proofErr w:type="spellEnd"/>
      <w:r w:rsidRPr="007B0653">
        <w:rPr>
          <w:lang w:val="en-US"/>
        </w:rPr>
        <w:t xml:space="preserve"> derivatives and the requirement for </w:t>
      </w:r>
      <w:proofErr w:type="spellStart"/>
      <w:r w:rsidRPr="007B0653">
        <w:rPr>
          <w:lang w:val="en-US"/>
        </w:rPr>
        <w:t>organometallic</w:t>
      </w:r>
      <w:proofErr w:type="spellEnd"/>
      <w:r w:rsidRPr="007B0653">
        <w:rPr>
          <w:lang w:val="en-US"/>
        </w:rPr>
        <w:t xml:space="preserve"> reagents, leading to a reduction in the synthesis steps and costs. Given the significant interest in conjugated polymers containing </w:t>
      </w:r>
      <w:proofErr w:type="spellStart"/>
      <w:r w:rsidRPr="007B0653">
        <w:rPr>
          <w:lang w:val="en-US"/>
        </w:rPr>
        <w:t>quinoxaline</w:t>
      </w:r>
      <w:proofErr w:type="spellEnd"/>
      <w:r w:rsidRPr="007B0653">
        <w:rPr>
          <w:lang w:val="en-US"/>
        </w:rPr>
        <w:t xml:space="preserve"> (</w:t>
      </w:r>
      <w:proofErr w:type="spellStart"/>
      <w:r w:rsidRPr="007B0653">
        <w:rPr>
          <w:lang w:val="en-US"/>
        </w:rPr>
        <w:t>Qx</w:t>
      </w:r>
      <w:proofErr w:type="spellEnd"/>
      <w:r w:rsidRPr="007B0653">
        <w:rPr>
          <w:lang w:val="en-US"/>
        </w:rPr>
        <w:t xml:space="preserve">) units [2–4], there is a push for further enhancements towards simpler, quicker, and more cost-effective synthetic approaches. However, the development of </w:t>
      </w:r>
      <w:proofErr w:type="spellStart"/>
      <w:r w:rsidRPr="007B0653">
        <w:rPr>
          <w:lang w:val="en-US"/>
        </w:rPr>
        <w:t>Qx</w:t>
      </w:r>
      <w:proofErr w:type="spellEnd"/>
      <w:r w:rsidRPr="007B0653">
        <w:rPr>
          <w:lang w:val="en-US"/>
        </w:rPr>
        <w:t xml:space="preserve">-conjugated polymers </w:t>
      </w:r>
      <w:r w:rsidRPr="007B0653">
        <w:rPr>
          <w:i/>
          <w:iCs/>
          <w:lang w:val="en-US"/>
        </w:rPr>
        <w:t>via</w:t>
      </w:r>
      <w:r w:rsidRPr="007B0653">
        <w:rPr>
          <w:lang w:val="en-US"/>
        </w:rPr>
        <w:t xml:space="preserve"> direct </w:t>
      </w:r>
      <w:proofErr w:type="spellStart"/>
      <w:r w:rsidRPr="007B0653">
        <w:rPr>
          <w:lang w:val="en-US"/>
        </w:rPr>
        <w:t>polycondensation</w:t>
      </w:r>
      <w:proofErr w:type="spellEnd"/>
      <w:r w:rsidRPr="007B0653">
        <w:rPr>
          <w:lang w:val="en-US"/>
        </w:rPr>
        <w:t xml:space="preserve"> remains exceedingly scarce and poorly understood [5]. To address the challenges mentioned above, this study undertook the synthesis of a novel </w:t>
      </w:r>
      <w:r w:rsidRPr="00EA2C59">
        <w:t>π</w:t>
      </w:r>
      <w:r w:rsidRPr="007B0653">
        <w:rPr>
          <w:lang w:val="en-US"/>
        </w:rPr>
        <w:t xml:space="preserve">-conjugated </w:t>
      </w:r>
      <w:proofErr w:type="spellStart"/>
      <w:r w:rsidRPr="007B0653">
        <w:rPr>
          <w:lang w:val="en-US"/>
        </w:rPr>
        <w:t>Qx</w:t>
      </w:r>
      <w:proofErr w:type="spellEnd"/>
      <w:r w:rsidRPr="007B0653">
        <w:rPr>
          <w:lang w:val="en-US"/>
        </w:rPr>
        <w:t xml:space="preserve">-containing polymer P1 through a direct </w:t>
      </w:r>
      <w:proofErr w:type="spellStart"/>
      <w:r w:rsidRPr="007B0653">
        <w:rPr>
          <w:lang w:val="en-US"/>
        </w:rPr>
        <w:t>heteroaryl</w:t>
      </w:r>
      <w:proofErr w:type="spellEnd"/>
      <w:r w:rsidRPr="007B0653">
        <w:rPr>
          <w:lang w:val="en-US"/>
        </w:rPr>
        <w:t xml:space="preserve"> </w:t>
      </w:r>
      <w:proofErr w:type="spellStart"/>
      <w:r w:rsidRPr="007B0653">
        <w:rPr>
          <w:lang w:val="en-US"/>
        </w:rPr>
        <w:t>polycondensation</w:t>
      </w:r>
      <w:proofErr w:type="spellEnd"/>
      <w:r w:rsidRPr="007B0653">
        <w:rPr>
          <w:lang w:val="en-US"/>
        </w:rPr>
        <w:t xml:space="preserve"> reaction.</w:t>
      </w:r>
    </w:p>
    <w:p w:rsidR="001704B0" w:rsidRDefault="001704B0" w:rsidP="001704B0">
      <w:pPr>
        <w:pStyle w:val="MainHeader"/>
      </w:pPr>
      <w:r w:rsidRPr="00875175">
        <w:t>Results and discussion</w:t>
      </w:r>
    </w:p>
    <w:p w:rsidR="001704B0" w:rsidRDefault="001704B0" w:rsidP="005827E1">
      <w:pPr>
        <w:pStyle w:val="Text"/>
        <w:rPr>
          <w:lang w:val="en-US"/>
        </w:rPr>
      </w:pPr>
      <w:r w:rsidRPr="009C53D6">
        <w:rPr>
          <w:lang w:val="en-US"/>
        </w:rPr>
        <w:lastRenderedPageBreak/>
        <w:t xml:space="preserve">In this study, we developed and synthesized a monomer, M1, and utilized it to obtain </w:t>
      </w:r>
      <w:r>
        <w:rPr>
          <w:lang w:val="en-US"/>
        </w:rPr>
        <w:t xml:space="preserve">a </w:t>
      </w:r>
      <w:r w:rsidRPr="009C53D6">
        <w:rPr>
          <w:lang w:val="en-US"/>
        </w:rPr>
        <w:t xml:space="preserve">new π-conjugated polymer, P1, through the direct </w:t>
      </w:r>
      <w:proofErr w:type="spellStart"/>
      <w:r w:rsidRPr="009C53D6">
        <w:rPr>
          <w:lang w:val="en-US"/>
        </w:rPr>
        <w:t>heteroarylation</w:t>
      </w:r>
      <w:proofErr w:type="spellEnd"/>
      <w:r w:rsidRPr="009C53D6">
        <w:rPr>
          <w:lang w:val="en-US"/>
        </w:rPr>
        <w:t xml:space="preserve"> procedure (Scheme 1).</w:t>
      </w:r>
    </w:p>
    <w:p w:rsidR="000E1CFB" w:rsidRPr="009C53D6" w:rsidRDefault="000E1CFB" w:rsidP="000E1CFB">
      <w:pPr>
        <w:pStyle w:val="Illustration"/>
        <w:rPr>
          <w:lang w:val="en-US"/>
        </w:rPr>
      </w:pPr>
    </w:p>
    <w:p w:rsidR="000E1CFB" w:rsidRPr="00415C1D" w:rsidRDefault="000E1CFB" w:rsidP="000E1CFB">
      <w:pPr>
        <w:pStyle w:val="IllustrationDescription"/>
      </w:pPr>
      <w:proofErr w:type="gramStart"/>
      <w:r w:rsidRPr="00415C1D">
        <w:rPr>
          <w:b/>
        </w:rPr>
        <w:t>Scheme 1.</w:t>
      </w:r>
      <w:proofErr w:type="gramEnd"/>
      <w:r w:rsidRPr="00415C1D">
        <w:t xml:space="preserve"> </w:t>
      </w:r>
      <w:proofErr w:type="gramStart"/>
      <w:r w:rsidRPr="00415C1D">
        <w:t>Synthetic route to copolymer P1.</w:t>
      </w:r>
      <w:proofErr w:type="gramEnd"/>
    </w:p>
    <w:p w:rsidR="001704B0" w:rsidRPr="00AE39E3" w:rsidRDefault="001704B0" w:rsidP="000E1CFB">
      <w:pPr>
        <w:pStyle w:val="Text"/>
        <w:rPr>
          <w:lang w:val="en-US"/>
        </w:rPr>
      </w:pPr>
      <w:r w:rsidRPr="009C53D6">
        <w:rPr>
          <w:lang w:val="en-US"/>
        </w:rPr>
        <w:t xml:space="preserve">The </w:t>
      </w:r>
      <w:r>
        <w:rPr>
          <w:lang w:val="en-US"/>
        </w:rPr>
        <w:t>resulting copolymer P1</w:t>
      </w:r>
      <w:r w:rsidRPr="009C53D6">
        <w:rPr>
          <w:lang w:val="en-US"/>
        </w:rPr>
        <w:t xml:space="preserve"> </w:t>
      </w:r>
      <w:r>
        <w:rPr>
          <w:lang w:val="en-US"/>
        </w:rPr>
        <w:t>is</w:t>
      </w:r>
      <w:r w:rsidRPr="009C53D6">
        <w:rPr>
          <w:lang w:val="en-US"/>
        </w:rPr>
        <w:t xml:space="preserve"> solubl</w:t>
      </w:r>
      <w:r>
        <w:rPr>
          <w:lang w:val="en-US"/>
        </w:rPr>
        <w:t xml:space="preserve">e </w:t>
      </w:r>
      <w:r w:rsidRPr="009C53D6">
        <w:rPr>
          <w:lang w:val="en-US"/>
        </w:rPr>
        <w:t>in common organic solvents</w:t>
      </w:r>
      <w:r>
        <w:rPr>
          <w:lang w:val="en-US"/>
        </w:rPr>
        <w:t>,</w:t>
      </w:r>
      <w:r w:rsidRPr="009C53D6">
        <w:rPr>
          <w:lang w:val="en-US"/>
        </w:rPr>
        <w:t xml:space="preserve"> such as chloroform </w:t>
      </w:r>
      <w:r w:rsidRPr="00810A9E">
        <w:rPr>
          <w:lang w:val="en-US"/>
        </w:rPr>
        <w:t>(</w:t>
      </w:r>
      <w:r>
        <w:rPr>
          <w:lang w:val="en-US"/>
        </w:rPr>
        <w:t>CF</w:t>
      </w:r>
      <w:r w:rsidRPr="00810A9E">
        <w:rPr>
          <w:lang w:val="en-US"/>
        </w:rPr>
        <w:t xml:space="preserve">) </w:t>
      </w:r>
      <w:r w:rsidRPr="009C53D6">
        <w:rPr>
          <w:lang w:val="en-US"/>
        </w:rPr>
        <w:t xml:space="preserve">and </w:t>
      </w:r>
      <w:proofErr w:type="spellStart"/>
      <w:r w:rsidRPr="009C53D6">
        <w:rPr>
          <w:lang w:val="en-US"/>
        </w:rPr>
        <w:t>chlorobenzene</w:t>
      </w:r>
      <w:proofErr w:type="spellEnd"/>
      <w:r w:rsidRPr="009C53D6">
        <w:rPr>
          <w:lang w:val="en-US"/>
        </w:rPr>
        <w:t>, with a number average molecular weight (</w:t>
      </w:r>
      <w:proofErr w:type="spellStart"/>
      <w:r w:rsidRPr="00AC2BA3">
        <w:rPr>
          <w:i/>
          <w:iCs/>
          <w:lang w:val="en-US"/>
        </w:rPr>
        <w:t>M</w:t>
      </w:r>
      <w:r w:rsidRPr="00AC2BA3">
        <w:rPr>
          <w:vertAlign w:val="subscript"/>
          <w:lang w:val="en-US"/>
        </w:rPr>
        <w:t>n</w:t>
      </w:r>
      <w:proofErr w:type="spellEnd"/>
      <w:r w:rsidRPr="009C53D6">
        <w:rPr>
          <w:lang w:val="en-US"/>
        </w:rPr>
        <w:t xml:space="preserve">) of 20.1 </w:t>
      </w:r>
      <w:proofErr w:type="spellStart"/>
      <w:r w:rsidRPr="009C53D6">
        <w:rPr>
          <w:lang w:val="en-US"/>
        </w:rPr>
        <w:t>kDa</w:t>
      </w:r>
      <w:proofErr w:type="spellEnd"/>
      <w:r w:rsidRPr="009C53D6">
        <w:rPr>
          <w:lang w:val="en-US"/>
        </w:rPr>
        <w:t xml:space="preserve"> and a </w:t>
      </w:r>
      <w:proofErr w:type="spellStart"/>
      <w:r w:rsidRPr="009C53D6">
        <w:rPr>
          <w:lang w:val="en-US"/>
        </w:rPr>
        <w:t>polydispersity</w:t>
      </w:r>
      <w:proofErr w:type="spellEnd"/>
      <w:r w:rsidRPr="009C53D6">
        <w:rPr>
          <w:lang w:val="en-US"/>
        </w:rPr>
        <w:t xml:space="preserve"> index (PDI) of 2.40</w:t>
      </w:r>
      <w:r>
        <w:rPr>
          <w:lang w:val="en-US"/>
        </w:rPr>
        <w:t xml:space="preserve"> (</w:t>
      </w:r>
      <w:r w:rsidRPr="00810A9E">
        <w:rPr>
          <w:lang w:val="en-US"/>
        </w:rPr>
        <w:t>Table S1</w:t>
      </w:r>
      <w:r>
        <w:rPr>
          <w:lang w:val="en-US"/>
        </w:rPr>
        <w:t xml:space="preserve"> in the Electronic supplementary information (ESI))</w:t>
      </w:r>
      <w:r w:rsidRPr="009C53D6">
        <w:rPr>
          <w:lang w:val="en-US"/>
        </w:rPr>
        <w:t xml:space="preserve">. The high </w:t>
      </w:r>
      <w:r>
        <w:rPr>
          <w:lang w:val="en-US"/>
        </w:rPr>
        <w:t xml:space="preserve">value of </w:t>
      </w:r>
      <w:proofErr w:type="spellStart"/>
      <w:r w:rsidRPr="00AC2BA3">
        <w:rPr>
          <w:i/>
          <w:iCs/>
          <w:lang w:val="en-US"/>
        </w:rPr>
        <w:t>M</w:t>
      </w:r>
      <w:r w:rsidRPr="00AC2BA3">
        <w:rPr>
          <w:vertAlign w:val="subscript"/>
          <w:lang w:val="en-US"/>
        </w:rPr>
        <w:t>n</w:t>
      </w:r>
      <w:proofErr w:type="spellEnd"/>
      <w:r w:rsidRPr="009C53D6">
        <w:rPr>
          <w:lang w:val="en-US"/>
        </w:rPr>
        <w:t xml:space="preserve"> and </w:t>
      </w:r>
      <w:r>
        <w:rPr>
          <w:lang w:val="en-US"/>
        </w:rPr>
        <w:t xml:space="preserve">the </w:t>
      </w:r>
      <w:r w:rsidRPr="009C53D6">
        <w:rPr>
          <w:lang w:val="en-US"/>
        </w:rPr>
        <w:t xml:space="preserve">low PDI of P1 support enhanced charge transport characteristics. </w:t>
      </w:r>
      <w:r>
        <w:rPr>
          <w:lang w:val="en-US"/>
        </w:rPr>
        <w:t>The t</w:t>
      </w:r>
      <w:r w:rsidRPr="009C53D6">
        <w:rPr>
          <w:lang w:val="en-US"/>
        </w:rPr>
        <w:t>hermal gravimetric analysis (TGA) revealed a decomposition temperature (</w:t>
      </w:r>
      <w:r w:rsidRPr="00AC2BA3">
        <w:rPr>
          <w:i/>
          <w:iCs/>
          <w:lang w:val="en-US"/>
        </w:rPr>
        <w:t>T</w:t>
      </w:r>
      <w:r w:rsidRPr="00AC2BA3">
        <w:rPr>
          <w:vertAlign w:val="subscript"/>
          <w:lang w:val="en-US"/>
        </w:rPr>
        <w:t>d</w:t>
      </w:r>
      <w:r w:rsidRPr="009C53D6">
        <w:rPr>
          <w:lang w:val="en-US"/>
        </w:rPr>
        <w:t>) of 358</w:t>
      </w:r>
      <w:r>
        <w:rPr>
          <w:lang w:val="en-US"/>
        </w:rPr>
        <w:t xml:space="preserve"> </w:t>
      </w:r>
      <w:r w:rsidRPr="009C53D6">
        <w:rPr>
          <w:lang w:val="en-US"/>
        </w:rPr>
        <w:t xml:space="preserve">°C for P1, indicating its suitability for use in fabricating organic </w:t>
      </w:r>
      <w:proofErr w:type="spellStart"/>
      <w:r w:rsidRPr="009C53D6">
        <w:rPr>
          <w:lang w:val="en-US"/>
        </w:rPr>
        <w:t>photoelectronic</w:t>
      </w:r>
      <w:proofErr w:type="spellEnd"/>
      <w:r w:rsidRPr="009C53D6">
        <w:rPr>
          <w:lang w:val="en-US"/>
        </w:rPr>
        <w:t xml:space="preserve"> devices. The absorption spectra of P1 in CF and thin film as well as those of PM6 </w:t>
      </w:r>
      <w:r>
        <w:rPr>
          <w:lang w:val="en-US"/>
        </w:rPr>
        <w:t xml:space="preserve">[6] </w:t>
      </w:r>
      <w:r w:rsidRPr="009C53D6">
        <w:rPr>
          <w:lang w:val="en-US"/>
        </w:rPr>
        <w:t xml:space="preserve">and Y6 </w:t>
      </w:r>
      <w:r>
        <w:rPr>
          <w:lang w:val="en-US"/>
        </w:rPr>
        <w:t xml:space="preserve">[7] </w:t>
      </w:r>
      <w:r w:rsidRPr="009C53D6">
        <w:rPr>
          <w:lang w:val="en-US"/>
        </w:rPr>
        <w:t>thin films are depicted in Fig</w:t>
      </w:r>
      <w:r>
        <w:rPr>
          <w:lang w:val="en-US"/>
        </w:rPr>
        <w:t>.</w:t>
      </w:r>
      <w:r w:rsidRPr="009C53D6">
        <w:rPr>
          <w:lang w:val="en-US"/>
        </w:rPr>
        <w:t xml:space="preserve"> 1. The absorption spectr</w:t>
      </w:r>
      <w:r>
        <w:rPr>
          <w:lang w:val="en-US"/>
        </w:rPr>
        <w:t>um</w:t>
      </w:r>
      <w:r w:rsidRPr="009C53D6">
        <w:rPr>
          <w:lang w:val="en-US"/>
        </w:rPr>
        <w:t xml:space="preserve"> of P1 in thin film exhibit</w:t>
      </w:r>
      <w:r>
        <w:rPr>
          <w:lang w:val="en-US"/>
        </w:rPr>
        <w:t>s</w:t>
      </w:r>
      <w:r w:rsidRPr="009C53D6">
        <w:rPr>
          <w:lang w:val="en-US"/>
        </w:rPr>
        <w:t xml:space="preserve"> a significant red shift compared to the</w:t>
      </w:r>
      <w:r>
        <w:rPr>
          <w:lang w:val="en-US"/>
        </w:rPr>
        <w:t xml:space="preserve"> spectrum in</w:t>
      </w:r>
      <w:r w:rsidRPr="009C53D6">
        <w:rPr>
          <w:lang w:val="en-US"/>
        </w:rPr>
        <w:t xml:space="preserve"> solution, with the primary absorption peak located at 427 nm. This observation suggests the presence of a more ordered structure and π</w:t>
      </w:r>
      <w:r>
        <w:rPr>
          <w:lang w:val="en-US"/>
        </w:rPr>
        <w:t>–</w:t>
      </w:r>
      <w:r w:rsidRPr="009C53D6">
        <w:rPr>
          <w:lang w:val="en-US"/>
        </w:rPr>
        <w:t>π stacking interactions in the solid state, contributing to enhanced charge mobility of the polymer in this state. Finally, the optical band gap (</w:t>
      </w:r>
      <w:proofErr w:type="spellStart"/>
      <w:r w:rsidRPr="00AC2BA3">
        <w:rPr>
          <w:i/>
          <w:iCs/>
          <w:lang w:val="en-US"/>
        </w:rPr>
        <w:t>E</w:t>
      </w:r>
      <w:r w:rsidRPr="00B93EE8">
        <w:rPr>
          <w:vertAlign w:val="subscript"/>
          <w:lang w:val="en-US"/>
        </w:rPr>
        <w:t>g</w:t>
      </w:r>
      <w:r w:rsidRPr="00B93EE8">
        <w:rPr>
          <w:vertAlign w:val="superscript"/>
          <w:lang w:val="en-US"/>
        </w:rPr>
        <w:t>opt</w:t>
      </w:r>
      <w:proofErr w:type="spellEnd"/>
      <w:r w:rsidRPr="009C53D6">
        <w:rPr>
          <w:lang w:val="en-US"/>
        </w:rPr>
        <w:t xml:space="preserve">) of wide-band P1 is determined to be 2.06 </w:t>
      </w:r>
      <w:proofErr w:type="spellStart"/>
      <w:r w:rsidRPr="009C53D6">
        <w:rPr>
          <w:lang w:val="en-US"/>
        </w:rPr>
        <w:t>eV</w:t>
      </w:r>
      <w:proofErr w:type="spellEnd"/>
      <w:r w:rsidRPr="009C53D6">
        <w:rPr>
          <w:lang w:val="en-US"/>
        </w:rPr>
        <w:t>.</w:t>
      </w:r>
    </w:p>
    <w:p w:rsidR="001704B0" w:rsidRPr="009C53D6" w:rsidRDefault="001704B0" w:rsidP="005827E1">
      <w:pPr>
        <w:pStyle w:val="Illustration"/>
        <w:rPr>
          <w:lang w:val="en-US"/>
        </w:rPr>
      </w:pPr>
    </w:p>
    <w:p w:rsidR="001704B0" w:rsidRPr="006E13B5" w:rsidRDefault="001704B0" w:rsidP="005827E1">
      <w:pPr>
        <w:pStyle w:val="IllustrationDescription"/>
      </w:pPr>
      <w:proofErr w:type="gramStart"/>
      <w:r w:rsidRPr="006E13B5">
        <w:rPr>
          <w:b/>
        </w:rPr>
        <w:t>Figure 1.</w:t>
      </w:r>
      <w:proofErr w:type="gramEnd"/>
      <w:r w:rsidRPr="006E13B5">
        <w:t xml:space="preserve"> </w:t>
      </w:r>
      <w:proofErr w:type="gramStart"/>
      <w:r w:rsidRPr="006E13B5">
        <w:t>Absorption spectra of P1 in СF and P1, PM6, Y6 in thin film.</w:t>
      </w:r>
      <w:proofErr w:type="gramEnd"/>
    </w:p>
    <w:p w:rsidR="001704B0" w:rsidRPr="009C53D6" w:rsidRDefault="001704B0" w:rsidP="005827E1">
      <w:pPr>
        <w:pStyle w:val="Text"/>
        <w:rPr>
          <w:lang w:val="en-US"/>
        </w:rPr>
      </w:pPr>
      <w:r w:rsidRPr="009C53D6">
        <w:rPr>
          <w:lang w:val="en-US"/>
        </w:rPr>
        <w:t xml:space="preserve">We fabricated the </w:t>
      </w:r>
      <w:r>
        <w:rPr>
          <w:lang w:val="en-US"/>
        </w:rPr>
        <w:t>b</w:t>
      </w:r>
      <w:r w:rsidRPr="007B6E58">
        <w:rPr>
          <w:lang w:val="en-US"/>
        </w:rPr>
        <w:t xml:space="preserve">ulk </w:t>
      </w:r>
      <w:proofErr w:type="spellStart"/>
      <w:r w:rsidRPr="007B6E58">
        <w:rPr>
          <w:lang w:val="en-US"/>
        </w:rPr>
        <w:t>heterojunction</w:t>
      </w:r>
      <w:proofErr w:type="spellEnd"/>
      <w:r>
        <w:rPr>
          <w:lang w:val="en-US"/>
        </w:rPr>
        <w:t xml:space="preserve"> (</w:t>
      </w:r>
      <w:r w:rsidRPr="009C53D6">
        <w:rPr>
          <w:lang w:val="en-US"/>
        </w:rPr>
        <w:t>BHJ</w:t>
      </w:r>
      <w:r>
        <w:rPr>
          <w:lang w:val="en-US"/>
        </w:rPr>
        <w:t>)</w:t>
      </w:r>
      <w:r w:rsidRPr="009C53D6">
        <w:rPr>
          <w:lang w:val="en-US"/>
        </w:rPr>
        <w:t xml:space="preserve"> </w:t>
      </w:r>
      <w:r w:rsidRPr="007B6E58">
        <w:rPr>
          <w:lang w:val="en-US"/>
        </w:rPr>
        <w:t>organic solar cells</w:t>
      </w:r>
      <w:r>
        <w:rPr>
          <w:lang w:val="en-US"/>
        </w:rPr>
        <w:t xml:space="preserve"> (</w:t>
      </w:r>
      <w:r w:rsidRPr="009C53D6">
        <w:rPr>
          <w:lang w:val="en-US"/>
        </w:rPr>
        <w:t>OSCs</w:t>
      </w:r>
      <w:r>
        <w:rPr>
          <w:lang w:val="en-US"/>
        </w:rPr>
        <w:t>)</w:t>
      </w:r>
      <w:r w:rsidRPr="009C53D6">
        <w:rPr>
          <w:lang w:val="en-US"/>
        </w:rPr>
        <w:t xml:space="preserve"> (ITO/PEDOT</w:t>
      </w:r>
      <w:proofErr w:type="gramStart"/>
      <w:r w:rsidRPr="009C53D6">
        <w:rPr>
          <w:lang w:val="en-US"/>
        </w:rPr>
        <w:t>:PSS</w:t>
      </w:r>
      <w:proofErr w:type="gramEnd"/>
      <w:r w:rsidRPr="009C53D6">
        <w:rPr>
          <w:lang w:val="en-US"/>
        </w:rPr>
        <w:t xml:space="preserve">/BHJ active layer/PFN-Br/Al), using P1 as the donor and Y6 as the acceptor and evaluated their photovoltaic performance in comparison to the PM6 donor under identical processing conditions. The optimized active layer was subjected to solvent vapor annealing by exposing it to </w:t>
      </w:r>
      <w:proofErr w:type="spellStart"/>
      <w:r w:rsidRPr="007B6E58">
        <w:rPr>
          <w:lang w:val="en-US"/>
        </w:rPr>
        <w:t>tetrahydrofuran</w:t>
      </w:r>
      <w:proofErr w:type="spellEnd"/>
      <w:r>
        <w:rPr>
          <w:lang w:val="en-US"/>
        </w:rPr>
        <w:t xml:space="preserve"> (</w:t>
      </w:r>
      <w:r w:rsidRPr="009C53D6">
        <w:rPr>
          <w:lang w:val="en-US"/>
        </w:rPr>
        <w:t>THF</w:t>
      </w:r>
      <w:r>
        <w:rPr>
          <w:lang w:val="en-US"/>
        </w:rPr>
        <w:t>)</w:t>
      </w:r>
      <w:r w:rsidRPr="009C53D6">
        <w:rPr>
          <w:lang w:val="en-US"/>
        </w:rPr>
        <w:t xml:space="preserve"> vapor</w:t>
      </w:r>
      <w:r>
        <w:rPr>
          <w:lang w:val="en-US"/>
        </w:rPr>
        <w:t>s</w:t>
      </w:r>
      <w:r w:rsidRPr="009C53D6">
        <w:rPr>
          <w:lang w:val="en-US"/>
        </w:rPr>
        <w:t xml:space="preserve"> for 40 s. The </w:t>
      </w:r>
      <w:r w:rsidRPr="004E6770">
        <w:rPr>
          <w:i/>
          <w:iCs/>
          <w:lang w:val="en-US"/>
        </w:rPr>
        <w:t>J</w:t>
      </w:r>
      <w:r>
        <w:rPr>
          <w:lang w:val="en-US"/>
        </w:rPr>
        <w:t>–</w:t>
      </w:r>
      <w:r w:rsidRPr="004E6770">
        <w:rPr>
          <w:i/>
          <w:iCs/>
          <w:lang w:val="en-US"/>
        </w:rPr>
        <w:t>V</w:t>
      </w:r>
      <w:r w:rsidRPr="009C53D6">
        <w:rPr>
          <w:lang w:val="en-US"/>
        </w:rPr>
        <w:t xml:space="preserve"> characteristics of the optimized OSCs are presented in Table 1.</w:t>
      </w:r>
    </w:p>
    <w:p w:rsidR="001704B0" w:rsidRPr="006E13B5" w:rsidRDefault="001704B0" w:rsidP="005827E1">
      <w:pPr>
        <w:pStyle w:val="TableDescription"/>
        <w:rPr>
          <w:lang w:val="en-US"/>
        </w:rPr>
      </w:pPr>
      <w:proofErr w:type="gramStart"/>
      <w:r w:rsidRPr="006E13B5">
        <w:rPr>
          <w:b/>
          <w:lang w:val="en-US"/>
        </w:rPr>
        <w:t>Table 1.</w:t>
      </w:r>
      <w:proofErr w:type="gramEnd"/>
      <w:r w:rsidRPr="006E13B5">
        <w:rPr>
          <w:lang w:val="en-US"/>
        </w:rPr>
        <w:t xml:space="preserve"> Photovoltaic parameters of the optimized binary and ternary OSCs</w:t>
      </w:r>
    </w:p>
    <w:tbl>
      <w:tblPr>
        <w:tblW w:w="0" w:type="auto"/>
        <w:jc w:val="center"/>
        <w:tblLook w:val="0000"/>
      </w:tblPr>
      <w:tblGrid>
        <w:gridCol w:w="1345"/>
        <w:gridCol w:w="1693"/>
        <w:gridCol w:w="1134"/>
        <w:gridCol w:w="1134"/>
        <w:gridCol w:w="1989"/>
      </w:tblGrid>
      <w:tr w:rsidR="00085A7C" w:rsidRPr="006E13B5" w:rsidTr="00085A7C">
        <w:trPr>
          <w:trHeight w:val="295"/>
          <w:jc w:val="center"/>
        </w:trPr>
        <w:tc>
          <w:tcPr>
            <w:tcW w:w="1345" w:type="dxa"/>
            <w:tcBorders>
              <w:top w:val="single" w:sz="4" w:space="0" w:color="auto"/>
              <w:bottom w:val="single" w:sz="4" w:space="0" w:color="auto"/>
            </w:tcBorders>
            <w:vAlign w:val="center"/>
          </w:tcPr>
          <w:p w:rsidR="001704B0" w:rsidRPr="006E13B5" w:rsidRDefault="001704B0" w:rsidP="005827E1">
            <w:pPr>
              <w:pStyle w:val="ArticleTable"/>
            </w:pPr>
            <w:r w:rsidRPr="006E13B5">
              <w:t>Device</w:t>
            </w:r>
          </w:p>
        </w:tc>
        <w:tc>
          <w:tcPr>
            <w:tcW w:w="1693" w:type="dxa"/>
            <w:tcBorders>
              <w:top w:val="single" w:sz="4" w:space="0" w:color="auto"/>
              <w:bottom w:val="single" w:sz="4" w:space="0" w:color="auto"/>
            </w:tcBorders>
            <w:vAlign w:val="center"/>
          </w:tcPr>
          <w:p w:rsidR="001704B0" w:rsidRPr="006E13B5" w:rsidRDefault="001704B0" w:rsidP="005827E1">
            <w:pPr>
              <w:pStyle w:val="ArticleTable"/>
            </w:pPr>
            <w:r w:rsidRPr="00321C23">
              <w:rPr>
                <w:i/>
                <w:iCs/>
              </w:rPr>
              <w:t>J</w:t>
            </w:r>
            <w:r w:rsidRPr="006E13B5">
              <w:rPr>
                <w:vertAlign w:val="subscript"/>
              </w:rPr>
              <w:t>SC</w:t>
            </w:r>
            <w:r w:rsidRPr="006E13B5">
              <w:t>, [</w:t>
            </w:r>
            <w:proofErr w:type="spellStart"/>
            <w:r w:rsidRPr="006E13B5">
              <w:t>mA</w:t>
            </w:r>
            <w:proofErr w:type="spellEnd"/>
            <w:r w:rsidRPr="006E13B5">
              <w:t>/cm</w:t>
            </w:r>
            <w:r w:rsidRPr="006E13B5">
              <w:rPr>
                <w:vertAlign w:val="superscript"/>
              </w:rPr>
              <w:t>2</w:t>
            </w:r>
            <w:r w:rsidRPr="006E13B5">
              <w:t>]</w:t>
            </w:r>
          </w:p>
        </w:tc>
        <w:tc>
          <w:tcPr>
            <w:tcW w:w="1134" w:type="dxa"/>
            <w:tcBorders>
              <w:top w:val="single" w:sz="4" w:space="0" w:color="auto"/>
              <w:bottom w:val="single" w:sz="4" w:space="0" w:color="auto"/>
            </w:tcBorders>
            <w:vAlign w:val="center"/>
          </w:tcPr>
          <w:p w:rsidR="001704B0" w:rsidRPr="006E13B5" w:rsidRDefault="001704B0" w:rsidP="005827E1">
            <w:pPr>
              <w:pStyle w:val="ArticleTable"/>
            </w:pPr>
            <w:r w:rsidRPr="00321C23">
              <w:rPr>
                <w:i/>
                <w:iCs/>
              </w:rPr>
              <w:t>V</w:t>
            </w:r>
            <w:r w:rsidRPr="006E13B5">
              <w:rPr>
                <w:vertAlign w:val="subscript"/>
              </w:rPr>
              <w:t>OC</w:t>
            </w:r>
            <w:r w:rsidRPr="006E13B5">
              <w:t>, [V]</w:t>
            </w:r>
          </w:p>
        </w:tc>
        <w:tc>
          <w:tcPr>
            <w:tcW w:w="1134" w:type="dxa"/>
            <w:tcBorders>
              <w:top w:val="single" w:sz="4" w:space="0" w:color="auto"/>
              <w:bottom w:val="single" w:sz="4" w:space="0" w:color="auto"/>
            </w:tcBorders>
            <w:vAlign w:val="center"/>
          </w:tcPr>
          <w:p w:rsidR="001704B0" w:rsidRPr="006E13B5" w:rsidRDefault="001704B0" w:rsidP="005827E1">
            <w:pPr>
              <w:pStyle w:val="ArticleTable"/>
            </w:pPr>
            <w:r w:rsidRPr="006E13B5">
              <w:t>FF</w:t>
            </w:r>
          </w:p>
        </w:tc>
        <w:tc>
          <w:tcPr>
            <w:tcW w:w="1989" w:type="dxa"/>
            <w:tcBorders>
              <w:top w:val="single" w:sz="4" w:space="0" w:color="auto"/>
              <w:bottom w:val="single" w:sz="4" w:space="0" w:color="auto"/>
            </w:tcBorders>
            <w:vAlign w:val="center"/>
          </w:tcPr>
          <w:p w:rsidR="001704B0" w:rsidRPr="006E13B5" w:rsidRDefault="001704B0" w:rsidP="005827E1">
            <w:pPr>
              <w:pStyle w:val="ArticleTable"/>
            </w:pPr>
            <w:r w:rsidRPr="006E13B5">
              <w:t>PCE, [%]</w:t>
            </w:r>
          </w:p>
        </w:tc>
      </w:tr>
      <w:tr w:rsidR="00085A7C" w:rsidRPr="006E13B5" w:rsidTr="00085A7C">
        <w:trPr>
          <w:trHeight w:val="227"/>
          <w:jc w:val="center"/>
        </w:trPr>
        <w:tc>
          <w:tcPr>
            <w:tcW w:w="1345" w:type="dxa"/>
            <w:tcBorders>
              <w:top w:val="single" w:sz="4" w:space="0" w:color="auto"/>
            </w:tcBorders>
            <w:vAlign w:val="center"/>
          </w:tcPr>
          <w:p w:rsidR="001704B0" w:rsidRPr="006E13B5" w:rsidRDefault="001704B0" w:rsidP="005827E1">
            <w:pPr>
              <w:pStyle w:val="ArticleTable"/>
            </w:pPr>
            <w:r w:rsidRPr="006E13B5">
              <w:t>P1:Y6</w:t>
            </w:r>
          </w:p>
        </w:tc>
        <w:tc>
          <w:tcPr>
            <w:tcW w:w="1693" w:type="dxa"/>
            <w:tcBorders>
              <w:top w:val="single" w:sz="4" w:space="0" w:color="auto"/>
            </w:tcBorders>
            <w:vAlign w:val="center"/>
          </w:tcPr>
          <w:p w:rsidR="001704B0" w:rsidRPr="006E13B5" w:rsidRDefault="001704B0" w:rsidP="005827E1">
            <w:pPr>
              <w:pStyle w:val="ArticleTable"/>
            </w:pPr>
            <w:r w:rsidRPr="006E13B5">
              <w:t>21.54 (21.29)</w:t>
            </w:r>
            <w:r w:rsidRPr="006E13B5">
              <w:rPr>
                <w:b/>
                <w:bCs/>
                <w:i/>
                <w:iCs/>
                <w:vertAlign w:val="superscript"/>
              </w:rPr>
              <w:t>a</w:t>
            </w:r>
          </w:p>
        </w:tc>
        <w:tc>
          <w:tcPr>
            <w:tcW w:w="1134" w:type="dxa"/>
            <w:tcBorders>
              <w:top w:val="single" w:sz="4" w:space="0" w:color="auto"/>
            </w:tcBorders>
            <w:vAlign w:val="center"/>
          </w:tcPr>
          <w:p w:rsidR="001704B0" w:rsidRPr="006E13B5" w:rsidRDefault="001704B0" w:rsidP="005827E1">
            <w:pPr>
              <w:pStyle w:val="ArticleTable"/>
            </w:pPr>
            <w:r w:rsidRPr="006E13B5">
              <w:t>0.957</w:t>
            </w:r>
          </w:p>
        </w:tc>
        <w:tc>
          <w:tcPr>
            <w:tcW w:w="1134" w:type="dxa"/>
            <w:tcBorders>
              <w:top w:val="single" w:sz="4" w:space="0" w:color="auto"/>
            </w:tcBorders>
            <w:vAlign w:val="center"/>
          </w:tcPr>
          <w:p w:rsidR="001704B0" w:rsidRPr="006E13B5" w:rsidRDefault="001704B0" w:rsidP="005827E1">
            <w:pPr>
              <w:pStyle w:val="ArticleTable"/>
            </w:pPr>
            <w:r w:rsidRPr="006E13B5">
              <w:t>0.654</w:t>
            </w:r>
          </w:p>
        </w:tc>
        <w:tc>
          <w:tcPr>
            <w:tcW w:w="1989" w:type="dxa"/>
            <w:tcBorders>
              <w:top w:val="single" w:sz="4" w:space="0" w:color="auto"/>
            </w:tcBorders>
            <w:vAlign w:val="center"/>
          </w:tcPr>
          <w:p w:rsidR="001704B0" w:rsidRPr="006E13B5" w:rsidRDefault="001704B0" w:rsidP="005827E1">
            <w:pPr>
              <w:pStyle w:val="ArticleTable"/>
            </w:pPr>
            <w:r w:rsidRPr="006E13B5">
              <w:t>13.48</w:t>
            </w:r>
            <w:r>
              <w:t xml:space="preserve"> </w:t>
            </w:r>
            <w:r w:rsidRPr="006E13B5">
              <w:t>(13.23)</w:t>
            </w:r>
            <w:r w:rsidRPr="006E13B5">
              <w:rPr>
                <w:b/>
                <w:bCs/>
                <w:i/>
                <w:iCs/>
                <w:vertAlign w:val="superscript"/>
              </w:rPr>
              <w:t>b</w:t>
            </w:r>
          </w:p>
        </w:tc>
      </w:tr>
      <w:tr w:rsidR="00085A7C" w:rsidRPr="006E13B5" w:rsidTr="00085A7C">
        <w:trPr>
          <w:trHeight w:val="227"/>
          <w:jc w:val="center"/>
        </w:trPr>
        <w:tc>
          <w:tcPr>
            <w:tcW w:w="1345" w:type="dxa"/>
            <w:vAlign w:val="center"/>
          </w:tcPr>
          <w:p w:rsidR="001704B0" w:rsidRPr="006E13B5" w:rsidRDefault="001704B0" w:rsidP="005827E1">
            <w:pPr>
              <w:pStyle w:val="ArticleTable"/>
            </w:pPr>
            <w:r w:rsidRPr="006E13B5">
              <w:t>PM6:Y6</w:t>
            </w:r>
          </w:p>
        </w:tc>
        <w:tc>
          <w:tcPr>
            <w:tcW w:w="1693" w:type="dxa"/>
            <w:vAlign w:val="center"/>
          </w:tcPr>
          <w:p w:rsidR="001704B0" w:rsidRPr="006E13B5" w:rsidRDefault="001704B0" w:rsidP="005827E1">
            <w:pPr>
              <w:pStyle w:val="ArticleTable"/>
            </w:pPr>
            <w:r w:rsidRPr="006E13B5">
              <w:t>24.62 (24.39)</w:t>
            </w:r>
            <w:r w:rsidRPr="006E13B5">
              <w:rPr>
                <w:b/>
                <w:bCs/>
                <w:i/>
                <w:iCs/>
                <w:vertAlign w:val="superscript"/>
              </w:rPr>
              <w:t>a</w:t>
            </w:r>
          </w:p>
        </w:tc>
        <w:tc>
          <w:tcPr>
            <w:tcW w:w="1134" w:type="dxa"/>
            <w:vAlign w:val="center"/>
          </w:tcPr>
          <w:p w:rsidR="001704B0" w:rsidRPr="006E13B5" w:rsidRDefault="001704B0" w:rsidP="005827E1">
            <w:pPr>
              <w:pStyle w:val="ArticleTable"/>
            </w:pPr>
            <w:r w:rsidRPr="006E13B5">
              <w:t>0.840</w:t>
            </w:r>
          </w:p>
        </w:tc>
        <w:tc>
          <w:tcPr>
            <w:tcW w:w="1134" w:type="dxa"/>
            <w:vAlign w:val="center"/>
          </w:tcPr>
          <w:p w:rsidR="001704B0" w:rsidRPr="006E13B5" w:rsidRDefault="001704B0" w:rsidP="005827E1">
            <w:pPr>
              <w:pStyle w:val="ArticleTable"/>
            </w:pPr>
            <w:r w:rsidRPr="006E13B5">
              <w:t>0.716</w:t>
            </w:r>
          </w:p>
        </w:tc>
        <w:tc>
          <w:tcPr>
            <w:tcW w:w="1989" w:type="dxa"/>
            <w:vAlign w:val="center"/>
          </w:tcPr>
          <w:p w:rsidR="001704B0" w:rsidRPr="006E13B5" w:rsidRDefault="001704B0" w:rsidP="005827E1">
            <w:pPr>
              <w:pStyle w:val="ArticleTable"/>
            </w:pPr>
            <w:r w:rsidRPr="006E13B5">
              <w:t>14.81</w:t>
            </w:r>
            <w:r>
              <w:t xml:space="preserve"> </w:t>
            </w:r>
            <w:r w:rsidRPr="006E13B5">
              <w:t>(14.54)</w:t>
            </w:r>
            <w:r w:rsidRPr="006E13B5">
              <w:rPr>
                <w:b/>
                <w:bCs/>
                <w:i/>
                <w:iCs/>
                <w:vertAlign w:val="superscript"/>
              </w:rPr>
              <w:t>b</w:t>
            </w:r>
          </w:p>
        </w:tc>
      </w:tr>
      <w:tr w:rsidR="00085A7C" w:rsidRPr="006E13B5" w:rsidTr="00085A7C">
        <w:trPr>
          <w:trHeight w:val="227"/>
          <w:jc w:val="center"/>
        </w:trPr>
        <w:tc>
          <w:tcPr>
            <w:tcW w:w="1345" w:type="dxa"/>
            <w:tcBorders>
              <w:bottom w:val="single" w:sz="4" w:space="0" w:color="auto"/>
            </w:tcBorders>
            <w:vAlign w:val="center"/>
          </w:tcPr>
          <w:p w:rsidR="001704B0" w:rsidRPr="006E13B5" w:rsidRDefault="001704B0" w:rsidP="005827E1">
            <w:pPr>
              <w:pStyle w:val="ArticleTable"/>
            </w:pPr>
            <w:r w:rsidRPr="006E13B5">
              <w:t>PM6:P1:Y6</w:t>
            </w:r>
          </w:p>
        </w:tc>
        <w:tc>
          <w:tcPr>
            <w:tcW w:w="1693" w:type="dxa"/>
            <w:tcBorders>
              <w:bottom w:val="single" w:sz="4" w:space="0" w:color="auto"/>
            </w:tcBorders>
            <w:vAlign w:val="center"/>
          </w:tcPr>
          <w:p w:rsidR="001704B0" w:rsidRPr="006E13B5" w:rsidRDefault="001704B0" w:rsidP="005827E1">
            <w:pPr>
              <w:pStyle w:val="ArticleTable"/>
            </w:pPr>
            <w:r w:rsidRPr="006E13B5">
              <w:t>25.74 (25.52)</w:t>
            </w:r>
            <w:r w:rsidRPr="006E13B5">
              <w:rPr>
                <w:b/>
                <w:bCs/>
                <w:i/>
                <w:iCs/>
                <w:vertAlign w:val="superscript"/>
              </w:rPr>
              <w:t>a</w:t>
            </w:r>
          </w:p>
        </w:tc>
        <w:tc>
          <w:tcPr>
            <w:tcW w:w="1134" w:type="dxa"/>
            <w:tcBorders>
              <w:bottom w:val="single" w:sz="4" w:space="0" w:color="auto"/>
            </w:tcBorders>
            <w:vAlign w:val="center"/>
          </w:tcPr>
          <w:p w:rsidR="001704B0" w:rsidRPr="006E13B5" w:rsidRDefault="001704B0" w:rsidP="005827E1">
            <w:pPr>
              <w:pStyle w:val="ArticleTable"/>
            </w:pPr>
            <w:r w:rsidRPr="006E13B5">
              <w:t>0.908</w:t>
            </w:r>
          </w:p>
        </w:tc>
        <w:tc>
          <w:tcPr>
            <w:tcW w:w="1134" w:type="dxa"/>
            <w:tcBorders>
              <w:bottom w:val="single" w:sz="4" w:space="0" w:color="auto"/>
            </w:tcBorders>
            <w:vAlign w:val="center"/>
          </w:tcPr>
          <w:p w:rsidR="001704B0" w:rsidRPr="006E13B5" w:rsidRDefault="001704B0" w:rsidP="005827E1">
            <w:pPr>
              <w:pStyle w:val="ArticleTable"/>
            </w:pPr>
            <w:r w:rsidRPr="006E13B5">
              <w:t>0.732</w:t>
            </w:r>
          </w:p>
        </w:tc>
        <w:tc>
          <w:tcPr>
            <w:tcW w:w="1989" w:type="dxa"/>
            <w:tcBorders>
              <w:bottom w:val="single" w:sz="4" w:space="0" w:color="auto"/>
            </w:tcBorders>
            <w:vAlign w:val="center"/>
          </w:tcPr>
          <w:p w:rsidR="001704B0" w:rsidRPr="006E13B5" w:rsidRDefault="001704B0" w:rsidP="005827E1">
            <w:pPr>
              <w:pStyle w:val="ArticleTable"/>
            </w:pPr>
            <w:r w:rsidRPr="006E13B5">
              <w:t>17.11</w:t>
            </w:r>
            <w:r>
              <w:t xml:space="preserve"> </w:t>
            </w:r>
            <w:r w:rsidRPr="006E13B5">
              <w:t>(16.87)</w:t>
            </w:r>
            <w:r w:rsidRPr="006E13B5">
              <w:rPr>
                <w:b/>
                <w:bCs/>
                <w:i/>
                <w:iCs/>
                <w:vertAlign w:val="superscript"/>
              </w:rPr>
              <w:t>b</w:t>
            </w:r>
          </w:p>
        </w:tc>
      </w:tr>
      <w:tr w:rsidR="005827E1" w:rsidRPr="00D90692" w:rsidTr="00085A7C">
        <w:trPr>
          <w:trHeight w:val="227"/>
          <w:jc w:val="center"/>
        </w:trPr>
        <w:tc>
          <w:tcPr>
            <w:tcW w:w="7295" w:type="dxa"/>
            <w:gridSpan w:val="5"/>
            <w:tcBorders>
              <w:top w:val="single" w:sz="4" w:space="0" w:color="auto"/>
            </w:tcBorders>
            <w:vAlign w:val="center"/>
          </w:tcPr>
          <w:p w:rsidR="005827E1" w:rsidRPr="005827E1" w:rsidRDefault="005827E1" w:rsidP="005827E1">
            <w:pPr>
              <w:pStyle w:val="ArticleTableLegend"/>
            </w:pPr>
            <w:r w:rsidRPr="005827E1">
              <w:rPr>
                <w:b/>
                <w:i/>
                <w:vertAlign w:val="superscript"/>
              </w:rPr>
              <w:t>a</w:t>
            </w:r>
            <w:r w:rsidRPr="005827E1">
              <w:t xml:space="preserve"> estimated from the integration of external quantum efficiency (EQE) spectra;</w:t>
            </w:r>
            <w:r w:rsidR="003A3ACE">
              <w:br/>
            </w:r>
            <w:r w:rsidRPr="005827E1">
              <w:rPr>
                <w:b/>
                <w:i/>
                <w:vertAlign w:val="superscript"/>
              </w:rPr>
              <w:t>b</w:t>
            </w:r>
            <w:r w:rsidRPr="005827E1">
              <w:t xml:space="preserve"> average of eight identical devices; </w:t>
            </w:r>
            <w:r w:rsidRPr="005827E1">
              <w:rPr>
                <w:i/>
              </w:rPr>
              <w:t>J</w:t>
            </w:r>
            <w:r w:rsidRPr="005827E1">
              <w:rPr>
                <w:vertAlign w:val="subscript"/>
              </w:rPr>
              <w:t>SC</w:t>
            </w:r>
            <w:r w:rsidRPr="005827E1">
              <w:t xml:space="preserve"> is the short circuit current; </w:t>
            </w:r>
            <w:r w:rsidRPr="005827E1">
              <w:rPr>
                <w:i/>
              </w:rPr>
              <w:t>V</w:t>
            </w:r>
            <w:r w:rsidRPr="005827E1">
              <w:rPr>
                <w:vertAlign w:val="subscript"/>
              </w:rPr>
              <w:t>OC</w:t>
            </w:r>
            <w:r w:rsidRPr="005827E1">
              <w:t xml:space="preserve"> is the open circuit voltage; FF is the fill factor; PCE is the power conversion efficiency.</w:t>
            </w:r>
          </w:p>
        </w:tc>
      </w:tr>
    </w:tbl>
    <w:p w:rsidR="001704B0" w:rsidRDefault="001704B0" w:rsidP="005827E1">
      <w:pPr>
        <w:pStyle w:val="Text"/>
        <w:spacing w:before="200"/>
        <w:rPr>
          <w:lang w:val="en-US"/>
        </w:rPr>
      </w:pPr>
      <w:r w:rsidRPr="009C53D6">
        <w:rPr>
          <w:lang w:val="en-US"/>
        </w:rPr>
        <w:t xml:space="preserve">The optimized OSCs based on PM6:Y6 and P1:Y6 achieved PCEs of 13.48 and 14.81%, respectively. The </w:t>
      </w:r>
      <w:r>
        <w:rPr>
          <w:lang w:val="en-US"/>
        </w:rPr>
        <w:t xml:space="preserve">value of </w:t>
      </w:r>
      <w:r w:rsidRPr="00ED12FE">
        <w:rPr>
          <w:i/>
          <w:iCs/>
          <w:lang w:val="en-US"/>
        </w:rPr>
        <w:t>V</w:t>
      </w:r>
      <w:r w:rsidRPr="00896514">
        <w:rPr>
          <w:vertAlign w:val="subscript"/>
          <w:lang w:val="en-US"/>
        </w:rPr>
        <w:t>OC</w:t>
      </w:r>
      <w:r w:rsidRPr="009C53D6">
        <w:rPr>
          <w:lang w:val="en-US"/>
        </w:rPr>
        <w:t xml:space="preserve"> </w:t>
      </w:r>
      <w:r>
        <w:rPr>
          <w:lang w:val="en-US"/>
        </w:rPr>
        <w:t>of</w:t>
      </w:r>
      <w:r w:rsidRPr="009C53D6">
        <w:rPr>
          <w:lang w:val="en-US"/>
        </w:rPr>
        <w:t xml:space="preserve"> P1-based OSCs (0.957 V) surpassed that of its PM6 counterpart (0.84 V) due to </w:t>
      </w:r>
      <w:r>
        <w:rPr>
          <w:lang w:val="en-US"/>
        </w:rPr>
        <w:t xml:space="preserve">a </w:t>
      </w:r>
      <w:r w:rsidRPr="009C53D6">
        <w:rPr>
          <w:lang w:val="en-US"/>
        </w:rPr>
        <w:t xml:space="preserve">deeper </w:t>
      </w:r>
      <w:r w:rsidRPr="00BD4ABC">
        <w:rPr>
          <w:lang w:val="en-US"/>
        </w:rPr>
        <w:t>highest occupied molecular orbital (</w:t>
      </w:r>
      <w:r w:rsidRPr="009C53D6">
        <w:rPr>
          <w:lang w:val="en-US"/>
        </w:rPr>
        <w:t>HOMO</w:t>
      </w:r>
      <w:r w:rsidRPr="00BD4ABC">
        <w:rPr>
          <w:lang w:val="en-US"/>
        </w:rPr>
        <w:t>)</w:t>
      </w:r>
      <w:r w:rsidRPr="009C53D6">
        <w:rPr>
          <w:lang w:val="en-US"/>
        </w:rPr>
        <w:t xml:space="preserve"> energy level </w:t>
      </w:r>
      <w:r>
        <w:rPr>
          <w:lang w:val="en-US"/>
        </w:rPr>
        <w:t xml:space="preserve">of </w:t>
      </w:r>
      <w:r w:rsidRPr="009C53D6">
        <w:rPr>
          <w:lang w:val="en-US"/>
        </w:rPr>
        <w:t xml:space="preserve">P1 relative to PM6. This variation in </w:t>
      </w:r>
      <w:r>
        <w:rPr>
          <w:lang w:val="en-US"/>
        </w:rPr>
        <w:t xml:space="preserve">the values of </w:t>
      </w:r>
      <w:r w:rsidRPr="00ED12FE">
        <w:rPr>
          <w:i/>
          <w:iCs/>
          <w:lang w:val="en-US"/>
        </w:rPr>
        <w:t>V</w:t>
      </w:r>
      <w:r w:rsidRPr="00896514">
        <w:rPr>
          <w:vertAlign w:val="subscript"/>
          <w:lang w:val="en-US"/>
        </w:rPr>
        <w:t>OC</w:t>
      </w:r>
      <w:r w:rsidRPr="009C53D6">
        <w:rPr>
          <w:lang w:val="en-US"/>
        </w:rPr>
        <w:t xml:space="preserve"> for </w:t>
      </w:r>
      <w:r>
        <w:rPr>
          <w:lang w:val="en-US"/>
        </w:rPr>
        <w:t xml:space="preserve">the </w:t>
      </w:r>
      <w:r w:rsidRPr="009C53D6">
        <w:rPr>
          <w:lang w:val="en-US"/>
        </w:rPr>
        <w:t>active layer-based OSCs reflects the energy differen</w:t>
      </w:r>
      <w:r>
        <w:rPr>
          <w:lang w:val="en-US"/>
        </w:rPr>
        <w:t>ce</w:t>
      </w:r>
      <w:r w:rsidRPr="009C53D6">
        <w:rPr>
          <w:lang w:val="en-US"/>
        </w:rPr>
        <w:t xml:space="preserve"> between the acceptor </w:t>
      </w:r>
      <w:r w:rsidRPr="00485891">
        <w:rPr>
          <w:lang w:val="en-US"/>
        </w:rPr>
        <w:t>lowest unoccupied molecular orbital (</w:t>
      </w:r>
      <w:r w:rsidRPr="009C53D6">
        <w:rPr>
          <w:lang w:val="en-US"/>
        </w:rPr>
        <w:t>LUMO</w:t>
      </w:r>
      <w:r w:rsidRPr="00485891">
        <w:rPr>
          <w:lang w:val="en-US"/>
        </w:rPr>
        <w:t>)</w:t>
      </w:r>
      <w:r w:rsidRPr="009C53D6">
        <w:rPr>
          <w:lang w:val="en-US"/>
        </w:rPr>
        <w:t xml:space="preserve"> and the donor HOMO. The higher value </w:t>
      </w:r>
      <w:r>
        <w:rPr>
          <w:lang w:val="en-US"/>
        </w:rPr>
        <w:t xml:space="preserve">of </w:t>
      </w:r>
      <w:r w:rsidRPr="00ED12FE">
        <w:rPr>
          <w:i/>
          <w:iCs/>
          <w:lang w:val="en-US"/>
        </w:rPr>
        <w:t>J</w:t>
      </w:r>
      <w:r w:rsidRPr="00896514">
        <w:rPr>
          <w:vertAlign w:val="subscript"/>
          <w:lang w:val="en-US"/>
        </w:rPr>
        <w:t>SC</w:t>
      </w:r>
      <w:r w:rsidRPr="009C53D6">
        <w:rPr>
          <w:lang w:val="en-US"/>
        </w:rPr>
        <w:t xml:space="preserve"> for </w:t>
      </w:r>
      <w:r>
        <w:rPr>
          <w:lang w:val="en-US"/>
        </w:rPr>
        <w:t xml:space="preserve">the </w:t>
      </w:r>
      <w:r w:rsidRPr="009C53D6">
        <w:rPr>
          <w:lang w:val="en-US"/>
        </w:rPr>
        <w:t xml:space="preserve">PM6-based OSCs, in contrast to P1, arises from the efficient dissociation of </w:t>
      </w:r>
      <w:proofErr w:type="spellStart"/>
      <w:r w:rsidRPr="009C53D6">
        <w:rPr>
          <w:lang w:val="en-US"/>
        </w:rPr>
        <w:t>excitons</w:t>
      </w:r>
      <w:proofErr w:type="spellEnd"/>
      <w:r w:rsidRPr="009C53D6">
        <w:rPr>
          <w:lang w:val="en-US"/>
        </w:rPr>
        <w:t xml:space="preserve"> at the PM6/Y6 interfaces, substantiated by the more effective </w:t>
      </w:r>
      <w:r w:rsidRPr="002C2E7B">
        <w:rPr>
          <w:lang w:val="en-US"/>
        </w:rPr>
        <w:t>photoluminescence (</w:t>
      </w:r>
      <w:r w:rsidRPr="009C53D6">
        <w:rPr>
          <w:lang w:val="en-US"/>
        </w:rPr>
        <w:t>PL</w:t>
      </w:r>
      <w:r w:rsidRPr="002C2E7B">
        <w:rPr>
          <w:lang w:val="en-US"/>
        </w:rPr>
        <w:t>)</w:t>
      </w:r>
      <w:r w:rsidRPr="009C53D6">
        <w:rPr>
          <w:lang w:val="en-US"/>
        </w:rPr>
        <w:t xml:space="preserve"> quenching of Y6 for Y6:PM6 relative to Y6:P1. The optimized ternary OSC exhibits a PCE of approximately 17.11%, surpassing that of its binary counterparts</w:t>
      </w:r>
      <w:r>
        <w:rPr>
          <w:lang w:val="en-US"/>
        </w:rPr>
        <w:t xml:space="preserve"> owing</w:t>
      </w:r>
      <w:r w:rsidRPr="009C53D6">
        <w:rPr>
          <w:lang w:val="en-US"/>
        </w:rPr>
        <w:t xml:space="preserve"> to </w:t>
      </w:r>
      <w:r>
        <w:rPr>
          <w:lang w:val="en-US"/>
        </w:rPr>
        <w:t xml:space="preserve">the </w:t>
      </w:r>
      <w:r w:rsidRPr="009C53D6">
        <w:rPr>
          <w:lang w:val="en-US"/>
        </w:rPr>
        <w:t xml:space="preserve">increased </w:t>
      </w:r>
      <w:r w:rsidRPr="00ED12FE">
        <w:rPr>
          <w:i/>
          <w:iCs/>
          <w:lang w:val="en-US"/>
        </w:rPr>
        <w:t>J</w:t>
      </w:r>
      <w:r w:rsidRPr="00896514">
        <w:rPr>
          <w:vertAlign w:val="subscript"/>
          <w:lang w:val="en-US"/>
        </w:rPr>
        <w:t>SC</w:t>
      </w:r>
      <w:r w:rsidRPr="009C53D6">
        <w:rPr>
          <w:lang w:val="en-US"/>
        </w:rPr>
        <w:t xml:space="preserve"> and FF values.</w:t>
      </w:r>
    </w:p>
    <w:p w:rsidR="001704B0" w:rsidRDefault="001704B0" w:rsidP="00085A7C">
      <w:pPr>
        <w:pStyle w:val="MainHeader"/>
      </w:pPr>
      <w:r w:rsidRPr="00875175">
        <w:t>Conclusions</w:t>
      </w:r>
    </w:p>
    <w:p w:rsidR="001704B0" w:rsidRDefault="001704B0" w:rsidP="00085A7C">
      <w:pPr>
        <w:pStyle w:val="Text"/>
        <w:rPr>
          <w:lang w:val="en-US"/>
        </w:rPr>
      </w:pPr>
      <w:r w:rsidRPr="00896514">
        <w:rPr>
          <w:lang w:val="en-US"/>
        </w:rPr>
        <w:lastRenderedPageBreak/>
        <w:t xml:space="preserve">We developed a new </w:t>
      </w:r>
      <w:r w:rsidRPr="009A49EA">
        <w:rPr>
          <w:lang w:val="en-US"/>
        </w:rPr>
        <w:t>donor</w:t>
      </w:r>
      <w:r>
        <w:rPr>
          <w:lang w:val="en-US"/>
        </w:rPr>
        <w:t>-</w:t>
      </w:r>
      <w:r w:rsidRPr="009A49EA">
        <w:rPr>
          <w:lang w:val="en-US"/>
        </w:rPr>
        <w:t>acceptor (</w:t>
      </w:r>
      <w:r w:rsidRPr="00896514">
        <w:rPr>
          <w:lang w:val="en-US"/>
        </w:rPr>
        <w:t>D-A</w:t>
      </w:r>
      <w:r w:rsidRPr="009A49EA">
        <w:rPr>
          <w:lang w:val="en-US"/>
        </w:rPr>
        <w:t>)</w:t>
      </w:r>
      <w:r w:rsidRPr="00896514">
        <w:rPr>
          <w:lang w:val="en-US"/>
        </w:rPr>
        <w:t xml:space="preserve"> copolymer, P1, which demonstrates a deeper HOMO</w:t>
      </w:r>
      <w:r>
        <w:rPr>
          <w:lang w:val="en-US"/>
        </w:rPr>
        <w:t xml:space="preserve"> level</w:t>
      </w:r>
      <w:r w:rsidRPr="00896514">
        <w:rPr>
          <w:lang w:val="en-US"/>
        </w:rPr>
        <w:t xml:space="preserve"> and a larger dipole moment compared to PM6. Although the optimized P1:Y6 active layer-based OSCs exhibited a PCE of 13.38%, lower than that of the PM6 counterpart (14.81%), the P1-based OSC showcased a higher </w:t>
      </w:r>
      <w:r>
        <w:rPr>
          <w:lang w:val="en-US"/>
        </w:rPr>
        <w:t xml:space="preserve">value of </w:t>
      </w:r>
      <w:r w:rsidRPr="00ED12FE">
        <w:rPr>
          <w:i/>
          <w:iCs/>
          <w:lang w:val="en-US"/>
        </w:rPr>
        <w:t>V</w:t>
      </w:r>
      <w:r w:rsidRPr="00896514">
        <w:rPr>
          <w:vertAlign w:val="subscript"/>
          <w:lang w:val="en-US"/>
        </w:rPr>
        <w:t>OC</w:t>
      </w:r>
      <w:r w:rsidRPr="00896514">
        <w:rPr>
          <w:lang w:val="en-US"/>
        </w:rPr>
        <w:t xml:space="preserve">, attributed to its deeper HOMO energy level. Leveraging the higher </w:t>
      </w:r>
      <w:r w:rsidRPr="00ED12FE">
        <w:rPr>
          <w:i/>
          <w:iCs/>
          <w:lang w:val="en-US"/>
        </w:rPr>
        <w:t>V</w:t>
      </w:r>
      <w:r w:rsidRPr="00896514">
        <w:rPr>
          <w:vertAlign w:val="subscript"/>
          <w:lang w:val="en-US"/>
        </w:rPr>
        <w:t>OC</w:t>
      </w:r>
      <w:r w:rsidRPr="00896514">
        <w:rPr>
          <w:lang w:val="en-US"/>
        </w:rPr>
        <w:t xml:space="preserve"> for the P1-based device and the complementary absorption spectra of P1 and PM6, the ternary OSC based on the P1:PM6:Y6 (0.2:0.8:1.2) active layer achieved an overall PCE of 17.11%, surpassing that for binary counterparts.</w:t>
      </w:r>
      <w:r>
        <w:rPr>
          <w:lang w:val="en-US"/>
        </w:rPr>
        <w:t xml:space="preserve"> An</w:t>
      </w:r>
      <w:r w:rsidRPr="00896514">
        <w:rPr>
          <w:lang w:val="en-US"/>
        </w:rPr>
        <w:t xml:space="preserve"> increase in </w:t>
      </w:r>
      <w:r>
        <w:rPr>
          <w:lang w:val="en-US"/>
        </w:rPr>
        <w:t xml:space="preserve">the values of </w:t>
      </w:r>
      <w:r w:rsidRPr="00ED12FE">
        <w:rPr>
          <w:i/>
          <w:iCs/>
          <w:lang w:val="en-US"/>
        </w:rPr>
        <w:t>J</w:t>
      </w:r>
      <w:r w:rsidRPr="00896514">
        <w:rPr>
          <w:vertAlign w:val="subscript"/>
          <w:lang w:val="en-US"/>
        </w:rPr>
        <w:t>SC</w:t>
      </w:r>
      <w:r w:rsidRPr="00896514">
        <w:rPr>
          <w:lang w:val="en-US"/>
        </w:rPr>
        <w:t xml:space="preserve"> and FF for the ternary OSC is attributed to the higher </w:t>
      </w:r>
      <w:proofErr w:type="spellStart"/>
      <w:r w:rsidRPr="00896514">
        <w:rPr>
          <w:lang w:val="en-US"/>
        </w:rPr>
        <w:t>exciton</w:t>
      </w:r>
      <w:proofErr w:type="spellEnd"/>
      <w:r w:rsidRPr="00896514">
        <w:rPr>
          <w:lang w:val="en-US"/>
        </w:rPr>
        <w:t xml:space="preserve"> generation and</w:t>
      </w:r>
      <w:r>
        <w:rPr>
          <w:lang w:val="en-US"/>
        </w:rPr>
        <w:t xml:space="preserve"> </w:t>
      </w:r>
      <w:r w:rsidRPr="00896514">
        <w:rPr>
          <w:lang w:val="en-US"/>
        </w:rPr>
        <w:t>their more effective dissociation into free charge carriers owing to the appropriate phase separation and morphology of the ternary active layer.</w:t>
      </w:r>
    </w:p>
    <w:p w:rsidR="001704B0" w:rsidRPr="00B77A6C" w:rsidRDefault="001704B0" w:rsidP="00085A7C">
      <w:pPr>
        <w:pStyle w:val="MainHeader"/>
      </w:pPr>
      <w:r w:rsidRPr="00B77A6C">
        <w:t>Acknowledgements</w:t>
      </w:r>
    </w:p>
    <w:p w:rsidR="001704B0" w:rsidRPr="007B0653" w:rsidRDefault="001704B0" w:rsidP="00085A7C">
      <w:pPr>
        <w:pStyle w:val="Text"/>
        <w:rPr>
          <w:lang w:val="en-US"/>
        </w:rPr>
      </w:pPr>
      <w:r w:rsidRPr="007B0653">
        <w:rPr>
          <w:lang w:val="en-US"/>
        </w:rPr>
        <w:t>This work was supported by the Russian Science Foundation (project no. 24-43-02039).</w:t>
      </w:r>
    </w:p>
    <w:p w:rsidR="001704B0" w:rsidRPr="007B0653" w:rsidRDefault="001704B0" w:rsidP="00085A7C">
      <w:pPr>
        <w:pStyle w:val="Text"/>
        <w:rPr>
          <w:lang w:val="en-US"/>
        </w:rPr>
      </w:pPr>
      <w:r w:rsidRPr="007B0653">
        <w:rPr>
          <w:lang w:val="en-US"/>
        </w:rPr>
        <w:t>The spectral characterization, NMR and X-ray diffraction studies were performed using the equipment of the Center for Molecular Composition Studies of INEOS RAS with financial support from the Ministry of Science and Higher Education of the Russian Federation.</w:t>
      </w:r>
    </w:p>
    <w:p w:rsidR="001704B0" w:rsidRPr="00161894" w:rsidRDefault="001704B0" w:rsidP="00085A7C">
      <w:pPr>
        <w:pStyle w:val="MainHeader"/>
      </w:pPr>
      <w:r w:rsidRPr="00161894">
        <w:t>Electronic supplementary information</w:t>
      </w:r>
    </w:p>
    <w:p w:rsidR="001704B0" w:rsidRPr="007B0653" w:rsidRDefault="001704B0" w:rsidP="00085A7C">
      <w:pPr>
        <w:pStyle w:val="Text"/>
        <w:rPr>
          <w:b/>
          <w:lang w:val="en-US"/>
        </w:rPr>
      </w:pPr>
      <w:r w:rsidRPr="007B0653">
        <w:rPr>
          <w:lang w:val="en-US"/>
        </w:rPr>
        <w:t xml:space="preserve">Electronic supplementary information (ESI) available online: the experimental section, NMR spectra, cyclic </w:t>
      </w:r>
      <w:proofErr w:type="spellStart"/>
      <w:r w:rsidRPr="007B0653">
        <w:rPr>
          <w:lang w:val="en-US"/>
        </w:rPr>
        <w:t>voltammograms</w:t>
      </w:r>
      <w:proofErr w:type="spellEnd"/>
      <w:r w:rsidRPr="007B0653">
        <w:rPr>
          <w:lang w:val="en-US"/>
        </w:rPr>
        <w:t>, molecular weights and thermal properties of P1, as well as the details of the device fabrication. For ESI, see DOI: 10.32931/io2507a.</w:t>
      </w:r>
    </w:p>
    <w:p w:rsidR="001704B0" w:rsidRPr="00F94740" w:rsidRDefault="001704B0" w:rsidP="00085A7C">
      <w:pPr>
        <w:pStyle w:val="MainHeader"/>
      </w:pPr>
      <w:r w:rsidRPr="00F94740">
        <w:t>References</w:t>
      </w:r>
    </w:p>
    <w:p w:rsidR="001704B0" w:rsidRPr="007B0653" w:rsidRDefault="001704B0" w:rsidP="00085A7C">
      <w:pPr>
        <w:pStyle w:val="References"/>
        <w:rPr>
          <w:lang w:val="en-US"/>
        </w:rPr>
      </w:pPr>
      <w:r w:rsidRPr="007B0653">
        <w:rPr>
          <w:lang w:val="en-US"/>
        </w:rPr>
        <w:t xml:space="preserve">B. </w:t>
      </w:r>
      <w:proofErr w:type="spellStart"/>
      <w:r w:rsidRPr="007B0653">
        <w:rPr>
          <w:lang w:val="en-US"/>
        </w:rPr>
        <w:t>Carsten</w:t>
      </w:r>
      <w:proofErr w:type="spellEnd"/>
      <w:r w:rsidRPr="007B0653">
        <w:rPr>
          <w:lang w:val="en-US"/>
        </w:rPr>
        <w:t xml:space="preserve">, F. He, H. J. Son, T. </w:t>
      </w:r>
      <w:proofErr w:type="spellStart"/>
      <w:r w:rsidRPr="007B0653">
        <w:rPr>
          <w:lang w:val="en-US"/>
        </w:rPr>
        <w:t>Xu</w:t>
      </w:r>
      <w:proofErr w:type="spellEnd"/>
      <w:r w:rsidRPr="007B0653">
        <w:rPr>
          <w:lang w:val="en-US"/>
        </w:rPr>
        <w:t>, L. Yu, Chem. Rev., 2011, 111, 1493–1528. DOI: 10.1021/cr100320w</w:t>
      </w:r>
    </w:p>
    <w:p w:rsidR="001704B0" w:rsidRPr="007B0653" w:rsidRDefault="001704B0" w:rsidP="00085A7C">
      <w:pPr>
        <w:pStyle w:val="References"/>
        <w:rPr>
          <w:lang w:val="en-US"/>
        </w:rPr>
      </w:pPr>
      <w:r w:rsidRPr="007B0653">
        <w:rPr>
          <w:lang w:val="en-US"/>
        </w:rPr>
        <w:t xml:space="preserve">Y. </w:t>
      </w:r>
      <w:proofErr w:type="spellStart"/>
      <w:r w:rsidRPr="007B0653">
        <w:rPr>
          <w:lang w:val="en-US"/>
        </w:rPr>
        <w:t>Xu</w:t>
      </w:r>
      <w:proofErr w:type="spellEnd"/>
      <w:r w:rsidRPr="007B0653">
        <w:rPr>
          <w:lang w:val="en-US"/>
        </w:rPr>
        <w:t xml:space="preserve">, Y. Cui, H. Yao, T. Zhang, J. Zhang, L. Ma, J. Wang, Z. Wei, J. </w:t>
      </w:r>
      <w:proofErr w:type="spellStart"/>
      <w:r w:rsidRPr="007B0653">
        <w:rPr>
          <w:lang w:val="en-US"/>
        </w:rPr>
        <w:t>Hou</w:t>
      </w:r>
      <w:proofErr w:type="spellEnd"/>
      <w:r w:rsidRPr="007B0653">
        <w:rPr>
          <w:lang w:val="en-US"/>
        </w:rPr>
        <w:t xml:space="preserve">, Adv. Mater., 2021, 33, 2101090. DOI: </w:t>
      </w:r>
      <w:r w:rsidRPr="007B0653">
        <w:rPr>
          <w:shd w:val="clear" w:color="auto" w:fill="FFFFFF"/>
          <w:lang w:val="en-US"/>
        </w:rPr>
        <w:t>10.1002/adma.202101090</w:t>
      </w:r>
    </w:p>
    <w:p w:rsidR="001704B0" w:rsidRPr="007B0653" w:rsidRDefault="001704B0" w:rsidP="00085A7C">
      <w:pPr>
        <w:pStyle w:val="References"/>
        <w:rPr>
          <w:lang w:val="en-US"/>
        </w:rPr>
      </w:pPr>
      <w:proofErr w:type="gramStart"/>
      <w:r w:rsidRPr="007B0653">
        <w:rPr>
          <w:lang w:val="en-US"/>
        </w:rPr>
        <w:t xml:space="preserve">M. R. </w:t>
      </w:r>
      <w:proofErr w:type="spellStart"/>
      <w:r w:rsidRPr="007B0653">
        <w:rPr>
          <w:lang w:val="en-US"/>
        </w:rPr>
        <w:t>Busireddy</w:t>
      </w:r>
      <w:proofErr w:type="spellEnd"/>
      <w:r w:rsidRPr="007B0653">
        <w:rPr>
          <w:lang w:val="en-US"/>
        </w:rPr>
        <w:t>, T.-W.</w:t>
      </w:r>
      <w:proofErr w:type="gramEnd"/>
      <w:r w:rsidRPr="007B0653">
        <w:rPr>
          <w:lang w:val="en-US"/>
        </w:rPr>
        <w:t xml:space="preserve"> </w:t>
      </w:r>
      <w:proofErr w:type="gramStart"/>
      <w:r w:rsidRPr="007B0653">
        <w:rPr>
          <w:lang w:val="en-US"/>
        </w:rPr>
        <w:t>Chen, S.-C.</w:t>
      </w:r>
      <w:proofErr w:type="gramEnd"/>
      <w:r w:rsidRPr="007B0653">
        <w:rPr>
          <w:lang w:val="en-US"/>
        </w:rPr>
        <w:t xml:space="preserve"> </w:t>
      </w:r>
      <w:proofErr w:type="gramStart"/>
      <w:r w:rsidRPr="007B0653">
        <w:rPr>
          <w:lang w:val="en-US"/>
        </w:rPr>
        <w:t xml:space="preserve">Huang, H. </w:t>
      </w:r>
      <w:proofErr w:type="spellStart"/>
      <w:r w:rsidRPr="007B0653">
        <w:rPr>
          <w:lang w:val="en-US"/>
        </w:rPr>
        <w:t>Nie</w:t>
      </w:r>
      <w:proofErr w:type="spellEnd"/>
      <w:r w:rsidRPr="007B0653">
        <w:rPr>
          <w:lang w:val="en-US"/>
        </w:rPr>
        <w:t>, Y.-J.</w:t>
      </w:r>
      <w:proofErr w:type="gramEnd"/>
      <w:r w:rsidRPr="007B0653">
        <w:rPr>
          <w:lang w:val="en-US"/>
        </w:rPr>
        <w:t xml:space="preserve"> </w:t>
      </w:r>
      <w:proofErr w:type="gramStart"/>
      <w:r w:rsidRPr="007B0653">
        <w:rPr>
          <w:lang w:val="en-US"/>
        </w:rPr>
        <w:t>Su, C.-T.</w:t>
      </w:r>
      <w:proofErr w:type="gramEnd"/>
      <w:r w:rsidRPr="007B0653">
        <w:rPr>
          <w:lang w:val="en-US"/>
        </w:rPr>
        <w:t xml:space="preserve"> </w:t>
      </w:r>
      <w:proofErr w:type="gramStart"/>
      <w:r w:rsidRPr="007B0653">
        <w:rPr>
          <w:lang w:val="en-US"/>
        </w:rPr>
        <w:t>Chuang, P.-J.</w:t>
      </w:r>
      <w:proofErr w:type="gramEnd"/>
      <w:r w:rsidRPr="007B0653">
        <w:rPr>
          <w:lang w:val="en-US"/>
        </w:rPr>
        <w:t xml:space="preserve"> </w:t>
      </w:r>
      <w:proofErr w:type="spellStart"/>
      <w:proofErr w:type="gramStart"/>
      <w:r w:rsidRPr="007B0653">
        <w:rPr>
          <w:lang w:val="en-US"/>
        </w:rPr>
        <w:t>Kuo</w:t>
      </w:r>
      <w:proofErr w:type="spellEnd"/>
      <w:r w:rsidRPr="007B0653">
        <w:rPr>
          <w:lang w:val="en-US"/>
        </w:rPr>
        <w:t>, J.-T.</w:t>
      </w:r>
      <w:proofErr w:type="gramEnd"/>
      <w:r w:rsidRPr="007B0653">
        <w:rPr>
          <w:lang w:val="en-US"/>
        </w:rPr>
        <w:t xml:space="preserve"> </w:t>
      </w:r>
      <w:proofErr w:type="gramStart"/>
      <w:r w:rsidRPr="007B0653">
        <w:rPr>
          <w:lang w:val="en-US"/>
        </w:rPr>
        <w:t>Chen, C.-S.</w:t>
      </w:r>
      <w:proofErr w:type="gramEnd"/>
      <w:r w:rsidRPr="007B0653">
        <w:rPr>
          <w:lang w:val="en-US"/>
        </w:rPr>
        <w:t xml:space="preserve"> Hsu, ACS Appl. Mater. Interfaces, 2022, 14, 22353–22362. DOI: 10.1021/acsami.2c04104</w:t>
      </w:r>
    </w:p>
    <w:p w:rsidR="001704B0" w:rsidRPr="007B0653" w:rsidRDefault="001704B0" w:rsidP="00085A7C">
      <w:pPr>
        <w:pStyle w:val="References"/>
        <w:rPr>
          <w:lang w:val="en-US"/>
        </w:rPr>
      </w:pPr>
      <w:r w:rsidRPr="007B0653">
        <w:rPr>
          <w:lang w:val="en-US"/>
        </w:rPr>
        <w:t xml:space="preserve">S. Jung, S. </w:t>
      </w:r>
      <w:proofErr w:type="spellStart"/>
      <w:r w:rsidRPr="007B0653">
        <w:rPr>
          <w:lang w:val="en-US"/>
        </w:rPr>
        <w:t>Jeong</w:t>
      </w:r>
      <w:proofErr w:type="spellEnd"/>
      <w:r w:rsidRPr="007B0653">
        <w:rPr>
          <w:lang w:val="en-US"/>
        </w:rPr>
        <w:t xml:space="preserve">, J. Oh, S. Kim, S. Lee, S.-J. Yoon, C. Yang, Chem. </w:t>
      </w:r>
      <w:proofErr w:type="spellStart"/>
      <w:proofErr w:type="gramStart"/>
      <w:r w:rsidRPr="007B0653">
        <w:rPr>
          <w:lang w:val="en-US"/>
        </w:rPr>
        <w:t>Commun</w:t>
      </w:r>
      <w:proofErr w:type="spellEnd"/>
      <w:r w:rsidRPr="007B0653">
        <w:rPr>
          <w:lang w:val="en-US"/>
        </w:rPr>
        <w:t>.,</w:t>
      </w:r>
      <w:proofErr w:type="gramEnd"/>
      <w:r w:rsidRPr="007B0653">
        <w:rPr>
          <w:lang w:val="en-US"/>
        </w:rPr>
        <w:t xml:space="preserve"> 2023, 59, 1991–1994. DOI: </w:t>
      </w:r>
      <w:r w:rsidRPr="007B0653">
        <w:rPr>
          <w:shd w:val="clear" w:color="auto" w:fill="FFFFFF"/>
          <w:lang w:val="en-US"/>
        </w:rPr>
        <w:t>10.1039/D2CC06725K</w:t>
      </w:r>
    </w:p>
    <w:p w:rsidR="001704B0" w:rsidRPr="007B0653" w:rsidRDefault="001704B0" w:rsidP="00085A7C">
      <w:pPr>
        <w:pStyle w:val="References"/>
        <w:rPr>
          <w:lang w:val="en-US"/>
        </w:rPr>
      </w:pPr>
      <w:r w:rsidRPr="007B0653">
        <w:rPr>
          <w:lang w:val="en-US"/>
        </w:rPr>
        <w:t xml:space="preserve">A. </w:t>
      </w:r>
      <w:proofErr w:type="spellStart"/>
      <w:r w:rsidRPr="007B0653">
        <w:rPr>
          <w:lang w:val="en-US"/>
        </w:rPr>
        <w:t>Efrem</w:t>
      </w:r>
      <w:proofErr w:type="spellEnd"/>
      <w:r w:rsidRPr="007B0653">
        <w:rPr>
          <w:szCs w:val="16"/>
          <w:lang w:val="en-US"/>
        </w:rPr>
        <w:t xml:space="preserve">, </w:t>
      </w:r>
      <w:r w:rsidRPr="007B0653">
        <w:rPr>
          <w:lang w:val="en-US"/>
        </w:rPr>
        <w:t>K. Wang</w:t>
      </w:r>
      <w:r w:rsidRPr="007B0653">
        <w:rPr>
          <w:szCs w:val="16"/>
          <w:lang w:val="en-US"/>
        </w:rPr>
        <w:t xml:space="preserve">, </w:t>
      </w:r>
      <w:r w:rsidRPr="007B0653">
        <w:rPr>
          <w:lang w:val="en-US"/>
        </w:rPr>
        <w:t xml:space="preserve">P. N. </w:t>
      </w:r>
      <w:proofErr w:type="spellStart"/>
      <w:r w:rsidRPr="007B0653">
        <w:rPr>
          <w:lang w:val="en-US"/>
        </w:rPr>
        <w:t>Amaniampong</w:t>
      </w:r>
      <w:proofErr w:type="spellEnd"/>
      <w:r w:rsidRPr="007B0653">
        <w:rPr>
          <w:szCs w:val="16"/>
          <w:lang w:val="en-US"/>
        </w:rPr>
        <w:t xml:space="preserve">, </w:t>
      </w:r>
      <w:r w:rsidRPr="007B0653">
        <w:rPr>
          <w:lang w:val="en-US"/>
        </w:rPr>
        <w:t>C. Yang</w:t>
      </w:r>
      <w:r w:rsidRPr="007B0653">
        <w:rPr>
          <w:szCs w:val="16"/>
          <w:lang w:val="en-US"/>
        </w:rPr>
        <w:t xml:space="preserve">, S. Gupta, H. </w:t>
      </w:r>
      <w:proofErr w:type="spellStart"/>
      <w:r w:rsidRPr="007B0653">
        <w:rPr>
          <w:szCs w:val="16"/>
          <w:lang w:val="en-US"/>
        </w:rPr>
        <w:t>Bohra</w:t>
      </w:r>
      <w:proofErr w:type="spellEnd"/>
      <w:r w:rsidRPr="007B0653">
        <w:rPr>
          <w:szCs w:val="16"/>
          <w:lang w:val="en-US"/>
        </w:rPr>
        <w:t xml:space="preserve">, S. H. </w:t>
      </w:r>
      <w:proofErr w:type="spellStart"/>
      <w:r w:rsidRPr="007B0653">
        <w:rPr>
          <w:szCs w:val="16"/>
          <w:lang w:val="en-US"/>
        </w:rPr>
        <w:t>Mushrif</w:t>
      </w:r>
      <w:proofErr w:type="spellEnd"/>
      <w:r w:rsidRPr="007B0653">
        <w:rPr>
          <w:szCs w:val="16"/>
          <w:lang w:val="en-US"/>
        </w:rPr>
        <w:t xml:space="preserve">, M. Wang, </w:t>
      </w:r>
      <w:proofErr w:type="spellStart"/>
      <w:r w:rsidRPr="007B0653">
        <w:rPr>
          <w:szCs w:val="16"/>
          <w:lang w:val="en-US"/>
        </w:rPr>
        <w:t>Polym</w:t>
      </w:r>
      <w:proofErr w:type="spellEnd"/>
      <w:r w:rsidRPr="007B0653">
        <w:rPr>
          <w:szCs w:val="16"/>
          <w:lang w:val="en-US"/>
        </w:rPr>
        <w:t xml:space="preserve">. Chem., </w:t>
      </w:r>
      <w:r w:rsidRPr="007B0653">
        <w:rPr>
          <w:lang w:val="en-US"/>
        </w:rPr>
        <w:t xml:space="preserve">2016, </w:t>
      </w:r>
      <w:r w:rsidRPr="007B0653">
        <w:rPr>
          <w:szCs w:val="16"/>
          <w:lang w:val="en-US"/>
        </w:rPr>
        <w:t>7</w:t>
      </w:r>
      <w:r w:rsidRPr="007B0653">
        <w:rPr>
          <w:lang w:val="en-US"/>
        </w:rPr>
        <w:t xml:space="preserve">, 4862–4866. DOI: </w:t>
      </w:r>
      <w:r w:rsidRPr="007B0653">
        <w:rPr>
          <w:shd w:val="clear" w:color="auto" w:fill="FFFFFF"/>
          <w:lang w:val="en-US"/>
        </w:rPr>
        <w:t>10.1039/C6PY00719H</w:t>
      </w:r>
    </w:p>
    <w:p w:rsidR="001704B0" w:rsidRPr="007B0653" w:rsidRDefault="001704B0" w:rsidP="00085A7C">
      <w:pPr>
        <w:pStyle w:val="References"/>
        <w:rPr>
          <w:lang w:val="en-US"/>
        </w:rPr>
      </w:pPr>
      <w:r w:rsidRPr="007B0653">
        <w:rPr>
          <w:lang w:val="en-US"/>
        </w:rPr>
        <w:t xml:space="preserve">M. Zhang, X. </w:t>
      </w:r>
      <w:proofErr w:type="spellStart"/>
      <w:r w:rsidRPr="007B0653">
        <w:rPr>
          <w:lang w:val="en-US"/>
        </w:rPr>
        <w:t>Guo</w:t>
      </w:r>
      <w:proofErr w:type="spellEnd"/>
      <w:r w:rsidRPr="007B0653">
        <w:rPr>
          <w:lang w:val="en-US"/>
        </w:rPr>
        <w:t xml:space="preserve">, W. Ma, H. Ade, J. </w:t>
      </w:r>
      <w:proofErr w:type="spellStart"/>
      <w:r w:rsidRPr="007B0653">
        <w:rPr>
          <w:lang w:val="en-US"/>
        </w:rPr>
        <w:t>Hou</w:t>
      </w:r>
      <w:proofErr w:type="spellEnd"/>
      <w:r w:rsidRPr="007B0653">
        <w:rPr>
          <w:lang w:val="en-US"/>
        </w:rPr>
        <w:t xml:space="preserve">, Adv. Mater., 2015, 27, 4655–4660. DOI: </w:t>
      </w:r>
      <w:r w:rsidRPr="007B0653">
        <w:rPr>
          <w:shd w:val="clear" w:color="auto" w:fill="FFFFFF"/>
          <w:lang w:val="en-US"/>
        </w:rPr>
        <w:t>10.1002/adma.201502110</w:t>
      </w:r>
    </w:p>
    <w:p w:rsidR="001704B0" w:rsidRPr="00085A7C" w:rsidRDefault="001704B0" w:rsidP="00085A7C">
      <w:pPr>
        <w:pStyle w:val="References"/>
      </w:pPr>
      <w:r w:rsidRPr="007B0653">
        <w:rPr>
          <w:shd w:val="clear" w:color="auto" w:fill="FFFFFF"/>
          <w:lang w:val="en-US"/>
        </w:rPr>
        <w:t xml:space="preserve">J. Yuan, Y. Zhang, L. Zhou, G. Zhang, H.-L. </w:t>
      </w:r>
      <w:proofErr w:type="gramStart"/>
      <w:r w:rsidRPr="007B0653">
        <w:rPr>
          <w:shd w:val="clear" w:color="auto" w:fill="FFFFFF"/>
          <w:lang w:val="en-US"/>
        </w:rPr>
        <w:t>Yip, T.-K.</w:t>
      </w:r>
      <w:proofErr w:type="gramEnd"/>
      <w:r w:rsidRPr="007B0653">
        <w:rPr>
          <w:shd w:val="clear" w:color="auto" w:fill="FFFFFF"/>
          <w:lang w:val="en-US"/>
        </w:rPr>
        <w:t xml:space="preserve"> Lau, X. Lu, C. Zhu, H. </w:t>
      </w:r>
      <w:proofErr w:type="spellStart"/>
      <w:r w:rsidRPr="007B0653">
        <w:rPr>
          <w:shd w:val="clear" w:color="auto" w:fill="FFFFFF"/>
          <w:lang w:val="en-US"/>
        </w:rPr>
        <w:t>Peng</w:t>
      </w:r>
      <w:proofErr w:type="spellEnd"/>
      <w:r w:rsidRPr="007B0653">
        <w:rPr>
          <w:shd w:val="clear" w:color="auto" w:fill="FFFFFF"/>
          <w:lang w:val="en-US"/>
        </w:rPr>
        <w:t xml:space="preserve">, P. A. Johnson, M. </w:t>
      </w:r>
      <w:proofErr w:type="spellStart"/>
      <w:r w:rsidRPr="007B0653">
        <w:rPr>
          <w:shd w:val="clear" w:color="auto" w:fill="FFFFFF"/>
          <w:lang w:val="en-US"/>
        </w:rPr>
        <w:t>Leclerc</w:t>
      </w:r>
      <w:proofErr w:type="spellEnd"/>
      <w:r w:rsidRPr="007B0653">
        <w:rPr>
          <w:shd w:val="clear" w:color="auto" w:fill="FFFFFF"/>
          <w:lang w:val="en-US"/>
        </w:rPr>
        <w:t xml:space="preserve">, Y. Cao, J. </w:t>
      </w:r>
      <w:proofErr w:type="spellStart"/>
      <w:r w:rsidRPr="007B0653">
        <w:rPr>
          <w:shd w:val="clear" w:color="auto" w:fill="FFFFFF"/>
          <w:lang w:val="en-US"/>
        </w:rPr>
        <w:t>Ulanski</w:t>
      </w:r>
      <w:proofErr w:type="spellEnd"/>
      <w:r w:rsidRPr="007B0653">
        <w:rPr>
          <w:shd w:val="clear" w:color="auto" w:fill="FFFFFF"/>
          <w:lang w:val="en-US"/>
        </w:rPr>
        <w:t xml:space="preserve">, Y. Li, Y. </w:t>
      </w:r>
      <w:proofErr w:type="spellStart"/>
      <w:r w:rsidRPr="007B0653">
        <w:rPr>
          <w:shd w:val="clear" w:color="auto" w:fill="FFFFFF"/>
          <w:lang w:val="en-US"/>
        </w:rPr>
        <w:t>Zou</w:t>
      </w:r>
      <w:proofErr w:type="spellEnd"/>
      <w:r w:rsidRPr="007B0653">
        <w:rPr>
          <w:shd w:val="clear" w:color="auto" w:fill="FFFFFF"/>
          <w:lang w:val="en-US"/>
        </w:rPr>
        <w:t xml:space="preserve">, </w:t>
      </w:r>
      <w:r w:rsidRPr="007B0653">
        <w:rPr>
          <w:szCs w:val="16"/>
          <w:shd w:val="clear" w:color="auto" w:fill="FFFFFF"/>
          <w:lang w:val="en-US"/>
        </w:rPr>
        <w:t>Joule,</w:t>
      </w:r>
      <w:r w:rsidRPr="007B0653">
        <w:rPr>
          <w:shd w:val="clear" w:color="auto" w:fill="FFFFFF"/>
          <w:lang w:val="en-US"/>
        </w:rPr>
        <w:t xml:space="preserve"> 2019, </w:t>
      </w:r>
      <w:r w:rsidRPr="007B0653">
        <w:rPr>
          <w:szCs w:val="16"/>
          <w:shd w:val="clear" w:color="auto" w:fill="FFFFFF"/>
          <w:lang w:val="en-US"/>
        </w:rPr>
        <w:t>3</w:t>
      </w:r>
      <w:r w:rsidRPr="007B0653">
        <w:rPr>
          <w:shd w:val="clear" w:color="auto" w:fill="FFFFFF"/>
          <w:lang w:val="en-US"/>
        </w:rPr>
        <w:t xml:space="preserve">, 1140–1151. </w:t>
      </w:r>
      <w:r w:rsidRPr="00085A7C">
        <w:rPr>
          <w:shd w:val="clear" w:color="auto" w:fill="FFFFFF"/>
        </w:rPr>
        <w:t xml:space="preserve">DOI: </w:t>
      </w:r>
      <w:r w:rsidRPr="00085A7C">
        <w:rPr>
          <w:szCs w:val="16"/>
        </w:rPr>
        <w:t>10.1016/j.joule.2019.01.004</w:t>
      </w:r>
    </w:p>
    <w:sectPr w:rsidR="001704B0" w:rsidRPr="00085A7C"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FDC" w:rsidRDefault="009C0FDC" w:rsidP="00427E5A">
      <w:pPr>
        <w:spacing w:after="0" w:line="240" w:lineRule="auto"/>
      </w:pPr>
      <w:r>
        <w:separator/>
      </w:r>
    </w:p>
    <w:p w:rsidR="009C0FDC" w:rsidRDefault="009C0FDC"/>
  </w:endnote>
  <w:endnote w:type="continuationSeparator" w:id="0">
    <w:p w:rsidR="009C0FDC" w:rsidRDefault="009C0FDC" w:rsidP="00427E5A">
      <w:pPr>
        <w:spacing w:after="0" w:line="240" w:lineRule="auto"/>
      </w:pPr>
      <w:r>
        <w:continuationSeparator/>
      </w:r>
    </w:p>
    <w:p w:rsidR="009C0FDC" w:rsidRDefault="009C0FD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FDC" w:rsidRDefault="009C0FDC" w:rsidP="00427E5A">
      <w:pPr>
        <w:spacing w:after="0" w:line="240" w:lineRule="auto"/>
      </w:pPr>
      <w:r>
        <w:separator/>
      </w:r>
    </w:p>
    <w:p w:rsidR="009C0FDC" w:rsidRDefault="009C0FDC"/>
  </w:footnote>
  <w:footnote w:type="continuationSeparator" w:id="0">
    <w:p w:rsidR="009C0FDC" w:rsidRDefault="009C0FDC" w:rsidP="00427E5A">
      <w:pPr>
        <w:spacing w:after="0" w:line="240" w:lineRule="auto"/>
      </w:pPr>
      <w:r>
        <w:continuationSeparator/>
      </w:r>
    </w:p>
    <w:p w:rsidR="009C0FDC" w:rsidRDefault="009C0FD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0C5"/>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0FDC"/>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0692"/>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D90692"/>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D90692"/>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rsid w:val="00D90692"/>
    <w:rPr>
      <w:rFonts w:ascii="Arial" w:hAnsi="Arial" w:cs="Times New Roman"/>
      <w:bCs/>
      <w:iCs/>
      <w:color w:val="263238"/>
      <w:sz w:val="20"/>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9D3D7-C91E-4E0B-BB5C-50CE7F288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1254</Words>
  <Characters>7151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30</cp:revision>
  <dcterms:created xsi:type="dcterms:W3CDTF">2025-07-01T17:14:00Z</dcterms:created>
  <dcterms:modified xsi:type="dcterms:W3CDTF">2025-07-31T18:14:00Z</dcterms:modified>
</cp:coreProperties>
</file>