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/>
              <w:left w:val="none"/>
              <w:bottom w:val="none"/>
              <w:right w:val="none"/>
            </w:tcBorders>
            <w:shd w:fill="0F1B2D" w:val="clear"/>
          </w:tcPr>
          <w:p>
            <w:pPr>
              <w:spacing w:before="2400"/>
            </w:pPr>
          </w:p>
          <w:p>
            <w:pPr>
              <w:pBdr>
                <w:bottom w:val="single" w:color="7C3AED" w:sz="6" w:space="8"/>
              </w:pBdr>
              <w:spacing w:after="600"/>
              <w:ind w:left="1200" w:right="800"/>
            </w:pPr>
            <w:r>
              <w:rPr>
                <w:rFonts w:ascii="Calibri" w:eastAsia="SimHei"/>
                <w:color w:val="7C3AED"/>
                <w:spacing w:val="40"/>
                <w:sz w:val="18"/>
                <w:szCs w:val="18"/>
              </w:rPr>
              <w:t xml:space="preserve">M  E  D  R  E  A  D  E  R    A  G  E  N  T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MedReader Agent</w:t>
            </w:r>
          </w:p>
          <w:p>
            <w:pPr>
              <w:spacing w:after="200" w:line="560" w:lineRule="atLeast"/>
              <w:ind w:left="1200"/>
            </w:pPr>
            <w:r>
              <w:rPr>
                <w:rFonts w:ascii="Arial" w:eastAsia="SimHei"/>
                <w:b/>
                <w:bCs/>
                <w:color w:val="C7D2FE"/>
                <w:sz w:val="44"/>
                <w:szCs w:val="44"/>
              </w:rPr>
              <w:t xml:space="preserve">智能文献阅读 Agent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94A3B8"/>
                <w:sz w:val="24"/>
                <w:szCs w:val="24"/>
              </w:rPr>
              <w:t xml:space="preserve">让每一篇论文都被真正读懂、用透</w:t>
            </w:r>
          </w:p>
          <w:p>
            <w:pPr>
              <w:pBdr>
                <w:left w:val="single" w:color="7C3AED" w:sz="8" w:space="12"/>
              </w:pBdr>
              <w:spacing w:after="100"/>
              <w:ind w:left="1400"/>
            </w:pPr>
            <w:r>
              <w:rPr>
                <w:rFonts w:ascii="Arial" w:eastAsia="Microsoft YaHei"/>
                <w:color w:val="94A3B8"/>
                <w:sz w:val="22"/>
                <w:szCs w:val="22"/>
              </w:rPr>
              <w:t xml:space="preserve">项目类型：智能文献阅读 Agent / 科研辅助工具</w:t>
            </w:r>
          </w:p>
          <w:p>
            <w:pPr>
              <w:pBdr>
                <w:left w:val="single" w:color="7C3AED" w:sz="8" w:space="12"/>
              </w:pBdr>
              <w:spacing w:after="100"/>
              <w:ind w:left="1400"/>
            </w:pPr>
            <w:r>
              <w:rPr>
                <w:rFonts w:ascii="Arial" w:eastAsia="Microsoft YaHei"/>
                <w:color w:val="94A3B8"/>
                <w:sz w:val="22"/>
                <w:szCs w:val="22"/>
              </w:rPr>
              <w:t xml:space="preserve">开发者：陈禹墨</w:t>
            </w:r>
          </w:p>
          <w:p>
            <w:pPr>
              <w:pBdr>
                <w:left w:val="single" w:color="7C3AED" w:sz="8" w:space="12"/>
              </w:pBdr>
              <w:spacing w:after="100"/>
              <w:ind w:left="1400"/>
            </w:pPr>
            <w:r>
              <w:rPr>
                <w:rFonts w:ascii="Arial" w:eastAsia="Microsoft YaHei"/>
                <w:color w:val="94A3B8"/>
                <w:sz w:val="22"/>
                <w:szCs w:val="22"/>
              </w:rPr>
              <w:t xml:space="preserve">所属机构：华中科技大学同济医学院</w:t>
            </w:r>
          </w:p>
          <w:p>
            <w:pPr>
              <w:pBdr>
                <w:left w:val="single" w:color="7C3AED" w:sz="8" w:space="12"/>
              </w:pBdr>
              <w:spacing w:after="100"/>
              <w:ind w:left="1400"/>
            </w:pPr>
            <w:r>
              <w:rPr>
                <w:rFonts w:ascii="Arial" w:eastAsia="Microsoft YaHei"/>
                <w:color w:val="94A3B8"/>
                <w:sz w:val="22"/>
                <w:szCs w:val="22"/>
              </w:rPr>
              <w:t xml:space="preserve">文档版本：v1.0</w:t>
            </w:r>
          </w:p>
          <w:p>
            <w:pPr>
              <w:pBdr>
                <w:left w:val="single" w:color="7C3AED" w:sz="8" w:space="12"/>
              </w:pBdr>
              <w:spacing w:after="100"/>
              <w:ind w:left="1400"/>
            </w:pPr>
            <w:r>
              <w:rPr>
                <w:rFonts w:ascii="Arial" w:eastAsia="Microsoft YaHei"/>
                <w:color w:val="94A3B8"/>
                <w:sz w:val="22"/>
                <w:szCs w:val="22"/>
              </w:rPr>
              <w:t xml:space="preserve">日期：2026 年</w:t>
            </w:r>
          </w:p>
          <w:p>
            <w:pPr>
              <w:spacing w:before="3000"/>
            </w:pPr>
          </w:p>
          <w:p>
            <w:pPr>
              <w:pBdr>
                <w:top w:val="single" w:color="7C3AED" w:sz="2" w:space="8"/>
              </w:pBdr>
              <w:spacing w:before="200"/>
              <w:ind w:left="1200" w:right="800"/>
            </w:pPr>
            <w:r>
              <w:rPr>
                <w:rFonts w:ascii="Arial" w:eastAsia="Microsoft YaHei"/>
                <w:color w:val="64748B"/>
                <w:sz w:val="16"/>
                <w:szCs w:val="16"/>
              </w:rPr>
              <w:t xml:space="preserve">行止集 BioRhythm / 计算医学</w:t>
            </w:r>
            <w:r>
              <w:t xml:space="preserve">                                                  </w:t>
            </w:r>
            <w:r>
              <w:rPr>
                <w:rFonts w:ascii="Arial"/>
                <w:color w:val="64748B"/>
                <w:sz w:val="16"/>
                <w:szCs w:val="16"/>
              </w:rPr>
              <w:t xml:space="preserve">Project Whitepaper ·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60" w:before="400"/>
        <w:jc w:val="center"/>
      </w:pPr>
      <w:r>
        <w:rPr>
          <w:rFonts w:ascii="Calibri" w:eastAsia="SimHei"/>
          <w:b/>
          <w:bCs/>
          <w:color w:val="1F2937"/>
          <w:sz w:val="36"/>
          <w:szCs w:val="36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第一章  项目背景与意义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  文献阅读的当代困境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1.2  现有解决方案的局限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1.3  MedReader 的设计理念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1.4  项目意义与社会价值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第二章  核心功能详解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2.1  五面板布局总览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2.2  PDF 原文阅读与图像定位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2.3  智能解析（MinerU 驱动的结构化分块）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2.4  六维度 LLM 深度分析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维度一：科学问题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维度二：论证思路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维度三：实验方法与结果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维度四：论证逻辑解析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维度五：创新性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维度六：局限性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2.5  思维导图可视化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2.6  Agent 提问对话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2.7  原文段落智能导航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2.8  用户系统与配额管理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第三章  应用场景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3.1  医学生文献研读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3.2  研究生写综述与开题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3.3  PI 评估论文与组会汇报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3.4  跨学科研究者快速入门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3.5  期刊编辑与审稿人辅助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3.6  临床医生跟进最新研究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第四章  技术路线与架构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4.1  技术栈总览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4.2  系统架构概览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4.3  PDF 解析流程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4.4  LLM 调用策略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4.5  段落导航的 LLM 结构分析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4.6  思维导图自动布局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4.7  用户系统与配额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4.8  性能优化与容错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第五章  部署与运维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5.1  部署架构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5.2  环境变量配置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5.3  一键部署脚本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5.4  数据持久化与备份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5.5  常见运维命令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5.6  资源占用与扩展建议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第六章  项目路线图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6.1  短期计划（3-6 个月）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5" w:history="1">
            <w:r>
              <w:rPr>
                <w:rStyle w:val="Hyperlink"/>
              </w:rPr>
              <w:t>多 LLM 提供商深度集成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6" w:history="1">
            <w:r>
              <w:rPr>
                <w:rStyle w:val="Hyperlink"/>
              </w:rPr>
              <w:t>协作标注功能</w:t>
            </w:r>
            <w:r>
              <w:tab/>
            </w:r>
            <w:r>
              <w:fldChar w:fldCharType="begin"/>
            </w:r>
            <w:r>
              <w:instrText xml:space="preserve"> PAGEREF _Toc100046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7" w:history="1">
            <w:r>
              <w:rPr>
                <w:rStyle w:val="Hyperlink"/>
              </w:rPr>
              <w:t>私有化部署支持</w:t>
            </w:r>
            <w:r>
              <w:tab/>
            </w:r>
            <w:r>
              <w:fldChar w:fldCharType="begin"/>
            </w:r>
            <w:r>
              <w:instrText xml:space="preserve"> PAGEREF _Toc100047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8" w:history="1">
            <w:r>
              <w:rPr>
                <w:rStyle w:val="Hyperlink"/>
              </w:rPr>
              <w:t>移动端适配</w:t>
            </w:r>
            <w:r>
              <w:tab/>
            </w:r>
            <w:r>
              <w:fldChar w:fldCharType="begin"/>
            </w:r>
            <w:r>
              <w:instrText xml:space="preserve"> PAGEREF _Toc100048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9" w:history="1">
            <w:r>
              <w:rPr>
                <w:rStyle w:val="Hyperlink"/>
              </w:rPr>
              <w:t>6.2  中期计划（6-12 个月）</w:t>
            </w:r>
            <w:r>
              <w:tab/>
            </w:r>
            <w:r>
              <w:fldChar w:fldCharType="begin"/>
            </w:r>
            <w:r>
              <w:instrText xml:space="preserve"> PAGEREF _Toc100049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0" w:history="1">
            <w:r>
              <w:rPr>
                <w:rStyle w:val="Hyperlink"/>
              </w:rPr>
              <w:t>知识图谱构建</w:t>
            </w:r>
            <w:r>
              <w:tab/>
            </w:r>
            <w:r>
              <w:fldChar w:fldCharType="begin"/>
            </w:r>
            <w:r>
              <w:instrText xml:space="preserve"> PAGEREF _Toc100050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1" w:history="1">
            <w:r>
              <w:rPr>
                <w:rStyle w:val="Hyperlink"/>
              </w:rPr>
              <w:t>跨文献对比分析</w:t>
            </w:r>
            <w:r>
              <w:tab/>
            </w:r>
            <w:r>
              <w:fldChar w:fldCharType="begin"/>
            </w:r>
            <w:r>
              <w:instrText xml:space="preserve"> PAGEREF _Toc100051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2" w:history="1">
            <w:r>
              <w:rPr>
                <w:rStyle w:val="Hyperlink"/>
              </w:rPr>
              <w:t>引用网络可视化</w:t>
            </w:r>
            <w:r>
              <w:tab/>
            </w:r>
            <w:r>
              <w:fldChar w:fldCharType="begin"/>
            </w:r>
            <w:r>
              <w:instrText xml:space="preserve"> PAGEREF _Toc100052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3" w:history="1">
            <w:r>
              <w:rPr>
                <w:rStyle w:val="Hyperlink"/>
              </w:rPr>
              <w:t>6.3  长期愿景（1-2 年）</w:t>
            </w:r>
            <w:r>
              <w:tab/>
            </w:r>
            <w:r>
              <w:fldChar w:fldCharType="begin"/>
            </w:r>
            <w:r>
              <w:instrText xml:space="preserve"> PAGEREF _Toc100053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4" w:history="1">
            <w:r>
              <w:rPr>
                <w:rStyle w:val="Hyperlink"/>
              </w:rPr>
              <w:t>个人科研助手</w:t>
            </w:r>
            <w:r>
              <w:tab/>
            </w:r>
            <w:r>
              <w:fldChar w:fldCharType="begin"/>
            </w:r>
            <w:r>
              <w:instrText xml:space="preserve"> PAGEREF _Toc100054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5" w:history="1">
            <w:r>
              <w:rPr>
                <w:rStyle w:val="Hyperlink"/>
              </w:rPr>
              <w:t>文献综述自动生成</w:t>
            </w:r>
            <w:r>
              <w:tab/>
            </w:r>
            <w:r>
              <w:fldChar w:fldCharType="begin"/>
            </w:r>
            <w:r>
              <w:instrText xml:space="preserve"> PAGEREF _Toc100055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6" w:history="1">
            <w:r>
              <w:rPr>
                <w:rStyle w:val="Hyperlink"/>
              </w:rPr>
              <w:t>与实验记录系统集成</w:t>
            </w:r>
            <w:r>
              <w:tab/>
            </w:r>
            <w:r>
              <w:fldChar w:fldCharType="begin"/>
            </w:r>
            <w:r>
              <w:instrText xml:space="preserve"> PAGEREF _Toc100056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7" w:history="1">
            <w:r>
              <w:rPr>
                <w:rStyle w:val="Hyperlink"/>
              </w:rPr>
              <w:t>第七章  关于开发者</w:t>
            </w:r>
            <w:r>
              <w:tab/>
            </w:r>
            <w:r>
              <w:fldChar w:fldCharType="begin"/>
            </w:r>
            <w:r>
              <w:instrText xml:space="preserve"> PAGEREF _Toc100057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8" w:history="1">
            <w:r>
              <w:rPr>
                <w:rStyle w:val="Hyperlink"/>
              </w:rPr>
              <w:t>7.1  个人背景</w:t>
            </w:r>
            <w:r>
              <w:tab/>
            </w:r>
            <w:r>
              <w:fldChar w:fldCharType="begin"/>
            </w:r>
            <w:r>
              <w:instrText xml:space="preserve"> PAGEREF _Toc100058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9" w:history="1">
            <w:r>
              <w:rPr>
                <w:rStyle w:val="Hyperlink"/>
              </w:rPr>
              <w:t>7.2  开发动机</w:t>
            </w:r>
            <w:r>
              <w:tab/>
            </w:r>
            <w:r>
              <w:fldChar w:fldCharType="begin"/>
            </w:r>
            <w:r>
              <w:instrText xml:space="preserve"> PAGEREF _Toc100059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0" w:history="1">
            <w:r>
              <w:rPr>
                <w:rStyle w:val="Hyperlink"/>
              </w:rPr>
              <w:t>7.3  开发过程</w:t>
            </w:r>
            <w:r>
              <w:tab/>
            </w:r>
            <w:r>
              <w:fldChar w:fldCharType="begin"/>
            </w:r>
            <w:r>
              <w:instrText xml:space="preserve"> PAGEREF _Toc100060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1" w:history="1">
            <w:r>
              <w:rPr>
                <w:rStyle w:val="Hyperlink"/>
              </w:rPr>
              <w:t>7.4  致谢</w:t>
            </w:r>
            <w:r>
              <w:tab/>
            </w:r>
            <w:r>
              <w:fldChar w:fldCharType="begin"/>
            </w:r>
            <w:r>
              <w:instrText xml:space="preserve"> PAGEREF _Toc100061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2" w:history="1">
            <w:r>
              <w:rPr>
                <w:rStyle w:val="Hyperlink"/>
              </w:rPr>
              <w:t>7.5  联系方式与更多作品</w:t>
            </w:r>
            <w:r>
              <w:tab/>
            </w:r>
            <w:r>
              <w:fldChar w:fldCharType="begin"/>
            </w:r>
            <w:r>
              <w:instrText xml:space="preserve"> PAGEREF _Toc100062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3" w:history="1">
            <w:r>
              <w:rPr>
                <w:rStyle w:val="Hyperlink"/>
              </w:rPr>
              <w:t>7.6  版权与开源声明</w:t>
            </w:r>
            <w:r>
              <w:tab/>
            </w:r>
            <w:r>
              <w:fldChar w:fldCharType="begin"/>
            </w:r>
            <w:r>
              <w:instrText xml:space="preserve"> PAGEREF _Toc100063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4" w:history="1">
            <w:r>
              <w:rPr>
                <w:rStyle w:val="Hyperlink"/>
              </w:rPr>
              <w:t>7.7  持续迭代声明</w:t>
            </w:r>
            <w:r>
              <w:tab/>
            </w:r>
            <w:r>
              <w:fldChar w:fldCharType="begin"/>
            </w:r>
            <w:r>
              <w:instrText xml:space="preserve"> PAGEREF _Toc100064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Calibri" w:eastAsia="Microsoft YaHei"/>
          <w:i/>
          <w:iCs/>
          <w:color w:val="6B7280"/>
          <w:sz w:val="18"/>
          <w:szCs w:val="18"/>
        </w:rPr>
        <w:t xml:space="preserve">（提示：右键点击目录 → 「更新域」可刷新页码）</w:t>
      </w:r>
    </w:p>
    <w:p>
      <w:r>
        <w:br w:type="page"/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200" w:before="480"/>
      </w:pPr>
      <w:bookmarkStart w:id="100000" w:name="_Toc100000"/>
      <w:r>
        <w:rPr>
          <w:rFonts w:ascii="Calibri" w:eastAsia="SimHei"/>
          <w:b/>
          <w:bCs/>
          <w:color w:val="7C3AED"/>
          <w:sz w:val="36"/>
          <w:szCs w:val="36"/>
        </w:rPr>
        <w:t xml:space="preserve">第一章  项目背景与意义</w:t>
      </w:r>
      <w:bookmarkEnd w:id="100000"/>
    </w:p>
    <w:p>
      <w:pPr>
        <w:pStyle w:val="Heading2"/>
        <w:spacing w:after="140" w:before="320"/>
      </w:pPr>
      <w:bookmarkStart w:id="100001" w:name="_Toc100001"/>
      <w:r>
        <w:rPr>
          <w:rFonts w:ascii="Calibri" w:eastAsia="SimHei"/>
          <w:b/>
          <w:bCs/>
          <w:color w:val="1F2937"/>
          <w:sz w:val="28"/>
          <w:szCs w:val="28"/>
        </w:rPr>
        <w:t xml:space="preserve">1.1  文献阅读的当代困境</w:t>
      </w:r>
      <w:bookmarkEnd w:id="100001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在生命科学与医学研究高速发展的今天，全球每年新增的生物医学文献超过两百万篇，仅 PubMed 一个数据库就已收录超过三千万篇论文。对于一名活跃在科研一线的研究生、临床医生或课题组负责人（PI）而言，每周需要阅读的文献量往往在十篇以上，而真正能够被精读、理解并内化为自己知识体系的论文凤毛麟角。文献阅读已经从单纯的「获取信息」演变为一场关于认知带宽与时间成本的隐形博弈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更具体的痛点在于：一篇典型的 Cell Press 或 Nature 系列论文，篇幅在八千到一万五千字之间，包含五到十个图表、几十个缩写名词、复杂的实验逻辑链条和多层次的结论推导。即使母语为英语的研究者，完整精读一篇也至少需要两到三小时；对于以中文为母语的中国科研工作者，语言壁垒叠加专业术语壁垒，使得阅读时间往往翻倍。这种阅读负担直接导致两个后果：一是研究者只能选择性地精读少数几篇「必读文献」，对其他相关文献仅看摘要甚至只看标题；二是即使精读过的文献，几天后也难以回忆起核心论证细节，需要反复回看，进一步加剧时间消耗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这种困境在跨学科研究中尤为突出。生物信息学、计算医学、合成生物学等新兴领域天然要求研究者跨越传统学科边界——一个生物医学背景的研究者需要理解机器学习方法，一个计算机背景的研究者需要理解湿实验原理。这种跨学科阅读要求更高的认知投入，传统阅读工具几乎无法提供有效支持。</w:t>
      </w:r>
    </w:p>
    <w:p>
      <w:pPr>
        <w:pStyle w:val="Heading2"/>
        <w:spacing w:after="140" w:before="320"/>
      </w:pPr>
      <w:bookmarkStart w:id="100002" w:name="_Toc100002"/>
      <w:r>
        <w:rPr>
          <w:rFonts w:ascii="Calibri" w:eastAsia="SimHei"/>
          <w:b/>
          <w:bCs/>
          <w:color w:val="1F2937"/>
          <w:sz w:val="28"/>
          <w:szCs w:val="28"/>
        </w:rPr>
        <w:t xml:space="preserve">1.2  现有解决方案的局限</w:t>
      </w:r>
      <w:bookmarkEnd w:id="100002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面对文献阅读困境，研究者目前主要依赖三类工具，但每一类都有明显短板。第一类是传统 PDF 阅读器（如 Adobe Acrobat、Zotero、Mendeley 内置阅读器），它们解决了文献管理与基础标注的问题，但对论文内容的理解没有任何辅助——读者仍然需要逐字逐句阅读，遇到不熟悉的术语或方法依然要切换到浏览器检索。第二类是机器翻译工具（如 DeepL、Google Translate、彩云小译），它们解决了语言壁垒，但翻译结果是平铺直叙的全文翻译，无法区分论文的论证层级，也无法把「Introduction」「Methods」「Results」「Discussion」等结构化信息凸显出来，读者面对的仍然是一篇冗长的文本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第三类是近年兴起的 AI 摘要工具（如 ChatPDF、SciSpace、Elicit、Consensus），它们引入了大语言模型，可以基于 PDF 内容回答问题或生成摘要。然而，目前主流的 AI 文献工具大多停留在「摘要 + 问答」层面：摘要往往只有一两百字，远不足以反映一篇论文的完整论证逻辑；问答则依赖用户主动提问，用户不知道该问什么时，工具无法主动提供洞见。更重要的是，这些工具大多采用单一交互模式——要么纯对话、要么纯摘要、要么纯思维导图——缺乏一个整合的、能够覆盖「快速浏览 → 深度理解 → 知识沉淀」完整工作流的产品形态。</w:t>
      </w:r>
    </w:p>
    <w:p>
      <w:pPr>
        <w:pBdr>
          <w:left w:val="single" w:color="7C3AED" w:sz="24" w:space="12"/>
        </w:pBdr>
        <w:shd w:fill="F5F3FF" w:val="clear"/>
        <w:spacing w:after="160" w:before="120" w:line="312"/>
        <w:ind w:left="360" w:right="360"/>
        <w:jc w:val="both"/>
      </w:pPr>
      <w:r>
        <w:rPr>
          <w:rFonts w:ascii="Calibri" w:eastAsia="Microsoft YaHei"/>
          <w:i/>
          <w:iCs/>
          <w:color w:val="1F2937"/>
          <w:sz w:val="22"/>
          <w:szCs w:val="22"/>
        </w:rPr>
        <w:t xml:space="preserve">现有工具的共同问题在于：它们把文献当成「待翻译的文本」或「待摘要的语料」，而不是「待理解的知识结构」。一篇论文的真正价值，不在于它的字面内容，而在于它如何提出问题、如何设计实验、如何用证据支撑结论、又在何处存在局限。</w:t>
      </w:r>
    </w:p>
    <w:p>
      <w:pPr>
        <w:pStyle w:val="Heading2"/>
        <w:spacing w:after="140" w:before="320"/>
      </w:pPr>
      <w:bookmarkStart w:id="100003" w:name="_Toc100003"/>
      <w:r>
        <w:rPr>
          <w:rFonts w:ascii="Calibri" w:eastAsia="SimHei"/>
          <w:b/>
          <w:bCs/>
          <w:color w:val="1F2937"/>
          <w:sz w:val="28"/>
          <w:szCs w:val="28"/>
        </w:rPr>
        <w:t xml:space="preserve">1.3  MedReader 的设计理念</w:t>
      </w:r>
      <w:bookmarkEnd w:id="100003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MedReader Agent 的核心理念是：把大语言模型从「翻译器」或「摘要器」升级为「阅读伙伴」。这个阅读伙伴不是被动等待用户提问，而是主动分析论文结构、提炼论证逻辑、可视化知识图谱，并在用户阅读过程中持续提供上下文。具体而言，MedReader 围绕三个设计原则展开：</w:t>
      </w:r>
    </w:p>
    <w:p>
      <w:pPr>
        <w:spacing w:after="60" w:line="312"/>
        <w:ind w:left="480" w:hanging="240"/>
      </w:pPr>
      <w:r>
        <w:rPr>
          <w:b/>
          <w:bCs/>
          <w:color w:val="7C3AED"/>
          <w:sz w:val="24"/>
          <w:szCs w:val="24"/>
        </w:rPr>
        <w:t xml:space="preserve">• </w:t>
      </w:r>
      <w:r>
        <w:rPr>
          <w:rFonts w:ascii="Calibri" w:eastAsia="Microsoft YaHei"/>
          <w:b/>
          <w:bCs/>
          <w:color w:val="1F2937"/>
          <w:sz w:val="24"/>
          <w:szCs w:val="24"/>
        </w:rPr>
        <w:t xml:space="preserve">原文优先</w:t>
      </w:r>
      <w:r>
        <w:rPr>
          <w:rFonts w:ascii="Calibri" w:eastAsia="Microsoft YaHei"/>
          <w:color w:val="1F2937"/>
          <w:sz w:val="24"/>
          <w:szCs w:val="24"/>
        </w:rPr>
        <w:t xml:space="preserve"> 任何 AI 生成的分析都必须能溯源到论文原文。MedReader 不允许 LLM 自由发挥，而是通过原文定位短语（quote）和段落锚点（heading）确保每一条分析结论都能被用户验证。这避免了 LLM 幻觉带来的误读风险。</w:t>
      </w:r>
    </w:p>
    <w:p>
      <w:pPr>
        <w:spacing w:after="60" w:line="312"/>
        <w:ind w:left="480" w:hanging="240"/>
      </w:pPr>
      <w:r>
        <w:rPr>
          <w:b/>
          <w:bCs/>
          <w:color w:val="7C3AED"/>
          <w:sz w:val="24"/>
          <w:szCs w:val="24"/>
        </w:rPr>
        <w:t xml:space="preserve">• </w:t>
      </w:r>
      <w:r>
        <w:rPr>
          <w:rFonts w:ascii="Calibri" w:eastAsia="Microsoft YaHei"/>
          <w:b/>
          <w:bCs/>
          <w:color w:val="1F2937"/>
          <w:sz w:val="24"/>
          <w:szCs w:val="24"/>
        </w:rPr>
        <w:t xml:space="preserve">多视角并行</w:t>
      </w:r>
      <w:r>
        <w:rPr>
          <w:rFonts w:ascii="Calibri" w:eastAsia="Microsoft YaHei"/>
          <w:color w:val="1F2937"/>
          <w:sz w:val="24"/>
          <w:szCs w:val="24"/>
        </w:rPr>
        <w:t xml:space="preserve"> 单一视角无法覆盖论文的全部价值。MedReader 同时提供 PDF 原文、智能解析、思维导图、Agent 对话、六维度分析五种视图，用户可以在不同视图间自由切换，从不同角度理解同一篇论文。</w:t>
      </w:r>
    </w:p>
    <w:p>
      <w:pPr>
        <w:spacing w:after="60" w:line="312"/>
        <w:ind w:left="480" w:hanging="240"/>
      </w:pPr>
      <w:r>
        <w:rPr>
          <w:b/>
          <w:bCs/>
          <w:color w:val="7C3AED"/>
          <w:sz w:val="24"/>
          <w:szCs w:val="24"/>
        </w:rPr>
        <w:t xml:space="preserve">• </w:t>
      </w:r>
      <w:r>
        <w:rPr>
          <w:rFonts w:ascii="Calibri" w:eastAsia="Microsoft YaHei"/>
          <w:b/>
          <w:bCs/>
          <w:color w:val="1F2937"/>
          <w:sz w:val="24"/>
          <w:szCs w:val="24"/>
        </w:rPr>
        <w:t xml:space="preserve">结构化输出</w:t>
      </w:r>
      <w:r>
        <w:rPr>
          <w:rFonts w:ascii="Calibri" w:eastAsia="Microsoft YaHei"/>
          <w:color w:val="1F2937"/>
          <w:sz w:val="24"/>
          <w:szCs w:val="24"/>
        </w:rPr>
        <w:t xml:space="preserve"> 论文的本质是结构化的论证，而不是线性的文字。MedReader 通过 LLM 把论文拆解为「科学问题 / 论证思路 / 实验方法与结果 / 论证逻辑解析 / 创新性 / 局限性」六个维度，每个维度都有专门的提示词工程（prompt engineering）保证输出深度。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这三个原则共同构成了 MedReader 与同类产品的差异化定位：不是更快的翻译、不是更短的摘要、不是更聪明的对话，而是一个真正理解论文结构、能持续辅助阅读的智能体（Agent）。</w:t>
      </w:r>
    </w:p>
    <w:p>
      <w:pPr>
        <w:pStyle w:val="Heading2"/>
        <w:spacing w:after="140" w:before="320"/>
      </w:pPr>
      <w:bookmarkStart w:id="100004" w:name="_Toc100004"/>
      <w:r>
        <w:rPr>
          <w:rFonts w:ascii="Calibri" w:eastAsia="SimHei"/>
          <w:b/>
          <w:bCs/>
          <w:color w:val="1F2937"/>
          <w:sz w:val="28"/>
          <w:szCs w:val="28"/>
        </w:rPr>
        <w:t xml:space="preserve">1.4  项目意义与社会价值</w:t>
      </w:r>
      <w:bookmarkEnd w:id="100004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MedReader Agent 的意义可以从个人、机构、社会三个层面理解。对个人研究者而言，它直接降低了一篇论文的精读门槛——从平均两到三小时缩短到三十分钟左右，让研究者能够把更多时间用于思考而非阅读。对课题组与机构而言，它提供了一种可复用的阅读范式：不同成员对同一篇论文的六维度分析可以横向对比，避免「一千个读者有一千种理解」的混乱，提升组会讨论的效率和质量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从更宏观的社会层面看，中国正在加快建设科技强国，科研人员数量已居世界前列，但人均科研产出和科研效率仍有提升空间。一款真正服务于中文科研工作者的智能文献阅读工具，能够显著降低语言与认知壁垒，让更多基层研究者、青年学生、临床医生跟上国际前沿。这不仅是工具层面的便利，更是科研基础设施层面的一种投入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此外，MedReader 在设计上特意保留了对论文局限性的批判性分析维度。这一点尤为重要——在 AI 工具普遍倾向于「赞美论文」的当下，能够冷静指出实验设计缺陷、统计方法问题、因果推断风险的工具，反而更有助于培养研究者的批判性思维，避免盲目追随所谓「高分论文」。这是本项目作为科研辅助工具的一份社会担当。</w:t>
      </w:r>
    </w:p>
    <w:p>
      <w:pPr>
        <w:pStyle w:val="Heading1"/>
        <w:spacing w:after="200" w:before="480"/>
      </w:pPr>
      <w:bookmarkStart w:id="100005" w:name="_Toc100005"/>
      <w:r>
        <w:rPr>
          <w:rFonts w:ascii="Calibri" w:eastAsia="SimHei"/>
          <w:b/>
          <w:bCs/>
          <w:color w:val="7C3AED"/>
          <w:sz w:val="36"/>
          <w:szCs w:val="36"/>
        </w:rPr>
        <w:t xml:space="preserve">第二章  核心功能详解</w:t>
      </w:r>
      <w:bookmarkEnd w:id="100005"/>
    </w:p>
    <w:p>
      <w:pPr>
        <w:pStyle w:val="Heading2"/>
        <w:spacing w:after="140" w:before="320"/>
      </w:pPr>
      <w:bookmarkStart w:id="100006" w:name="_Toc100006"/>
      <w:r>
        <w:rPr>
          <w:rFonts w:ascii="Calibri" w:eastAsia="SimHei"/>
          <w:b/>
          <w:bCs/>
          <w:color w:val="1F2937"/>
          <w:sz w:val="28"/>
          <w:szCs w:val="28"/>
        </w:rPr>
        <w:t xml:space="preserve">2.1  五面板布局总览</w:t>
      </w:r>
      <w:bookmarkEnd w:id="100006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MedReader Agent 采用五面板布局，把一篇论文的阅读体验拆解为五个并行的视图，每个视图承担不同的认知任务。这种布局参考了现代 IDE（集成开发环境）的多面板设计理念——正如程序员在写代码时需要同时看到文件树、代码、终端、调试器，研究者在读论文时也需要同时看到原文、结构、图谱、对话、分析。五个面板从左到右、从上到下依次为：原文段落导航 / 全文框架 / 原文 PDF / 智能解析 / Agent 提问，底部为思维导图独立标签页。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左侧两栏（原文段落导航 + 全文框架）承担「定位」功能，让用户随时知道自己在论文的哪个位置、这一节属于什么层级。中间三栏（PDF / 智能解析 / 思维导图）通过标签页切换，承担「阅读」功能，三种视图对应三种阅读节奏：PDF 是逐字精读、智能解析是结构化浏览、思维导图是宏观把握。右侧（Agent 提问）承担「对话」功能，用户可以基于全文随时提问。这种布局确保用户在阅读过程中无需频繁切换页面，所有关键信息都触手可及。</w:t>
      </w:r>
    </w:p>
    <w:p>
      <w:pPr>
        <w:pStyle w:val="Heading2"/>
        <w:spacing w:after="140" w:before="320"/>
      </w:pPr>
      <w:bookmarkStart w:id="100007" w:name="_Toc100007"/>
      <w:r>
        <w:rPr>
          <w:rFonts w:ascii="Calibri" w:eastAsia="SimHei"/>
          <w:b/>
          <w:bCs/>
          <w:color w:val="1F2937"/>
          <w:sz w:val="28"/>
          <w:szCs w:val="28"/>
        </w:rPr>
        <w:t xml:space="preserve">2.2  PDF 原文阅读与图像定位</w:t>
      </w:r>
      <w:bookmarkEnd w:id="100007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MedReader 内置了基于 pdf.js 的高保真 PDF 阅读器，支持原文逐页渲染、文本选择、图表缩放。但它的核心价值不在于渲染本身，而在于与 MinerU 解析结果的深度联动——当用户在「智能解析」或「六维度分析」中点击某个原文定位短语时，PDF 阅读器会自动滚动到对应位置并高亮显示，让用户能够立即从 AI 分析跳回原文验证。这种「分析 → 原文」的双向跳转，是 MedReader 区别于普通 PDF 阅读器的关键。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更进一步的特性是图像定位。生物医学论文的图表（figures）往往承载了最关键的数据，但传统 PDF 阅读器中图表是「嵌在文字流里的图片」，难以单独查看。MedReader 通过 MinerU 解析提取出每张图表的独立图像文件，用户可以在「智能解析」视图中点击图表占位符，直接看到高分辨率原图，配合上下文文字说明，理解图表的实验逻辑。这对图表密集型的 Cell Press 论文尤其有价值。</w:t>
      </w:r>
    </w:p>
    <w:p>
      <w:pPr>
        <w:pStyle w:val="Heading2"/>
        <w:spacing w:after="140" w:before="320"/>
      </w:pPr>
      <w:bookmarkStart w:id="100008" w:name="_Toc100008"/>
      <w:r>
        <w:rPr>
          <w:rFonts w:ascii="Calibri" w:eastAsia="SimHei"/>
          <w:b/>
          <w:bCs/>
          <w:color w:val="1F2937"/>
          <w:sz w:val="28"/>
          <w:szCs w:val="28"/>
        </w:rPr>
        <w:t xml:space="preserve">2.3  智能解析（MinerU 驱动的结构化分块）</w:t>
      </w:r>
      <w:bookmarkEnd w:id="100008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「智能解析」是 MedReader 的核心创新之一。它使用 MinerU Cloud API 对 PDF 进行深度解析，输出结构化的 Markdown + 块级 JSON，每个块都带有页面索引、边界框、文本层级（标题 / 段落 / 图表 / 公式）等元信息。这些块按照论文原始结构组织——H1 是大章节（Introduction / Results / Discussion / Methods），H2 是子小节，H3 是更细的层级——用户可以按章节快速跳转，也可以按块逐段阅读。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智能解析的优势在于把一篇「扁平的 PDF」转化为了「结构化的数据库」。每个段落都是一个可寻址的单元，AI 分析、用户提问、原文跳转都可以精确到段落级别，而不是粗粒度的「整篇论文」。这种细粒度的结构化是后续六维度分析、Agent 提问能够准确溯源的基础。</w:t>
      </w:r>
    </w:p>
    <w:p>
      <w:pPr>
        <w:pStyle w:val="Heading2"/>
        <w:spacing w:after="140" w:before="320"/>
      </w:pPr>
      <w:bookmarkStart w:id="100009" w:name="_Toc100009"/>
      <w:r>
        <w:rPr>
          <w:rFonts w:ascii="Calibri" w:eastAsia="SimHei"/>
          <w:b/>
          <w:bCs/>
          <w:color w:val="1F2937"/>
          <w:sz w:val="28"/>
          <w:szCs w:val="28"/>
        </w:rPr>
        <w:t xml:space="preserve">2.4  六维度 LLM 深度分析</w:t>
      </w:r>
      <w:bookmarkEnd w:id="100009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「六维度分析」是 MedReader 最具特色的功能，也是与同类 AI 文献工具最大的差异化点。系统针对每一篇上传的论文，并行调用六次大语言模型，每次使用专门设计的提示词，分别从六个不同维度对论文进行深度剖析。六个维度并非随意划分，而是覆盖了一篇科研论文从「为什么做」到「怎么做」到「做出来了什么」到「做得好不好」的完整认知链条。</w:t>
      </w:r>
    </w:p>
    <w:p>
      <w:pPr>
        <w:pStyle w:val="Heading3"/>
        <w:spacing w:after="100" w:before="240"/>
      </w:pPr>
      <w:bookmarkStart w:id="100010" w:name="_Toc100010"/>
      <w:r>
        <w:rPr>
          <w:rFonts w:ascii="Calibri" w:eastAsia="SimHei"/>
          <w:b/>
          <w:bCs/>
          <w:color w:val="1F2937"/>
          <w:sz w:val="24"/>
          <w:szCs w:val="24"/>
        </w:rPr>
        <w:t xml:space="preserve">维度一：科学问题</w:t>
      </w:r>
      <w:bookmarkEnd w:id="100010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回答「这篇论文要解决什么问题」。具体包括：核心科学问题的一句话表述、问题是如何从临床现象或前人研究空白中产生的、为什么这个问题值得研究、研究者的核心假设是什么。每个子问题都要求 1-2 段实质内容，避免空话。</w:t>
      </w:r>
    </w:p>
    <w:p>
      <w:pPr>
        <w:pStyle w:val="Heading3"/>
        <w:spacing w:after="100" w:before="240"/>
      </w:pPr>
      <w:bookmarkStart w:id="100011" w:name="_Toc100011"/>
      <w:r>
        <w:rPr>
          <w:rFonts w:ascii="Calibri" w:eastAsia="SimHei"/>
          <w:b/>
          <w:bCs/>
          <w:color w:val="1F2937"/>
          <w:sz w:val="24"/>
          <w:szCs w:val="24"/>
        </w:rPr>
        <w:t xml:space="preserve">维度二：论证思路</w:t>
      </w:r>
      <w:bookmarkEnd w:id="100011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回答「整个研究是怎么组织的」。梳理研究由哪几个主要模块组成、各模块之间的逻辑关系（哪个模块的结论支撑了下一个模块的假设）、这种论证思路是否完整、与同类研究相比有什么特点。最终输出一条可视化的逻辑链条。</w:t>
      </w:r>
    </w:p>
    <w:p>
      <w:pPr>
        <w:pStyle w:val="Heading3"/>
        <w:spacing w:after="100" w:before="240"/>
      </w:pPr>
      <w:bookmarkStart w:id="100012" w:name="_Toc100012"/>
      <w:r>
        <w:rPr>
          <w:rFonts w:ascii="Calibri" w:eastAsia="SimHei"/>
          <w:b/>
          <w:bCs/>
          <w:color w:val="1F2937"/>
          <w:sz w:val="24"/>
          <w:szCs w:val="24"/>
        </w:rPr>
        <w:t xml:space="preserve">维度三：实验方法与结果</w:t>
      </w:r>
      <w:bookmarkEnd w:id="100012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回答「做了什么实验，得到了什么结果」。逐条列出主要结论及支撑实验，包含实验类型（scRNA-seq / 流式细胞术 / 免疫荧光 / Western blot / 生存分析等）、关键数值（样本量 n、p 值、fold change）、方法原理与适用范围。</w:t>
      </w:r>
    </w:p>
    <w:p>
      <w:pPr>
        <w:pStyle w:val="Heading3"/>
        <w:spacing w:after="100" w:before="240"/>
      </w:pPr>
      <w:bookmarkStart w:id="100013" w:name="_Toc100013"/>
      <w:r>
        <w:rPr>
          <w:rFonts w:ascii="Calibri" w:eastAsia="SimHei"/>
          <w:b/>
          <w:bCs/>
          <w:color w:val="1F2937"/>
          <w:sz w:val="24"/>
          <w:szCs w:val="24"/>
        </w:rPr>
        <w:t xml:space="preserve">维度四：论证逻辑解析</w:t>
      </w:r>
      <w:bookmarkEnd w:id="100013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回答「论证是否成立」。识别关键逻辑点（即「如果这个不成立，整篇文章结论就垮掉」的节点），用箭头图表示总逻辑链条，分析每个逻辑点的支撑强度，检查是否存在循环论证、过度推断或因果倒置的风险。这是批判性阅读的核心。</w:t>
      </w:r>
    </w:p>
    <w:p>
      <w:pPr>
        <w:pStyle w:val="Heading3"/>
        <w:spacing w:after="100" w:before="240"/>
      </w:pPr>
      <w:bookmarkStart w:id="100014" w:name="_Toc100014"/>
      <w:r>
        <w:rPr>
          <w:rFonts w:ascii="Calibri" w:eastAsia="SimHei"/>
          <w:b/>
          <w:bCs/>
          <w:color w:val="1F2937"/>
          <w:sz w:val="24"/>
          <w:szCs w:val="24"/>
        </w:rPr>
        <w:t xml:space="preserve">维度五：创新性</w:t>
      </w:r>
      <w:bookmarkEnd w:id="100014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回答「新在哪里」。逐条列出核心创新点（最多三条），区分方法学创新 / 概念创新 / 应用创新 / 数据创新，并衍生 2-3 个 follow-up 研究方向。这有助于研究者判断论文的学术价值，并为自己寻找课题灵感。</w:t>
      </w:r>
    </w:p>
    <w:p>
      <w:pPr>
        <w:pStyle w:val="Heading3"/>
        <w:spacing w:after="100" w:before="240"/>
      </w:pPr>
      <w:bookmarkStart w:id="100015" w:name="_Toc100015"/>
      <w:r>
        <w:rPr>
          <w:rFonts w:ascii="Calibri" w:eastAsia="SimHei"/>
          <w:b/>
          <w:bCs/>
          <w:color w:val="1F2937"/>
          <w:sz w:val="24"/>
          <w:szCs w:val="24"/>
        </w:rPr>
        <w:t xml:space="preserve">维度六：局限性</w:t>
      </w:r>
      <w:bookmarkEnd w:id="100015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回答「有什么不足」。从样本量、模型选择、实验设计、数据解读、统计方法等多方面分析不足，给出替代方案或改进路径，并评估这些不足对核心结论的影响。这是最容易被其他工具忽视、但对读者最有价值的维度。</w:t>
      </w:r>
    </w:p>
    <w:p>
      <w:pPr>
        <w:pStyle w:val="Heading2"/>
        <w:spacing w:after="140" w:before="320"/>
      </w:pPr>
      <w:bookmarkStart w:id="100016" w:name="_Toc100016"/>
      <w:r>
        <w:rPr>
          <w:rFonts w:ascii="Calibri" w:eastAsia="SimHei"/>
          <w:b/>
          <w:bCs/>
          <w:color w:val="1F2937"/>
          <w:sz w:val="28"/>
          <w:szCs w:val="28"/>
        </w:rPr>
        <w:t xml:space="preserve">2.5  思维导图可视化</w:t>
      </w:r>
      <w:bookmarkEnd w:id="100016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MedReader 内置了基于 React Flow 和 Dagre 自动布局算法的思维导图功能。它会根据六维度分析结果，自动生成一棵以论文标题为根节点、六个维度为一级子节点、各维度的子要点为二级子节点的树状图谱。每个节点都带有维度专属的配色，节点间连线使用平滑曲线（smoothstep edge），整体布局从左到右展开，符合中文阅读习惯。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思维导图的价值在于提供了一种「一眼看全文」的宏观视角。当用户面对一篇陌生论文时，先看思维导图可以在十秒内把握论文的整体骨架——研究什么问题、用什么方法、得到什么结论、有什么创新、有什么局限——然后再决定是否需要深入阅读某个维度。这种「先宏观后微观」的阅读策略，比直接从头读到尾更高效。</w:t>
      </w:r>
    </w:p>
    <w:p>
      <w:pPr>
        <w:pStyle w:val="Heading2"/>
        <w:spacing w:after="140" w:before="320"/>
      </w:pPr>
      <w:bookmarkStart w:id="100017" w:name="_Toc100017"/>
      <w:r>
        <w:rPr>
          <w:rFonts w:ascii="Calibri" w:eastAsia="SimHei"/>
          <w:b/>
          <w:bCs/>
          <w:color w:val="1F2937"/>
          <w:sz w:val="28"/>
          <w:szCs w:val="28"/>
        </w:rPr>
        <w:t xml:space="preserve">2.6  Agent 提问对话</w:t>
      </w:r>
      <w:bookmarkEnd w:id="100017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右侧的 Agent 提问面板基于 DeepSeek 大语言模型，用户可以用自然语言对论文提问。与一般 AI 对话工具不同的是，MedReader 的对话是「上下文绑定」的——每次提问都会把当前论文的全文作为上下文传给模型，确保回答基于论文实际内容而非模型先验知识。同时，回答中引用的关键句子会附带原文定位短语，点击即可跳转到 PDF 对应位置。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Agent 还支持「智能追问」：当系统检测到用户的提问涉及某个具体的实验、图表或结论时，会主动建议相关的 follow-up 问题，引导用户深入挖掘。这种主动建议机制降低了用户「不知道该问什么」的认知负担，让对话自然展开。</w:t>
      </w:r>
    </w:p>
    <w:p>
      <w:pPr>
        <w:pStyle w:val="Heading2"/>
        <w:spacing w:after="140" w:before="320"/>
      </w:pPr>
      <w:bookmarkStart w:id="100018" w:name="_Toc100018"/>
      <w:r>
        <w:rPr>
          <w:rFonts w:ascii="Calibri" w:eastAsia="SimHei"/>
          <w:b/>
          <w:bCs/>
          <w:color w:val="1F2937"/>
          <w:sz w:val="28"/>
          <w:szCs w:val="28"/>
        </w:rPr>
        <w:t xml:space="preserve">2.7  原文段落智能导航</w:t>
      </w:r>
      <w:bookmarkEnd w:id="100018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左侧的「原文段落导航」面板解决了传统 PDF 阅读中「找不到自己在哪一节」的问题。它不是简单地列出论文的 H1/H2/H3 标题——因为 MinerU 提取的 markdown 层级经常不可靠（例如 Cell Press 论文把「Novelty and Significance」标为 H1，把真正的 Results 子小节都嵌在它下面作为 H2）。MedReader 的创新在于：把这些原始标题列表交给 LLM 进行结构分析，让模型基于论文正文上下文判断哪些是真正的章节级标题（Introduction / Results / Methods / Discussion），哪些是子小节，哪些是期刊样板（Novelty and Significance / Data Availability / Author Contributions）。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分析后的标题树以卡片形式呈现：大章节（major）显示为带左侧彩条的卡片，子小节（children）显示为缩进列表项。期刊样板（metadata）则被隐藏，因为它们不是论文的真正结构，用户需要时可以在 PDF 中找到。这种基于原文的结构分析，让段落导航在不同期刊、不同格式的论文上都能保持一致的准确性。</w:t>
      </w:r>
    </w:p>
    <w:p>
      <w:pPr>
        <w:pStyle w:val="Heading2"/>
        <w:spacing w:after="140" w:before="320"/>
      </w:pPr>
      <w:bookmarkStart w:id="100019" w:name="_Toc100019"/>
      <w:r>
        <w:rPr>
          <w:rFonts w:ascii="Calibri" w:eastAsia="SimHei"/>
          <w:b/>
          <w:bCs/>
          <w:color w:val="1F2937"/>
          <w:sz w:val="28"/>
          <w:szCs w:val="28"/>
        </w:rPr>
        <w:t xml:space="preserve">2.8  用户系统与配额管理</w:t>
      </w:r>
      <w:bookmarkEnd w:id="100019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MedReader 内置了完整的用户系统，支持注册、登录、个人配额管理。基于 NextAuth.js 实现的认证系统保证了用户数据隔离——每个用户只能看到自己上传的论文和分析历史。系统还为匿名访问留了口子，让首次使用者无需注册即可体验核心功能，降低使用门槛。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配额管理模块限制了每个用户每天的 LLM 调用次数和 PDF 解析次数，避免恶意使用导致 API 成本失控。普通用户每天可以分析三到五篇论文，对绝大多数科研工作者而言已经足够；管理员可以在后台调整配额、查看使用统计、收集用户反馈。这种设计在「免费试用」与「成本可控」之间取得了平衡。</w:t>
      </w:r>
    </w:p>
    <w:p>
      <w:pPr>
        <w:pStyle w:val="Heading1"/>
        <w:spacing w:after="200" w:before="480"/>
      </w:pPr>
      <w:bookmarkStart w:id="100020" w:name="_Toc100020"/>
      <w:r>
        <w:rPr>
          <w:rFonts w:ascii="Calibri" w:eastAsia="SimHei"/>
          <w:b/>
          <w:bCs/>
          <w:color w:val="7C3AED"/>
          <w:sz w:val="36"/>
          <w:szCs w:val="36"/>
        </w:rPr>
        <w:t xml:space="preserve">第三章  应用场景</w:t>
      </w:r>
      <w:bookmarkEnd w:id="100020"/>
    </w:p>
    <w:p>
      <w:pPr>
        <w:pStyle w:val="Heading2"/>
        <w:spacing w:after="140" w:before="320"/>
      </w:pPr>
      <w:bookmarkStart w:id="100021" w:name="_Toc100021"/>
      <w:r>
        <w:rPr>
          <w:rFonts w:ascii="Calibri" w:eastAsia="SimHei"/>
          <w:b/>
          <w:bCs/>
          <w:color w:val="1F2937"/>
          <w:sz w:val="28"/>
          <w:szCs w:val="28"/>
        </w:rPr>
        <w:t xml:space="preserve">3.1  医学生文献研读</w:t>
      </w:r>
      <w:bookmarkEnd w:id="100021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医学生是 MedReader 最核心的目标用户群体。本科高年级到研究生阶段的医学生，每周需要阅读大量文献以应对课程作业、文献综述、开题报告、学位论文等任务。但他们的痛点非常集中：英语阅读速度慢、专业术语不熟、对论文的实验逻辑缺乏整体把握能力、容易陷入「逐字翻译却不知道在说什么」的困境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MedReader 为医学生提供的典型工作流是：先打开 PDF tab 浏览摘要和图表，建立初步印象；然后切换到思维导图，十秒内把握论文骨架；接着打开六维度分析，重点看「科学问题」和「实验方法与结果」两个维度，理解论文的核心论证；遇到不懂的地方，用 Agent 提问获取即时解答；最后回到 PDF，针对自己关心的段落精读。整个流程下来，一篇原本需要两小时的论文，三十分钟就能完成深度阅读。</w:t>
      </w:r>
    </w:p>
    <w:p>
      <w:pPr>
        <w:pStyle w:val="Heading2"/>
        <w:spacing w:after="140" w:before="320"/>
      </w:pPr>
      <w:bookmarkStart w:id="100022" w:name="_Toc100022"/>
      <w:r>
        <w:rPr>
          <w:rFonts w:ascii="Calibri" w:eastAsia="SimHei"/>
          <w:b/>
          <w:bCs/>
          <w:color w:val="1F2937"/>
          <w:sz w:val="28"/>
          <w:szCs w:val="28"/>
        </w:rPr>
        <w:t xml:space="preserve">3.2  研究生写综述与开题</w:t>
      </w:r>
      <w:bookmarkEnd w:id="100022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研究生在写文献综述或准备开题报告时，往往需要阅读三五十篇甚至上百篇相关文献。这个体量下，传统逐篇精读几乎不可能完成，多数人只能选择性地看几篇，其余仅看摘要。这直接导致综述深度不足、开题时对领域的把握片面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MedReader 的六维度分析在这种场景下特别有价值——研究生可以快速浏览几十篇论文的「科学问题」和「创新性」维度，建立领域全景图；对关键论文再用 Agent 提问深入挖掘细节。这种「先广后深」的策略，让综述写作有了扎实的基础。同时，每篇论文的「局限性」维度还能帮助研究生发现自己可以切入的研究空白，为开题选题提供灵感。</w:t>
      </w:r>
    </w:p>
    <w:p>
      <w:pPr>
        <w:pStyle w:val="Heading2"/>
        <w:spacing w:after="140" w:before="320"/>
      </w:pPr>
      <w:bookmarkStart w:id="100023" w:name="_Toc100023"/>
      <w:r>
        <w:rPr>
          <w:rFonts w:ascii="Calibri" w:eastAsia="SimHei"/>
          <w:b/>
          <w:bCs/>
          <w:color w:val="1F2937"/>
          <w:sz w:val="28"/>
          <w:szCs w:val="28"/>
        </w:rPr>
        <w:t xml:space="preserve">3.3  PI 评估论文与组会汇报</w:t>
      </w:r>
      <w:bookmarkEnd w:id="100023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课题组负责人（PI）需要快速评估学生推荐的新论文、跟踪领域最新进展、为组会准备讨论要点。但 PI 的时间往往被行政事务、基金申请、教学任务切碎，能够分配给单篇论文的时间通常不超过十五分钟。在这种时间压力下，传统阅读方式几乎无法完成深度评估。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MedReader 为 PI 提供了「快速评估模式」：打开论文后直接看思维导图和六维度分析，十五分钟内就能判断这篇论文是否值得深入、是否值得让学生跟进、有哪些点可以在组会上讨论。特别是「论证逻辑解析」维度，能够帮助 PI 快速识别论文的潜在弱点——这种洞察往往是组会讨论的高价值话题。</w:t>
      </w:r>
    </w:p>
    <w:p>
      <w:pPr>
        <w:pStyle w:val="Heading2"/>
        <w:spacing w:after="140" w:before="320"/>
      </w:pPr>
      <w:bookmarkStart w:id="100024" w:name="_Toc100024"/>
      <w:r>
        <w:rPr>
          <w:rFonts w:ascii="Calibri" w:eastAsia="SimHei"/>
          <w:b/>
          <w:bCs/>
          <w:color w:val="1F2937"/>
          <w:sz w:val="28"/>
          <w:szCs w:val="28"/>
        </w:rPr>
        <w:t xml:space="preserve">3.4  跨学科研究者快速入门</w:t>
      </w:r>
      <w:bookmarkEnd w:id="100024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生物信息学、计算医学、医学影像 AI 等领域天然要求跨学科合作。一个计算机背景的研究者想进入生物医学领域，面对的最大障碍不是编程能力，而是对生物医学论文的不熟悉——实验方法看不懂、生物学意义不理解、临床价值把握不准。反之亦然，生物医学背景的研究者面对机器学习论文，也会被损失函数、模型架构、评估指标等概念拦住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MedReader 的「实验方法与结果」维度专门设计了通俗的方法解释——它不仅列出方法名称，还会解释方法的原理与适用范围，让跨学科读者能够快速理解。同时，Agent 提问支持任意深度的追问，遇到不懂的概念可以直接问「什么是 scRNA-seq」「为什么用 t-SNE 而不是 PCA」，获得基于论文上下文的即时解答。这种跨学科友好性是 MedReader 区别于纯生物医学工具的重要特征。</w:t>
      </w:r>
    </w:p>
    <w:p>
      <w:pPr>
        <w:pStyle w:val="Heading2"/>
        <w:spacing w:after="140" w:before="320"/>
      </w:pPr>
      <w:bookmarkStart w:id="100025" w:name="_Toc100025"/>
      <w:r>
        <w:rPr>
          <w:rFonts w:ascii="Calibri" w:eastAsia="SimHei"/>
          <w:b/>
          <w:bCs/>
          <w:color w:val="1F2937"/>
          <w:sz w:val="28"/>
          <w:szCs w:val="28"/>
        </w:rPr>
        <w:t xml:space="preserve">3.5  期刊编辑与审稿人辅助</w:t>
      </w:r>
      <w:bookmarkEnd w:id="100025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期刊编辑和审稿人需要快速判断一篇投稿论文的质量、原创性、方法严谨性。他们的工作流程通常是：先看摘要和图表，决定是否送审；送审后仔细评估方法、结果、结论的可靠性。MedReader 的六维度分析与这个工作流程高度契合——「创新性」维度帮助编辑判断是否值得送审，「论证逻辑解析」和「局限性」维度帮助审稿人识别论文的潜在问题。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需要说明的是，MedReader 不能替代审稿人的专业判断，但可以作为审稿过程中的辅助工具——特别是在面对跨学科稿件时，审稿人可以用 Agent 提问快速理解不熟悉的方法部分。这种辅助能够提升审稿效率，缩短从投稿到决定的周期。</w:t>
      </w:r>
    </w:p>
    <w:p>
      <w:pPr>
        <w:pStyle w:val="Heading2"/>
        <w:spacing w:after="140" w:before="320"/>
      </w:pPr>
      <w:bookmarkStart w:id="100026" w:name="_Toc100026"/>
      <w:r>
        <w:rPr>
          <w:rFonts w:ascii="Calibri" w:eastAsia="SimHei"/>
          <w:b/>
          <w:bCs/>
          <w:color w:val="1F2937"/>
          <w:sz w:val="28"/>
          <w:szCs w:val="28"/>
        </w:rPr>
        <w:t xml:space="preserve">3.6  临床医生跟进最新研究</w:t>
      </w:r>
      <w:bookmarkEnd w:id="100026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临床医生的工作节奏与基础研究者不同——他们白天忙于诊疗，能够用于阅读文献的时间往往碎片化地分布在通勤、午休、值班间隙。在这种碎片化时间下，传统阅读方式几乎无法完成一篇论文的精读。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MedReader 的多视图设计特别适合碎片化阅读：医生可以在手机或平板上打开 MedReader，先用思维导图五分钟把握论文骨架，下次有空时再看六维度分析中的「实验方法与结果」维度，再下次用 Agent 提问澄清疑问。每个视图都是独立的入口，无需从上次离开的地方继续，完美契合碎片化场景。这种「随时读一点」的模式，让临床医生能够真正跟上自己领域的最新进展，而不是被动等待指南更新。</w:t>
      </w:r>
    </w:p>
    <w:p>
      <w:pPr>
        <w:pStyle w:val="Heading1"/>
        <w:spacing w:after="200" w:before="480"/>
      </w:pPr>
      <w:bookmarkStart w:id="100027" w:name="_Toc100027"/>
      <w:r>
        <w:rPr>
          <w:rFonts w:ascii="Calibri" w:eastAsia="SimHei"/>
          <w:b/>
          <w:bCs/>
          <w:color w:val="7C3AED"/>
          <w:sz w:val="36"/>
          <w:szCs w:val="36"/>
        </w:rPr>
        <w:t xml:space="preserve">第四章  技术路线与架构</w:t>
      </w:r>
      <w:bookmarkEnd w:id="100027"/>
    </w:p>
    <w:p>
      <w:pPr>
        <w:pStyle w:val="Heading2"/>
        <w:spacing w:after="140" w:before="320"/>
      </w:pPr>
      <w:bookmarkStart w:id="100028" w:name="_Toc100028"/>
      <w:r>
        <w:rPr>
          <w:rFonts w:ascii="Calibri" w:eastAsia="SimHei"/>
          <w:b/>
          <w:bCs/>
          <w:color w:val="1F2937"/>
          <w:sz w:val="28"/>
          <w:szCs w:val="28"/>
        </w:rPr>
        <w:t xml:space="preserve">4.1  技术栈总览</w:t>
      </w:r>
      <w:bookmarkEnd w:id="100028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MedReader Agent 的技术栈选型遵循三个原则：一是选择成熟、社区活跃的开源技术，避免冷门框架的维护风险；二是优先支持服务端渲染（SSR）和边缘部署，保证首屏加载速度；三是与现有 AI 生态深度集成，方便后续扩展更多模型。具体技术栈如下表所示。</w:t>
      </w:r>
    </w:p>
    <w:tbl>
      <w:tblPr>
        <w:tblW w:type="pct" w:w="100%"/>
        <w:tblBorders>
          <w:top w:val="single" w:color="7C3AED" w:sz="8"/>
          <w:left w:val="none"/>
          <w:bottom w:val="single" w:color="7C3AED" w:sz="8"/>
          <w:right w:val="none"/>
          <w:insideH w:val="single" w:color="EDE9FE" w:sz="4"/>
          <w:insideV w:val="none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28%"/>
            <w:shd w:fill="5B21B6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类别</w:t>
            </w:r>
          </w:p>
        </w:tc>
        <w:tc>
          <w:tcPr>
            <w:tcW w:type="pct" w:w="72%"/>
            <w:shd w:fill="5B21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eastAsia="Microsoft YaHei"/>
                <w:color w:val="FFFFFF"/>
                <w:sz w:val="22"/>
                <w:szCs w:val="22"/>
              </w:rPr>
              <w:t xml:space="preserve">技术选型</w:t>
            </w:r>
          </w:p>
        </w:tc>
      </w:tr>
      <w:tr>
        <w:trPr>
          <w:cantSplit/>
        </w:trPr>
        <w:tc>
          <w:tcPr>
            <w:tcW w:type="pct" w:w="28%"/>
            <w:shd w:fill="F5F3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1F2937"/>
                <w:sz w:val="22"/>
                <w:szCs w:val="22"/>
              </w:rPr>
              <w:t xml:space="preserve">前端框架</w:t>
            </w:r>
          </w:p>
        </w:tc>
        <w:tc>
          <w:tcPr>
            <w:tcW w:type="pct" w:w="72%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eastAsia="Microsoft YaHei"/>
                <w:color w:val="1F2937"/>
                <w:sz w:val="22"/>
                <w:szCs w:val="22"/>
              </w:rPr>
              <w:t xml:space="preserve">Next.js 16（App Router + Turbopack）</w:t>
            </w:r>
          </w:p>
        </w:tc>
      </w:tr>
      <w:tr>
        <w:trPr>
          <w:cantSplit/>
        </w:trPr>
        <w:tc>
          <w:tcPr>
            <w:tcW w:type="pct" w:w="28%"/>
            <w:shd w:fill="F5F3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1F2937"/>
                <w:sz w:val="22"/>
                <w:szCs w:val="22"/>
              </w:rPr>
              <w:t xml:space="preserve">编程语言</w:t>
            </w:r>
          </w:p>
        </w:tc>
        <w:tc>
          <w:tcPr>
            <w:tcW w:type="pct" w:w="72%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eastAsia="Microsoft YaHei"/>
                <w:color w:val="1F2937"/>
                <w:sz w:val="22"/>
                <w:szCs w:val="22"/>
              </w:rPr>
              <w:t xml:space="preserve">TypeScript 5（严格模式）</w:t>
            </w:r>
          </w:p>
        </w:tc>
      </w:tr>
      <w:tr>
        <w:trPr>
          <w:cantSplit/>
        </w:trPr>
        <w:tc>
          <w:tcPr>
            <w:tcW w:type="pct" w:w="28%"/>
            <w:shd w:fill="F5F3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1F2937"/>
                <w:sz w:val="22"/>
                <w:szCs w:val="22"/>
              </w:rPr>
              <w:t xml:space="preserve">UI 组件库</w:t>
            </w:r>
          </w:p>
        </w:tc>
        <w:tc>
          <w:tcPr>
            <w:tcW w:type="pct" w:w="72%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eastAsia="Microsoft YaHei"/>
                <w:color w:val="1F2937"/>
                <w:sz w:val="22"/>
                <w:szCs w:val="22"/>
              </w:rPr>
              <w:t xml:space="preserve">shadcn/ui + Radix UI + Tailwind CSS 4</w:t>
            </w:r>
          </w:p>
        </w:tc>
      </w:tr>
      <w:tr>
        <w:trPr>
          <w:cantSplit/>
        </w:trPr>
        <w:tc>
          <w:tcPr>
            <w:tcW w:type="pct" w:w="28%"/>
            <w:shd w:fill="F5F3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1F2937"/>
                <w:sz w:val="22"/>
                <w:szCs w:val="22"/>
              </w:rPr>
              <w:t xml:space="preserve">状态管理</w:t>
            </w:r>
          </w:p>
        </w:tc>
        <w:tc>
          <w:tcPr>
            <w:tcW w:type="pct" w:w="72%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eastAsia="Microsoft YaHei"/>
                <w:color w:val="1F2937"/>
                <w:sz w:val="22"/>
                <w:szCs w:val="22"/>
              </w:rPr>
              <w:t xml:space="preserve">React Hooks + 自定义 hook（无 Redux）</w:t>
            </w:r>
          </w:p>
        </w:tc>
      </w:tr>
      <w:tr>
        <w:trPr>
          <w:cantSplit/>
        </w:trPr>
        <w:tc>
          <w:tcPr>
            <w:tcW w:type="pct" w:w="28%"/>
            <w:shd w:fill="F5F3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1F2937"/>
                <w:sz w:val="22"/>
                <w:szCs w:val="22"/>
              </w:rPr>
              <w:t xml:space="preserve">思维导图</w:t>
            </w:r>
          </w:p>
        </w:tc>
        <w:tc>
          <w:tcPr>
            <w:tcW w:type="pct" w:w="72%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eastAsia="Microsoft YaHei"/>
                <w:color w:val="1F2937"/>
                <w:sz w:val="22"/>
                <w:szCs w:val="22"/>
              </w:rPr>
              <w:t xml:space="preserve">@xyflow/react v12 + @dagrejs/dagre v3</w:t>
            </w:r>
          </w:p>
        </w:tc>
      </w:tr>
      <w:tr>
        <w:trPr>
          <w:cantSplit/>
        </w:trPr>
        <w:tc>
          <w:tcPr>
            <w:tcW w:type="pct" w:w="28%"/>
            <w:shd w:fill="F5F3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1F2937"/>
                <w:sz w:val="22"/>
                <w:szCs w:val="22"/>
              </w:rPr>
              <w:t xml:space="preserve">后端运行时</w:t>
            </w:r>
          </w:p>
        </w:tc>
        <w:tc>
          <w:tcPr>
            <w:tcW w:type="pct" w:w="72%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eastAsia="Microsoft YaHei"/>
                <w:color w:val="1F2937"/>
                <w:sz w:val="22"/>
                <w:szCs w:val="22"/>
              </w:rPr>
              <w:t xml:space="preserve">Node.js 20 + Bun（production）</w:t>
            </w:r>
          </w:p>
        </w:tc>
      </w:tr>
      <w:tr>
        <w:trPr>
          <w:cantSplit/>
        </w:trPr>
        <w:tc>
          <w:tcPr>
            <w:tcW w:type="pct" w:w="28%"/>
            <w:shd w:fill="F5F3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1F2937"/>
                <w:sz w:val="22"/>
                <w:szCs w:val="22"/>
              </w:rPr>
              <w:t xml:space="preserve">数据库 ORM</w:t>
            </w:r>
          </w:p>
        </w:tc>
        <w:tc>
          <w:tcPr>
            <w:tcW w:type="pct" w:w="72%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eastAsia="Microsoft YaHei"/>
                <w:color w:val="1F2937"/>
                <w:sz w:val="22"/>
                <w:szCs w:val="22"/>
              </w:rPr>
              <w:t xml:space="preserve">Prisma 6 + SQLite</w:t>
            </w:r>
          </w:p>
        </w:tc>
      </w:tr>
      <w:tr>
        <w:trPr>
          <w:cantSplit/>
        </w:trPr>
        <w:tc>
          <w:tcPr>
            <w:tcW w:type="pct" w:w="28%"/>
            <w:shd w:fill="F5F3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1F2937"/>
                <w:sz w:val="22"/>
                <w:szCs w:val="22"/>
              </w:rPr>
              <w:t xml:space="preserve">认证系统</w:t>
            </w:r>
          </w:p>
        </w:tc>
        <w:tc>
          <w:tcPr>
            <w:tcW w:type="pct" w:w="72%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eastAsia="Microsoft YaHei"/>
                <w:color w:val="1F2937"/>
                <w:sz w:val="22"/>
                <w:szCs w:val="22"/>
              </w:rPr>
              <w:t xml:space="preserve">NextAuth.js v4</w:t>
            </w:r>
          </w:p>
        </w:tc>
      </w:tr>
      <w:tr>
        <w:trPr>
          <w:cantSplit/>
        </w:trPr>
        <w:tc>
          <w:tcPr>
            <w:tcW w:type="pct" w:w="28%"/>
            <w:shd w:fill="F5F3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1F2937"/>
                <w:sz w:val="22"/>
                <w:szCs w:val="22"/>
              </w:rPr>
              <w:t xml:space="preserve">PDF 解析</w:t>
            </w:r>
          </w:p>
        </w:tc>
        <w:tc>
          <w:tcPr>
            <w:tcW w:type="pct" w:w="72%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eastAsia="Microsoft YaHei"/>
                <w:color w:val="1F2937"/>
                <w:sz w:val="22"/>
                <w:szCs w:val="22"/>
              </w:rPr>
              <w:t xml:space="preserve">MinerU Cloud API（主）+ pdfjs-dist（兜底）</w:t>
            </w:r>
          </w:p>
        </w:tc>
      </w:tr>
      <w:tr>
        <w:trPr>
          <w:cantSplit/>
        </w:trPr>
        <w:tc>
          <w:tcPr>
            <w:tcW w:type="pct" w:w="28%"/>
            <w:shd w:fill="F5F3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1F2937"/>
                <w:sz w:val="22"/>
                <w:szCs w:val="22"/>
              </w:rPr>
              <w:t xml:space="preserve">LLM 提供商</w:t>
            </w:r>
          </w:p>
        </w:tc>
        <w:tc>
          <w:tcPr>
            <w:tcW w:type="pct" w:w="72%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eastAsia="Microsoft YaHei"/>
                <w:color w:val="1F2937"/>
                <w:sz w:val="22"/>
                <w:szCs w:val="22"/>
              </w:rPr>
              <w:t xml:space="preserve">DeepSeek（默认）+ OpenAI / 智谱 / Moonshot / Anthropic / 自定义</w:t>
            </w:r>
          </w:p>
        </w:tc>
      </w:tr>
      <w:tr>
        <w:trPr>
          <w:cantSplit/>
        </w:trPr>
        <w:tc>
          <w:tcPr>
            <w:tcW w:type="pct" w:w="28%"/>
            <w:shd w:fill="F5F3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1F2937"/>
                <w:sz w:val="22"/>
                <w:szCs w:val="22"/>
              </w:rPr>
              <w:t xml:space="preserve">Markdown 渲染</w:t>
            </w:r>
          </w:p>
        </w:tc>
        <w:tc>
          <w:tcPr>
            <w:tcW w:type="pct" w:w="72%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eastAsia="Microsoft YaHei"/>
                <w:color w:val="1F2937"/>
                <w:sz w:val="22"/>
                <w:szCs w:val="22"/>
              </w:rPr>
              <w:t xml:space="preserve">react-markdown + remark-gfm</w:t>
            </w:r>
          </w:p>
        </w:tc>
      </w:tr>
      <w:tr>
        <w:trPr>
          <w:cantSplit/>
        </w:trPr>
        <w:tc>
          <w:tcPr>
            <w:tcW w:type="pct" w:w="28%"/>
            <w:shd w:fill="F5F3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1F2937"/>
                <w:sz w:val="22"/>
                <w:szCs w:val="22"/>
              </w:rPr>
              <w:t xml:space="preserve">图标库</w:t>
            </w:r>
          </w:p>
        </w:tc>
        <w:tc>
          <w:tcPr>
            <w:tcW w:type="pct" w:w="72%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eastAsia="Microsoft YaHei"/>
                <w:color w:val="1F2937"/>
                <w:sz w:val="22"/>
                <w:szCs w:val="22"/>
              </w:rPr>
              <w:t xml:space="preserve">lucide-react</w:t>
            </w:r>
          </w:p>
        </w:tc>
      </w:tr>
      <w:tr>
        <w:trPr>
          <w:cantSplit/>
        </w:trPr>
        <w:tc>
          <w:tcPr>
            <w:tcW w:type="pct" w:w="28%"/>
            <w:shd w:fill="F5F3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eastAsia="SimHei"/>
                <w:b/>
                <w:bCs/>
                <w:color w:val="1F2937"/>
                <w:sz w:val="22"/>
                <w:szCs w:val="22"/>
              </w:rPr>
              <w:t xml:space="preserve">部署方式</w:t>
            </w:r>
          </w:p>
        </w:tc>
        <w:tc>
          <w:tcPr>
            <w:tcW w:type="pct" w:w="72%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eastAsia="Microsoft YaHei"/>
                <w:color w:val="1F2937"/>
                <w:sz w:val="22"/>
                <w:szCs w:val="22"/>
              </w:rPr>
              <w:t xml:space="preserve">Docker Compose + Node standalone</w:t>
            </w:r>
          </w:p>
        </w:tc>
      </w:tr>
    </w:tbl>
    <w:p>
      <w:pPr>
        <w:pStyle w:val="Heading2"/>
        <w:spacing w:after="140" w:before="320"/>
      </w:pPr>
      <w:bookmarkStart w:id="100029" w:name="_Toc100029"/>
      <w:r>
        <w:rPr>
          <w:rFonts w:ascii="Calibri" w:eastAsia="SimHei"/>
          <w:b/>
          <w:bCs/>
          <w:color w:val="1F2937"/>
          <w:sz w:val="28"/>
          <w:szCs w:val="28"/>
        </w:rPr>
        <w:t xml:space="preserve">4.2  系统架构概览</w:t>
      </w:r>
      <w:bookmarkEnd w:id="100029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MedReader 采用经典的 Next.js 全栈架构，前端与后端在同一个代码仓库中，通过 App Router 的 API Routes 暴露后端能力。整体可以划分为四层：表现层（5 面板 UI + 交互逻辑）、API 层（Next.js API Routes，处理上传、分析、对话、翻译等请求）、服务层（LLM 调用封装、MinerU 解析封装、Prisma 数据访问）、持久化层（SQLite 数据库 + 文件系统 uploads 目录）。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这种分层架构的好处是职责清晰：表现层只关心如何展示数据，API 层只关心请求路由和参数校验，服务层封装外部 API 调用和业务逻辑，持久化层负责数据存取。当某一层需要替换时（例如把 SQLite 换成 PostgreSQL，或把 DeepSeek 换成其他 LLM），改动可以局限在单层内，不会波及整体。</w:t>
      </w:r>
    </w:p>
    <w:p>
      <w:pPr>
        <w:pStyle w:val="Heading2"/>
        <w:spacing w:after="140" w:before="320"/>
      </w:pPr>
      <w:bookmarkStart w:id="100030" w:name="_Toc100030"/>
      <w:r>
        <w:rPr>
          <w:rFonts w:ascii="Calibri" w:eastAsia="SimHei"/>
          <w:b/>
          <w:bCs/>
          <w:color w:val="1F2937"/>
          <w:sz w:val="28"/>
          <w:szCs w:val="28"/>
        </w:rPr>
        <w:t xml:space="preserve">4.3  PDF 解析流程</w:t>
      </w:r>
      <w:bookmarkEnd w:id="100030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PDF 解析是 MedReader 的技术核心之一，因为后续所有的 AI 分析、段落导航、思维导图都依赖结构化的解析结果。系统采用双轨策略：优先调用 MinerU Cloud API 获得最佳解析质量，失败时回退到 pdfjs-dist 在本地解析。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MinerU 是上海人工智能实验室开源的 PDF 解析服务，特别擅长处理学术论文这种结构复杂的文档——它能够识别双栏排版、提取图表为独立图像、保留标题层级、甚至解析数学公式。MinerU 返回的结果包含三部分：结构化的 Markdown 文本（保留 H1/H2/H3 层级）、块级 JSON（每个文本块带页面索引和边界框）、图像文件列表（每张图表一个 jpg/png 文件）。这三部分被分别用于智能解析视图、原文段落定位、图表独立展示。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当 MinerU 不可用（例如 API Token 过期或网络故障）时，系统会回退到 pdfjs-dist 在 Node 端本地解析。pdfjs-dist 的解析质量不如 MinerU——它只能提取纯文本，无法识别标题层级，也无法提取图表——但能保证基本可用性，让用户至少看到论文的文字内容。这种「主备双轨」设计确保系统在网络异常或服务故障时仍然能够工作。</w:t>
      </w:r>
    </w:p>
    <w:p>
      <w:pPr>
        <w:pStyle w:val="Heading2"/>
        <w:spacing w:after="140" w:before="320"/>
      </w:pPr>
      <w:bookmarkStart w:id="100031" w:name="_Toc100031"/>
      <w:r>
        <w:rPr>
          <w:rFonts w:ascii="Calibri" w:eastAsia="SimHei"/>
          <w:b/>
          <w:bCs/>
          <w:color w:val="1F2937"/>
          <w:sz w:val="28"/>
          <w:szCs w:val="28"/>
        </w:rPr>
        <w:t xml:space="preserve">4.4  LLM 调用策略</w:t>
      </w:r>
      <w:bookmarkEnd w:id="100031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MedReader 的 LLM 调用层设计得相当灵活，支持六大 LLM 提供商：DeepSeek（默认）、OpenAI、智谱 GLM、Moonshot Kimi、Anthropic Claude、自定义 OpenAI 兼容端点（如本地 Ollama、vLLM）。所有调用都通过统一的 callLLM 函数封装，传入 provider 名称、消息列表、配置参数，函数内部根据 provider 路由到对应的 API 端点和鉴权方式。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六维度分析采用了并行调用策略——六次 LLM 调用同时发起（Promise.all），而不是串行执行。这使得整个分析过程的耗时由「六次调用之和」变为「最慢一次调用」，整体响应时间从两到三分钟缩短到三十到六十秒。每次调用都使用专门设计的提示词（prompt），明确要求输出严格 JSON 格式，包含 title / summary / detail / keyPoints / quote / children 等字段。这种结构化输出让前端可以直接渲染，无需额外的解析逻辑。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另一个关键设计是「原文定位短语」（quote）字段。每次 LLM 调用都被要求在输出中包含一段 10-30 字的原文逐字片段，这段片段会被用于在前端跳转到 PDF 对应位置。这个机制确保了 LLM 的分析结论始终能溯源到论文原文，避免了「AI 编造内容」的风险。</w:t>
      </w:r>
    </w:p>
    <w:p>
      <w:pPr>
        <w:pStyle w:val="Heading2"/>
        <w:spacing w:after="140" w:before="320"/>
      </w:pPr>
      <w:bookmarkStart w:id="100032" w:name="_Toc100032"/>
      <w:r>
        <w:rPr>
          <w:rFonts w:ascii="Calibri" w:eastAsia="SimHei"/>
          <w:b/>
          <w:bCs/>
          <w:color w:val="1F2937"/>
          <w:sz w:val="28"/>
          <w:szCs w:val="28"/>
        </w:rPr>
        <w:t xml:space="preserve">4.5  段落导航的 LLM 结构分析</w:t>
      </w:r>
      <w:bookmarkEnd w:id="100032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原文段落导航的难点在于：MinerU 提取的 H1/H2/H3 层级经常不可靠。例如 Cell Press 论文把「Novelty and Significance」标为 H1，把真正的 Results 子小节都嵌在它下面作为 H2；又比如某些论文直接列出子小节（如「梗死心脏中...」「SiglecF...」）却缺少「Results」总标题。如果直接按 MinerU 的层级渲染导航树，用户看到的会是一团乱麻。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MedReader 的解决方案是：把原始标题列表和论文正文前 8000 字符一起交给 LLM，让模型基于正文上下文（而不仅是标题文本）判断每个标题的真正性质。LLM 输出一个 2 级树结构：每个节点标记为「major」（真正的章节）或「metadata」（期刊样板），子小节归入对应 major 的 children 数组。如果论文缺少 Results 总标题，LLM 会合成一个；如果某 H2 实际上是主要章节，LLM 会把它提升为 major。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这种基于原文的结构分析，让段落导航在不同期刊、不同格式的论文上都能保持一致的准确性，是 MedReader 在用户体验上的一个重要细节优化。</w:t>
      </w:r>
    </w:p>
    <w:p>
      <w:pPr>
        <w:pStyle w:val="Heading2"/>
        <w:spacing w:after="140" w:before="320"/>
      </w:pPr>
      <w:bookmarkStart w:id="100033" w:name="_Toc100033"/>
      <w:r>
        <w:rPr>
          <w:rFonts w:ascii="Calibri" w:eastAsia="SimHei"/>
          <w:b/>
          <w:bCs/>
          <w:color w:val="1F2937"/>
          <w:sz w:val="28"/>
          <w:szCs w:val="28"/>
        </w:rPr>
        <w:t xml:space="preserve">4.6  思维导图自动布局</w:t>
      </w:r>
      <w:bookmarkEnd w:id="100033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思维导图的技术实现基于 @xyflow/react（React Flow v12）和 @dagrejs/dagre 两个开源库。React Flow 负责节点渲染、拖拽、缩放、连线绘制等交互能力，Dagre 负责自动布局——它根据节点间的依赖关系，自动计算每个节点的 x/y 坐标，使整棵树看起来均匀、不重叠。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MedReader 把六维度分析结果转换为 React Flow 的节点和边：根节点是论文标题，六个维度作为一级子节点（每个维度有专属配色），各维度的子要点作为二级子节点。布局方向是从左到右（rankdir: LR），符合中文阅读习惯。节点连线使用平滑曲线（smoothstep edge），让视觉上更柔和。用户可以拖拽节点重新布局、缩放视图、点击节点跳转到对应内容。整个思维导图是「半自动」的——自动布局保证初始可读，手动调整满足个性化需求。</w:t>
      </w:r>
    </w:p>
    <w:p>
      <w:pPr>
        <w:pStyle w:val="Heading2"/>
        <w:spacing w:after="140" w:before="320"/>
      </w:pPr>
      <w:bookmarkStart w:id="100034" w:name="_Toc100034"/>
      <w:r>
        <w:rPr>
          <w:rFonts w:ascii="Calibri" w:eastAsia="SimHei"/>
          <w:b/>
          <w:bCs/>
          <w:color w:val="1F2937"/>
          <w:sz w:val="28"/>
          <w:szCs w:val="28"/>
        </w:rPr>
        <w:t xml:space="preserve">4.7  用户系统与配额</w:t>
      </w:r>
      <w:bookmarkEnd w:id="100034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用户认证基于 NextAuth.js v4 实现，支持邮箱密码登录和注册。密码使用 bcrypt 哈希存储，session 通过 JWT 签名（NEXTAUTH_SECRET）。每个用户的论文、聊天历史、个人 LLM 配置都通过 Prisma 关联到用户 ID，保证数据隔离。系统还支持匿名访问，未登录用户可以体验核心功能，但配额更低，且数据不持久化。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配额管理通过 DailyQuota 表实现，记录每个用户每天的 LLM 调用次数和 PDF 解析次数。每次调用前先检查配额，超额则返回 429 错误并提示用户。管理员可以在后台调整配额、查看使用统计、收集用户反馈（点赞 / 点踩）。这种设计在「免费试用」与「成本可控」之间取得了平衡，也为未来引入付费套餐预留了扩展空间。</w:t>
      </w:r>
    </w:p>
    <w:p>
      <w:pPr>
        <w:pStyle w:val="Heading2"/>
        <w:spacing w:after="140" w:before="320"/>
      </w:pPr>
      <w:bookmarkStart w:id="100035" w:name="_Toc100035"/>
      <w:r>
        <w:rPr>
          <w:rFonts w:ascii="Calibri" w:eastAsia="SimHei"/>
          <w:b/>
          <w:bCs/>
          <w:color w:val="1F2937"/>
          <w:sz w:val="28"/>
          <w:szCs w:val="28"/>
        </w:rPr>
        <w:t xml:space="preserve">4.8  性能优化与容错</w:t>
      </w:r>
      <w:bookmarkEnd w:id="100035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MedReader 在性能和容错方面做了多项优化。首屏加载方面，Next.js 16 的 Turbopack 编译器把启动时间从 webpack 的 8 秒缩短到 1 秒以内；standalone 输出模式让生产构建可以直接用 Bun 运行，无需 Node_modules，启动时间进一步缩短到 100 毫秒以内。响应速度方面，PDF 上传后默认显示 PDF 视图，避免用户在 MinerU 解析的 30-90 秒等待中看到空白页面；解析完成后自动切换到智能解析视图（除非用户已手动切换过 tab）。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容错方面，每个 LLM 调用都包裹在 try-catch 中，单个维度失败不会影响其他维度的输出，而是显示「该维度分析失败，请稍后重试」的占位提示。MinerU 解析失败时自动回退到 pdfjs-dist。数据库写入失败时记录日志但不阻塞响应。这种「优雅降级」的设计哲学确保系统在部分故障时仍能提供可用服务，而不是整体崩溃。</w:t>
      </w:r>
    </w:p>
    <w:p>
      <w:pPr>
        <w:pStyle w:val="Heading1"/>
        <w:spacing w:after="200" w:before="480"/>
      </w:pPr>
      <w:bookmarkStart w:id="100036" w:name="_Toc100036"/>
      <w:r>
        <w:rPr>
          <w:rFonts w:ascii="Calibri" w:eastAsia="SimHei"/>
          <w:b/>
          <w:bCs/>
          <w:color w:val="7C3AED"/>
          <w:sz w:val="36"/>
          <w:szCs w:val="36"/>
        </w:rPr>
        <w:t xml:space="preserve">第五章  部署与运维</w:t>
      </w:r>
      <w:bookmarkEnd w:id="100036"/>
    </w:p>
    <w:p>
      <w:pPr>
        <w:pStyle w:val="Heading2"/>
        <w:spacing w:after="140" w:before="320"/>
      </w:pPr>
      <w:bookmarkStart w:id="100037" w:name="_Toc100037"/>
      <w:r>
        <w:rPr>
          <w:rFonts w:ascii="Calibri" w:eastAsia="SimHei"/>
          <w:b/>
          <w:bCs/>
          <w:color w:val="1F2937"/>
          <w:sz w:val="28"/>
          <w:szCs w:val="28"/>
        </w:rPr>
        <w:t xml:space="preserve">5.1  部署架构</w:t>
      </w:r>
      <w:bookmarkEnd w:id="100037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MedReader 采用 Docker Compose 部署方案，整个系统封装在一个 Docker 容器内运行。容器基于 node:20-alpine 镜像，内置 Bun 运行时和 tini 进程管理器。两个宿主机目录通过 volume 挂载到容器内：./data 挂载到 /app/data（存放 SQLite 数据库），./uploads 挂载到 /app/uploads（存放用户上传的 PDF 和 MinerU 提取的图表）。这种设计确保容器重建后数据仍然持久。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容器对外暴露 3000 端口，通过宿主机的 3000 端口直接访问。如果需要 80/443 端口和 HTTPS，可以在前面加一层 Caddy 反向代理，自动签发 Let's Encrypt 证书。当前部署在阿里云 ECS（2 vCPU / 2 GiB / 40 GiB ESSD）上，公网 IP 为 47.253.133.131，通过 http://47.253.133.131:3000 直接访问。</w:t>
      </w:r>
    </w:p>
    <w:p>
      <w:pPr>
        <w:pStyle w:val="Heading2"/>
        <w:spacing w:after="140" w:before="320"/>
      </w:pPr>
      <w:bookmarkStart w:id="100038" w:name="_Toc100038"/>
      <w:r>
        <w:rPr>
          <w:rFonts w:ascii="Calibri" w:eastAsia="SimHei"/>
          <w:b/>
          <w:bCs/>
          <w:color w:val="1F2937"/>
          <w:sz w:val="28"/>
          <w:szCs w:val="28"/>
        </w:rPr>
        <w:t xml:space="preserve">5.2  环境变量配置</w:t>
      </w:r>
      <w:bookmarkEnd w:id="100038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系统通过 .env.production 文件管理环境变量，docker-compose.yml 通过 env_file 字段加载。关键变量包括：DATABASE_URL（SQLite 数据库路径，默认 /app/data/custom.db）、UPLOADS_DIR（上传目录路径，默认 /app/uploads）、NEXTAUTH_SECRET（NextAuth 会话签名密钥，必须随机生成）、NEXTAUTH_URL（应用公网 URL，用于 cookie 和回调）、MINERU_API_TOKEN（MinerU Cloud API 令牌）、DEEPSEEK_API_KEY（DeepSeek API 密钥）等。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为了方便首次部署，系统提供了 .env.production.example 模板，包含所有变量的说明和默认值。部署脚本 deploy.sh 会自动从模板生成 .env.production，随机生成 NEXTAUTH_SECRET，并根据服务器 IP 设置 NEXTAUTH_URL。用户只需要在部署后编辑 .env.production 填入正式的 API Key 即可。</w:t>
      </w:r>
    </w:p>
    <w:p>
      <w:pPr>
        <w:pStyle w:val="Heading2"/>
        <w:spacing w:after="140" w:before="320"/>
      </w:pPr>
      <w:bookmarkStart w:id="100039" w:name="_Toc100039"/>
      <w:r>
        <w:rPr>
          <w:rFonts w:ascii="Calibri" w:eastAsia="SimHei"/>
          <w:b/>
          <w:bCs/>
          <w:color w:val="1F2937"/>
          <w:sz w:val="28"/>
          <w:szCs w:val="28"/>
        </w:rPr>
        <w:t xml:space="preserve">5.3  一键部署脚本</w:t>
      </w:r>
      <w:bookmarkEnd w:id="100039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deploy.sh 脚本封装了完整的部署流程，包含五个步骤：预检查（pre-flight checks）确保运行环境就绪；安装 Docker（如果尚未安装）；同步代码到 /opt/medreader（支持 git clone 或 rsync 两种方式）；准备 .env.production 并迁移现有数据；构建镜像并启动容器。脚本会在容器启动后等待健康检查通过（最多 90 秒），然后打印访问 URL。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后续更新代码时，只需在服务器上执行 git pull &amp;&amp; bash deploy.sh，脚本会自动重新构建镜像并重启容器。整个过程通常在两到三分钟内完成，无需手动停止服务。这种「一键更新」的体验极大降低了运维成本。</w:t>
      </w:r>
    </w:p>
    <w:p>
      <w:pPr>
        <w:pStyle w:val="Heading2"/>
        <w:spacing w:after="140" w:before="320"/>
      </w:pPr>
      <w:bookmarkStart w:id="100040" w:name="_Toc100040"/>
      <w:r>
        <w:rPr>
          <w:rFonts w:ascii="Calibri" w:eastAsia="SimHei"/>
          <w:b/>
          <w:bCs/>
          <w:color w:val="1F2937"/>
          <w:sz w:val="28"/>
          <w:szCs w:val="28"/>
        </w:rPr>
        <w:t xml:space="preserve">5.4  数据持久化与备份</w:t>
      </w:r>
      <w:bookmarkEnd w:id="100040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MedReader 的数据全部存储在两个宿主机目录中：./data/custom.db 是 SQLite 数据库文件，包含所有用户账号、论文元数据、聊天历史、使用统计；./uploads/ 目录包含用户上传的 PDF 原文和 MinerU 提取的图像文件。这两个目录通过 Docker volume 挂载，容器删除后数据仍然存在。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备份策略非常简单：定期执行 tar -czf medreader-backup-YYYYMMDD.tar.gz data/ uploads/ .env.production 即可。恢复时把备份文件解压到对应位置，重启容器即可。对于数据量较大的部署，建议每天自动备份并上传到对象存储（如阿里云 OSS），保留最近 30 天的备份。</w:t>
      </w:r>
    </w:p>
    <w:p>
      <w:pPr>
        <w:pStyle w:val="Heading2"/>
        <w:spacing w:after="140" w:before="320"/>
      </w:pPr>
      <w:bookmarkStart w:id="100041" w:name="_Toc100041"/>
      <w:r>
        <w:rPr>
          <w:rFonts w:ascii="Calibri" w:eastAsia="SimHei"/>
          <w:b/>
          <w:bCs/>
          <w:color w:val="1F2937"/>
          <w:sz w:val="28"/>
          <w:szCs w:val="28"/>
        </w:rPr>
        <w:t xml:space="preserve">5.5  常见运维命令</w:t>
      </w:r>
      <w:bookmarkEnd w:id="100041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日常运维只需要掌握几个 Docker Compose 命令：docker compose logs -f 查看实时日志；docker compose restart 重启容器（修改 .env.production 后用）；docker compose down 停止容器；docker compose up -d --build 重新构建并启动（代码更新后用）；docker compose exec medreader sh 进入容器调试。所有命令都在 /opt/medreader 目录下执行。</w:t>
      </w:r>
    </w:p>
    <w:p>
      <w:pPr>
        <w:pStyle w:val="Heading2"/>
        <w:spacing w:after="140" w:before="320"/>
      </w:pPr>
      <w:bookmarkStart w:id="100042" w:name="_Toc100042"/>
      <w:r>
        <w:rPr>
          <w:rFonts w:ascii="Calibri" w:eastAsia="SimHei"/>
          <w:b/>
          <w:bCs/>
          <w:color w:val="1F2937"/>
          <w:sz w:val="28"/>
          <w:szCs w:val="28"/>
        </w:rPr>
        <w:t xml:space="preserve">5.6  资源占用与扩展建议</w:t>
      </w:r>
      <w:bookmarkEnd w:id="100042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在 2 vCPU / 2 GiB 的阿里云 ECS 上，MedReader 的资源占用约为：内存 300-400 MB（Next.js standalone + Bun + Prisma）、CPU 平均 5%（空闲时近 0，请求时瞬时 10-30%）、磁盘约 5 GB（镜像 + 数据库 + 上传文件）。这个占用水平让 2 GiB 服务器留有充足余量。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如果未来用户量增长到需要更高性能，建议优先升级到 4 GiB 内存，然后考虑把 SQLite 换成 PostgreSQL（修改 DATABASE_URL 即可，Prisma 会自动处理迁移）。如果上传文件量大，可以把 uploads 目录挂载到对象存储或 NAS。如果 LLM 调用量激增，可以在前面加 Redis 缓存重复请求，或引入任务队列（如 BullMQ）异步处理分析任务。这些扩展点都已经在架构层面预留，无需重写代码。</w:t>
      </w:r>
    </w:p>
    <w:p>
      <w:pPr>
        <w:pStyle w:val="Heading1"/>
        <w:spacing w:after="200" w:before="480"/>
      </w:pPr>
      <w:bookmarkStart w:id="100043" w:name="_Toc100043"/>
      <w:r>
        <w:rPr>
          <w:rFonts w:ascii="Calibri" w:eastAsia="SimHei"/>
          <w:b/>
          <w:bCs/>
          <w:color w:val="7C3AED"/>
          <w:sz w:val="36"/>
          <w:szCs w:val="36"/>
        </w:rPr>
        <w:t xml:space="preserve">第六章  项目路线图</w:t>
      </w:r>
      <w:bookmarkEnd w:id="100043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MedReader Agent 不是一次性完成的产品，而是一个持续迭代的科研工具。项目路线图按照短期、中期、长期三个时间维度规划，每个阶段都有明确的目标和交付物。这种渐进式的发展策略既能快速响应用户反馈，又能保证技术架构的稳定性。</w:t>
      </w:r>
    </w:p>
    <w:p>
      <w:pPr>
        <w:pStyle w:val="Heading2"/>
        <w:spacing w:after="140" w:before="320"/>
      </w:pPr>
      <w:bookmarkStart w:id="100044" w:name="_Toc100044"/>
      <w:r>
        <w:rPr>
          <w:rFonts w:ascii="Calibri" w:eastAsia="SimHei"/>
          <w:b/>
          <w:bCs/>
          <w:color w:val="1F2937"/>
          <w:sz w:val="28"/>
          <w:szCs w:val="28"/>
        </w:rPr>
        <w:t xml:space="preserve">6.1  短期计划（3-6 个月）</w:t>
      </w:r>
      <w:bookmarkEnd w:id="100044"/>
    </w:p>
    <w:p>
      <w:pPr>
        <w:pStyle w:val="Heading3"/>
        <w:spacing w:after="100" w:before="240"/>
      </w:pPr>
      <w:bookmarkStart w:id="100045" w:name="_Toc100045"/>
      <w:r>
        <w:rPr>
          <w:rFonts w:ascii="Calibri" w:eastAsia="SimHei"/>
          <w:b/>
          <w:bCs/>
          <w:color w:val="1F2937"/>
          <w:sz w:val="24"/>
          <w:szCs w:val="24"/>
        </w:rPr>
        <w:t xml:space="preserve">多 LLM 提供商深度集成</w:t>
      </w:r>
      <w:bookmarkEnd w:id="100045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当前系统虽然支持六大 LLM 提供商，但默认仍依赖 DeepSeek。短期计划是完善其他提供商的集成测试，特别是智谱 GLM-4.5 和 Moonshot Kimi K2，让用户可以根据论文类型选择最适合的模型。同时引入「模型路由」机制：摘要生成用快速模型（如 GLM-4-Flash），深度分析用强模型（如 DeepSeek-Chat / GPT-4o），在质量和成本之间取得最优平衡。</w:t>
      </w:r>
    </w:p>
    <w:p>
      <w:pPr>
        <w:pStyle w:val="Heading3"/>
        <w:spacing w:after="100" w:before="240"/>
      </w:pPr>
      <w:bookmarkStart w:id="100046" w:name="_Toc100046"/>
      <w:r>
        <w:rPr>
          <w:rFonts w:ascii="Calibri" w:eastAsia="SimHei"/>
          <w:b/>
          <w:bCs/>
          <w:color w:val="1F2937"/>
          <w:sz w:val="24"/>
          <w:szCs w:val="24"/>
        </w:rPr>
        <w:t xml:space="preserve">协作标注功能</w:t>
      </w:r>
      <w:bookmarkEnd w:id="100046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支持课题组共享论文库和标注，让多个用户可以共同阅读同一篇论文、共享六维度分析结果、讨论关键问题。这是 MedReader 从「个人工具」向「团队工具」演进的关键一步，预计能显著提升在科研团队中的传播价值。</w:t>
      </w:r>
    </w:p>
    <w:p>
      <w:pPr>
        <w:pStyle w:val="Heading3"/>
        <w:spacing w:after="100" w:before="240"/>
      </w:pPr>
      <w:bookmarkStart w:id="100047" w:name="_Toc100047"/>
      <w:r>
        <w:rPr>
          <w:rFonts w:ascii="Calibri" w:eastAsia="SimHei"/>
          <w:b/>
          <w:bCs/>
          <w:color w:val="1F2937"/>
          <w:sz w:val="24"/>
          <w:szCs w:val="24"/>
        </w:rPr>
        <w:t xml:space="preserve">私有化部署支持</w:t>
      </w:r>
      <w:bookmarkEnd w:id="100047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完善 Docker Compose 部署方案，提供 Helm Chart 支持 Kubernetes 部署，让科研机构可以在内网部署 MedReader，使用自建的 LLM 服务（如本地 Ollama、vLLM）。这对有数据安全要求的医院、研究所尤为重要。</w:t>
      </w:r>
    </w:p>
    <w:p>
      <w:pPr>
        <w:pStyle w:val="Heading3"/>
        <w:spacing w:after="100" w:before="240"/>
      </w:pPr>
      <w:bookmarkStart w:id="100048" w:name="_Toc100048"/>
      <w:r>
        <w:rPr>
          <w:rFonts w:ascii="Calibri" w:eastAsia="SimHei"/>
          <w:b/>
          <w:bCs/>
          <w:color w:val="1F2937"/>
          <w:sz w:val="24"/>
          <w:szCs w:val="24"/>
        </w:rPr>
        <w:t xml:space="preserve">移动端适配</w:t>
      </w:r>
      <w:bookmarkEnd w:id="100048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针对手机和平板优化五面板布局，让临床医生、出差的研究者可以随时随地阅读文献。重点优化 PDF 渲染、思维导图缩放、Agent 对话的移动端体验。</w:t>
      </w:r>
    </w:p>
    <w:p>
      <w:pPr>
        <w:pStyle w:val="Heading2"/>
        <w:spacing w:after="140" w:before="320"/>
      </w:pPr>
      <w:bookmarkStart w:id="100049" w:name="_Toc100049"/>
      <w:r>
        <w:rPr>
          <w:rFonts w:ascii="Calibri" w:eastAsia="SimHei"/>
          <w:b/>
          <w:bCs/>
          <w:color w:val="1F2937"/>
          <w:sz w:val="28"/>
          <w:szCs w:val="28"/>
        </w:rPr>
        <w:t xml:space="preserve">6.2  中期计划（6-12 个月）</w:t>
      </w:r>
      <w:bookmarkEnd w:id="100049"/>
    </w:p>
    <w:p>
      <w:pPr>
        <w:pStyle w:val="Heading3"/>
        <w:spacing w:after="100" w:before="240"/>
      </w:pPr>
      <w:bookmarkStart w:id="100050" w:name="_Toc100050"/>
      <w:r>
        <w:rPr>
          <w:rFonts w:ascii="Calibri" w:eastAsia="SimHei"/>
          <w:b/>
          <w:bCs/>
          <w:color w:val="1F2937"/>
          <w:sz w:val="24"/>
          <w:szCs w:val="24"/>
        </w:rPr>
        <w:t xml:space="preserve">知识图谱构建</w:t>
      </w:r>
      <w:bookmarkEnd w:id="100050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从单篇论文分析扩展到多篇论文的知识图谱构建——用户上传多篇相关论文后，系统自动识别论文间的引用关系、概念关联、方法相似性，生成可视化的知识网络。这能帮助研究者快速理解一个领域的全景，发现潜在的合作或选题机会。</w:t>
      </w:r>
    </w:p>
    <w:p>
      <w:pPr>
        <w:pStyle w:val="Heading3"/>
        <w:spacing w:after="100" w:before="240"/>
      </w:pPr>
      <w:bookmarkStart w:id="100051" w:name="_Toc100051"/>
      <w:r>
        <w:rPr>
          <w:rFonts w:ascii="Calibri" w:eastAsia="SimHei"/>
          <w:b/>
          <w:bCs/>
          <w:color w:val="1F2937"/>
          <w:sz w:val="24"/>
          <w:szCs w:val="24"/>
        </w:rPr>
        <w:t xml:space="preserve">跨文献对比分析</w:t>
      </w:r>
      <w:bookmarkEnd w:id="100051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支持用户选择两到三篇论文进行横向对比——对比它们的科学问题、方法选择、结论异同、优劣分析。这对写综述、选课题、做决策非常有价值。技术上的挑战在于如何让 LLM 在多论文上下文中保持准确，预计需要引入检索增强生成（RAG）机制。</w:t>
      </w:r>
    </w:p>
    <w:p>
      <w:pPr>
        <w:pStyle w:val="Heading3"/>
        <w:spacing w:after="100" w:before="240"/>
      </w:pPr>
      <w:bookmarkStart w:id="100052" w:name="_Toc100052"/>
      <w:r>
        <w:rPr>
          <w:rFonts w:ascii="Calibri" w:eastAsia="SimHei"/>
          <w:b/>
          <w:bCs/>
          <w:color w:val="1F2937"/>
          <w:sz w:val="24"/>
          <w:szCs w:val="24"/>
        </w:rPr>
        <w:t xml:space="preserve">引用网络可视化</w:t>
      </w:r>
      <w:bookmarkEnd w:id="100052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集成 Semantic Scholar API 或 OpenAlex API，获取论文的引用网络，可视化展示某篇论文的「上游」（它引用了谁）和「下游」（谁引用了它）。这能帮助用户快速定位某个领域的奠基性工作和最新进展。</w:t>
      </w:r>
    </w:p>
    <w:p>
      <w:pPr>
        <w:pStyle w:val="Heading2"/>
        <w:spacing w:after="140" w:before="320"/>
      </w:pPr>
      <w:bookmarkStart w:id="100053" w:name="_Toc100053"/>
      <w:r>
        <w:rPr>
          <w:rFonts w:ascii="Calibri" w:eastAsia="SimHei"/>
          <w:b/>
          <w:bCs/>
          <w:color w:val="1F2937"/>
          <w:sz w:val="28"/>
          <w:szCs w:val="28"/>
        </w:rPr>
        <w:t xml:space="preserve">6.3  长期愿景（1-2 年）</w:t>
      </w:r>
      <w:bookmarkEnd w:id="100053"/>
    </w:p>
    <w:p>
      <w:pPr>
        <w:pStyle w:val="Heading3"/>
        <w:spacing w:after="100" w:before="240"/>
      </w:pPr>
      <w:bookmarkStart w:id="100054" w:name="_Toc100054"/>
      <w:r>
        <w:rPr>
          <w:rFonts w:ascii="Calibri" w:eastAsia="SimHei"/>
          <w:b/>
          <w:bCs/>
          <w:color w:val="1F2937"/>
          <w:sz w:val="24"/>
          <w:szCs w:val="24"/>
        </w:rPr>
        <w:t xml:space="preserve">个人科研助手</w:t>
      </w:r>
      <w:bookmarkEnd w:id="100054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把 MedReader 从「文献阅读工具」升级为「个人科研助手」——不仅帮助阅读论文，还主动推荐相关文献、跟踪领域进展、生成每周研究简报、辅助写作（综述、开题、论文初稿）。这需要引入用户画像、长期记忆、个性化推荐等能力，是一个更宏大的目标。</w:t>
      </w:r>
    </w:p>
    <w:p>
      <w:pPr>
        <w:pStyle w:val="Heading3"/>
        <w:spacing w:after="100" w:before="240"/>
      </w:pPr>
      <w:bookmarkStart w:id="100055" w:name="_Toc100055"/>
      <w:r>
        <w:rPr>
          <w:rFonts w:ascii="Calibri" w:eastAsia="SimHei"/>
          <w:b/>
          <w:bCs/>
          <w:color w:val="1F2937"/>
          <w:sz w:val="24"/>
          <w:szCs w:val="24"/>
        </w:rPr>
        <w:t xml:space="preserve">文献综述自动生成</w:t>
      </w:r>
      <w:bookmarkEnd w:id="100055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用户指定一个主题和论文集合，系统自动生成结构化的文献综述初稿——包含背景、研究现状、方法对比、热点问题、未来方向等章节。这种「AI 辅助写作」不是替代研究者的思考，而是把研究者从机械的综述写作中解放出来，专注于更有价值的批判性分析。</w:t>
      </w:r>
    </w:p>
    <w:p>
      <w:pPr>
        <w:pStyle w:val="Heading3"/>
        <w:spacing w:after="100" w:before="240"/>
      </w:pPr>
      <w:bookmarkStart w:id="100056" w:name="_Toc100056"/>
      <w:r>
        <w:rPr>
          <w:rFonts w:ascii="Calibri" w:eastAsia="SimHei"/>
          <w:b/>
          <w:bCs/>
          <w:color w:val="1F2937"/>
          <w:sz w:val="24"/>
          <w:szCs w:val="24"/>
        </w:rPr>
        <w:t xml:space="preserve">与实验记录系统集成</w:t>
      </w:r>
      <w:bookmarkEnd w:id="100056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把文献阅读与实验记录打通——研究者在阅读论文时获得的方法灵感、实验设计、参数选择可以直接记录到电子实验记录本（ELN）中，形成「读 → 想 → 做」的闭环。这需要与主流 ELN 系统（如 LabArchives、Benchling）的 API 集成，是一个更长期的工程。</w:t>
      </w:r>
    </w:p>
    <w:p>
      <w:pPr>
        <w:pStyle w:val="Heading1"/>
        <w:spacing w:after="200" w:before="480"/>
      </w:pPr>
      <w:bookmarkStart w:id="100057" w:name="_Toc100057"/>
      <w:r>
        <w:rPr>
          <w:rFonts w:ascii="Calibri" w:eastAsia="SimHei"/>
          <w:b/>
          <w:bCs/>
          <w:color w:val="7C3AED"/>
          <w:sz w:val="36"/>
          <w:szCs w:val="36"/>
        </w:rPr>
        <w:t xml:space="preserve">第七章  关于开发者</w:t>
      </w:r>
      <w:bookmarkEnd w:id="100057"/>
    </w:p>
    <w:p>
      <w:pPr>
        <w:pStyle w:val="Heading2"/>
        <w:spacing w:after="140" w:before="320"/>
      </w:pPr>
      <w:bookmarkStart w:id="100058" w:name="_Toc100058"/>
      <w:r>
        <w:rPr>
          <w:rFonts w:ascii="Calibri" w:eastAsia="SimHei"/>
          <w:b/>
          <w:bCs/>
          <w:color w:val="1F2937"/>
          <w:sz w:val="28"/>
          <w:szCs w:val="28"/>
        </w:rPr>
        <w:t xml:space="preserve">7.1  个人背景</w:t>
      </w:r>
      <w:bookmarkEnd w:id="100058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陈禹墨，现就读于华中科技大学同济医学院，研究方向聚焦生物信息学与计算医学。本科至研究生阶段的训练使他既具备生物医学的基础知识，又熟悉编程与数据分析方法，这种跨学科背景正是 MedReader 诞生的土壤。他长期关注文献阅读与科研工具的智能化，在使用各类 AI 文献工具的过程中，逐渐形成了对「理想文献阅读工具」的清晰想象，并最终决定亲手把它做出来。</w:t>
      </w:r>
    </w:p>
    <w:p>
      <w:pPr>
        <w:pStyle w:val="Heading2"/>
        <w:spacing w:after="140" w:before="320"/>
      </w:pPr>
      <w:bookmarkStart w:id="100059" w:name="_Toc100059"/>
      <w:r>
        <w:rPr>
          <w:rFonts w:ascii="Calibri" w:eastAsia="SimHei"/>
          <w:b/>
          <w:bCs/>
          <w:color w:val="1F2937"/>
          <w:sz w:val="28"/>
          <w:szCs w:val="28"/>
        </w:rPr>
        <w:t xml:space="preserve">7.2  开发动机</w:t>
      </w:r>
      <w:bookmarkEnd w:id="100059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MedReader 的开发动机并非来自市场需求调研，而是来自日常科研中的真实痛点。陈禹墨在阅读大量生物信息学论文时，深切感受到现有工具的不足：翻译工具只能翻译文字，无法理解论文结构；摘要工具只能给出一两百字的概括，无法反映论证逻辑；对话工具虽然灵活，但用户不知道该问什么时无法主动提供洞见。这些痛点促使他思考：如果有一个工具能同时提供原文、结构、图谱、对话、分析五种视图，并且每个视图都能溯源到原文，那该多好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这种思考最终凝结为 MedReader Agent 项目。它的核心理念——「让每一篇论文都被真正读懂、用透，而不仅仅是被翻译和堆叠」——正是陈禹墨作为科研工作者对自己痛点的回应，也是对同类工具的反思。这种从真实需求出发的开发动机，让 MedReader 在功能设计上更贴近科研实际，而不是技术炫技。</w:t>
      </w:r>
    </w:p>
    <w:p>
      <w:pPr>
        <w:pStyle w:val="Heading2"/>
        <w:spacing w:after="140" w:before="320"/>
      </w:pPr>
      <w:bookmarkStart w:id="100060" w:name="_Toc100060"/>
      <w:r>
        <w:rPr>
          <w:rFonts w:ascii="Calibri" w:eastAsia="SimHei"/>
          <w:b/>
          <w:bCs/>
          <w:color w:val="1F2937"/>
          <w:sz w:val="28"/>
          <w:szCs w:val="28"/>
        </w:rPr>
        <w:t xml:space="preserve">7.3  开发过程</w:t>
      </w:r>
      <w:bookmarkEnd w:id="100060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MedReader 是一个真正意义上的「独立开发者项目」——从产品构想、前端界面到后端逻辑、AI 提示词工程，均由陈禹墨一人完成。这种独立开发模式有利有弊：好处是设计统一、决策迅速、不会有团队协作的沟通成本；坏处是无法在广度和深度上同时推进，每个模块都需要自己从零学起。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在具体开发过程中，陈禹墨采用了「快速原型 + 持续迭代」的策略：先用最简陋的方式跑通整个流程（PDF 上传 → MinerU 解析 → LLM 分析 → 前端展示），然后逐个模块打磨细节。例如，最早的段落导航只是简单列出 H1/H2/H3，后来发现 MinerU 层级不可靠才引入 LLM 结构分析；最早的六维度分析是串行调用，后来为了响应速度改为并行；最早的思维导图节点样式混乱，经过多轮用户反馈才调整为现在的统一矩形。这种「先粗糙后精细」的迭代方式，让项目在有限时间内达到了可用的状态。</w:t>
      </w:r>
    </w:p>
    <w:p>
      <w:pPr>
        <w:pStyle w:val="Heading2"/>
        <w:spacing w:after="140" w:before="320"/>
      </w:pPr>
      <w:bookmarkStart w:id="100061" w:name="_Toc100061"/>
      <w:r>
        <w:rPr>
          <w:rFonts w:ascii="Calibri" w:eastAsia="SimHei"/>
          <w:b/>
          <w:bCs/>
          <w:color w:val="1F2937"/>
          <w:sz w:val="28"/>
          <w:szCs w:val="28"/>
        </w:rPr>
        <w:t xml:space="preserve">7.4  致谢</w:t>
      </w:r>
      <w:bookmarkEnd w:id="100061"/>
    </w:p>
    <w:p>
      <w:pPr>
        <w:pBdr>
          <w:left w:val="single" w:color="7C3AED" w:sz="24" w:space="12"/>
        </w:pBdr>
        <w:shd w:fill="F5F3FF" w:val="clear"/>
        <w:spacing w:after="160" w:before="120" w:line="312"/>
        <w:ind w:left="360" w:right="360"/>
        <w:jc w:val="both"/>
      </w:pPr>
      <w:r>
        <w:rPr>
          <w:rFonts w:ascii="Calibri" w:eastAsia="Microsoft YaHei"/>
          <w:i/>
          <w:iCs/>
          <w:color w:val="1F2937"/>
          <w:sz w:val="22"/>
          <w:szCs w:val="22"/>
        </w:rPr>
        <w:t xml:space="preserve">本项目受到华中科技大学同济医学院基础医学院的资助支持，在此致以诚挚感谢。学院提供的科研环境和资源支持，是本项目得以顺利推进的重要保障。同时也感谢在开发过程中给予反馈和建议的同学们，你们的真实使用场景是产品迭代最宝贵的输入。</w:t>
      </w:r>
    </w:p>
    <w:p>
      <w:pPr>
        <w:pStyle w:val="Heading2"/>
        <w:spacing w:after="140" w:before="320"/>
      </w:pPr>
      <w:bookmarkStart w:id="100062" w:name="_Toc100062"/>
      <w:r>
        <w:rPr>
          <w:rFonts w:ascii="Calibri" w:eastAsia="SimHei"/>
          <w:b/>
          <w:bCs/>
          <w:color w:val="1F2937"/>
          <w:sz w:val="28"/>
          <w:szCs w:val="28"/>
        </w:rPr>
        <w:t xml:space="preserve">7.5  联系方式与更多作品</w:t>
      </w:r>
      <w:bookmarkEnd w:id="100062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陈禹墨通过公众号「行止集 BioRhythm / 计算医学」分享生物信息学、计算医学、科研工具开发等方面的思考与作品。MedReader Agent 是其在科研工具方向的探索之一，未来还会有更多围绕科研效率提升的项目陆续推出。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如有建议、合作意向或 bug 反馈，欢迎通过公众号留言联系。每一份反馈都会被认真对待，并可能影响项目的下一版迭代方向。MedReader 的发展离不开用户社区的参与，期待与各位科研工作者共同打造更好的文献阅读体验。</w:t>
      </w:r>
    </w:p>
    <w:p>
      <w:pPr>
        <w:pStyle w:val="Heading2"/>
        <w:spacing w:after="140" w:before="320"/>
      </w:pPr>
      <w:bookmarkStart w:id="100063" w:name="_Toc100063"/>
      <w:r>
        <w:rPr>
          <w:rFonts w:ascii="Calibri" w:eastAsia="SimHei"/>
          <w:b/>
          <w:bCs/>
          <w:color w:val="1F2937"/>
          <w:sz w:val="28"/>
          <w:szCs w:val="28"/>
        </w:rPr>
        <w:t xml:space="preserve">7.6  版权与开源声明</w:t>
      </w:r>
      <w:bookmarkEnd w:id="100063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MedReader Agent 当前为闭源项目，所有权利归开发者陈禹墨所有。未经授权，不得将本项目用于商业用途。但开发者欢迎学术研究、教学使用等非商业场景的应用，并愿意为这类使用提供必要的支持。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项目当前处于持续迭代中，会根据用户反馈和技术发展不断优化。未来可能考虑部分模块开源（如 LLM 调用封装、PDF 解析逻辑），以回馈开源社区——本项目本身也受益于 Next.js、Prisma、MinerU、React Flow 等众多开源项目，没有它们就没有 MedReader。这种开源精神的传承，是科研工具生态健康发展的基础。</w:t>
      </w:r>
    </w:p>
    <w:p>
      <w:pPr>
        <w:pStyle w:val="Heading2"/>
        <w:spacing w:after="140" w:before="320"/>
      </w:pPr>
      <w:bookmarkStart w:id="100064" w:name="_Toc100064"/>
      <w:r>
        <w:rPr>
          <w:rFonts w:ascii="Calibri" w:eastAsia="SimHei"/>
          <w:b/>
          <w:bCs/>
          <w:color w:val="1F2937"/>
          <w:sz w:val="28"/>
          <w:szCs w:val="28"/>
        </w:rPr>
        <w:t xml:space="preserve">7.7  持续迭代声明</w:t>
      </w:r>
      <w:bookmarkEnd w:id="100064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1F2937"/>
          <w:sz w:val="24"/>
          <w:szCs w:val="24"/>
        </w:rPr>
        <w:t xml:space="preserve">文献阅读助手 · 持续迭代中。这行小字会一直保留在 MedReader 的页脚，提醒每一位用户：你今天看到的版本不会是最终版本，明天的 MedReader 会更好。这种持续改进的承诺，是开发者对用户、对自己的一个约定——也是科研工具这种「永远不会完美」的产品最诚实的姿态。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—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4" w:space="4"/>
      </w:pBdr>
      <w:jc w:val="right"/>
    </w:pPr>
    <w:r>
      <w:rPr>
        <w:rFonts w:ascii="Calibri" w:eastAsia="Microsoft YaHei"/>
        <w:color w:val="6B7280"/>
        <w:sz w:val="18"/>
        <w:szCs w:val="18"/>
      </w:rPr>
      <w:t xml:space="preserve">MedReader Agent · 项目白皮书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F2937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alibri" w:eastAsia="SimHei"/>
      <w:b/>
      <w:bCs/>
      <w:color w:val="7C3AE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Calibri" w:eastAsia="SimHei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eastAsia="SimHei"/>
      <w:b/>
      <w:bCs/>
      <w:color w:val="1F2937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MedReader Agent 项目白皮书</dc:title>
  <dc:creator>陈禹墨</dc:creator>
  <dc:description>智能文献阅读 Agent 项目文档</dc:description>
  <cp:lastModifiedBy>Un-named</cp:lastModifiedBy>
  <cp:revision>1</cp:revision>
  <dcterms:created xsi:type="dcterms:W3CDTF">2026-07-30T17:01:39.997Z</dcterms:created>
  <dcterms:modified xsi:type="dcterms:W3CDTF">2026-07-30T17:01:39.997Z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