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</w:t>
      </w:r>
      <w:r>
        <w:rPr/>
        <w:t xml:space="preserve">1 </w:t>
      </w:r>
      <w:r>
        <w:rPr/>
        <w:t>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</w:t>
      </w:r>
      <w:r>
        <w:rPr/>
        <w:t>Видякина Наталья Борисовна</w:t>
      </w:r>
    </w:p>
    <w:p>
      <w:pPr>
        <w:pStyle w:val="Style15"/>
        <w:bidi w:val="0"/>
        <w:spacing w:before="0" w:after="0"/>
        <w:jc w:val="right"/>
        <w:rPr/>
      </w:pPr>
      <w:r>
        <w:rPr/>
        <w:t xml:space="preserve">учитель </w:t>
      </w:r>
      <w:r>
        <w:rPr/>
        <w:t>физики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— архитектура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15</w:t>
            </w:r>
          </w:hyperlink>
        </w:p>
        <w:p>
          <w:pPr>
            <w:pStyle w:val="12"/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16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531_969981342">
            <w:r>
              <w:rPr/>
              <w:t xml:space="preserve">​ </w:t>
            </w:r>
            <w:r>
              <w:rPr/>
              <w:t>Система сборки</w:t>
              <w:tab/>
              <w:t>17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533_969981342">
            <w:r>
              <w:rPr/>
              <w:t xml:space="preserve">​ </w:t>
            </w:r>
            <w:r>
              <w:rPr/>
              <w:t>Структура проекта</w:t>
              <w:tab/>
              <w:t>17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535_969981342">
            <w:r>
              <w:rPr/>
              <w:t xml:space="preserve">​ </w:t>
            </w:r>
            <w:r>
              <w:rPr/>
              <w:t>Заключение</w:t>
              <w:tab/>
              <w:t>19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AWT,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Самодостаточная модель распространения приложения</w:t>
      </w:r>
      <w:r>
        <w:rPr>
          <w:rStyle w:val="Style9"/>
          <w:b/>
          <w:bCs/>
        </w:rPr>
        <w:endnoteReference w:id="5"/>
      </w:r>
      <w:r>
        <w:rPr>
          <w:b/>
          <w:bCs/>
        </w:rPr>
        <w:t xml:space="preserve">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6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>Успешность ПО во многом зависит от выбранной арх</w:t>
      </w:r>
      <w:r>
        <w:rPr/>
        <w:t>и</w:t>
      </w:r>
      <w:r>
        <w:rPr/>
        <w:t xml:space="preserve">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7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rPr>
          <w:b/>
          <w:b/>
          <w:bCs/>
        </w:rPr>
      </w:pPr>
      <w:r>
        <w:rPr/>
      </w:r>
    </w:p>
    <w:p>
      <w:pPr>
        <w:pStyle w:val="Style15"/>
        <w:rPr>
          <w:b/>
          <w:b/>
          <w:bCs/>
        </w:rPr>
      </w:pPr>
      <w:r>
        <w:rPr/>
      </w:r>
    </w:p>
    <w:p>
      <w:pPr>
        <w:pStyle w:val="Style15"/>
        <w:rPr>
          <w:b/>
          <w:b/>
          <w:bCs/>
        </w:rPr>
      </w:pPr>
      <w:r>
        <w:rPr/>
      </w:r>
    </w:p>
    <w:p>
      <w:pPr>
        <w:pStyle w:val="Style15"/>
        <w:rPr>
          <w:b/>
          <w:b/>
          <w:bCs/>
        </w:rPr>
      </w:pPr>
      <w:r>
        <w:rPr/>
      </w:r>
    </w:p>
    <w:p>
      <w:pPr>
        <w:pStyle w:val="Style15"/>
        <w:rPr>
          <w:b/>
          <w:b/>
          <w:bCs/>
        </w:rPr>
      </w:pPr>
      <w:r>
        <w:rPr/>
      </w:r>
    </w:p>
    <w:p>
      <w:pPr>
        <w:pStyle w:val="Style15"/>
        <w:rPr>
          <w:b/>
          <w:b/>
          <w:bCs/>
        </w:rPr>
      </w:pPr>
      <w:r>
        <w:rPr/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 xml:space="preserve">Сначала определим класс Прямоугольник, у которого будет два измерения и методы для </w:t>
        <w:tab/>
        <w:t>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 xml:space="preserve">Определение класса «Прямоугольник». Обратим внимание на сигнатуры(определения) </w:t>
        <w:tab/>
        <w:t>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У потомка должен сохранят</w:t>
      </w:r>
      <w:r>
        <w:rPr>
          <w:b w:val="false"/>
          <w:bCs w:val="false"/>
          <w:i/>
          <w:iCs/>
        </w:rPr>
        <w:t>ь</w:t>
      </w:r>
      <w:r>
        <w:rPr>
          <w:b w:val="false"/>
          <w:bCs w:val="false"/>
          <w:i/>
          <w:iCs/>
        </w:rPr>
        <w:t>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654685</wp:posOffset>
            </wp:positionH>
            <wp:positionV relativeFrom="paragraph">
              <wp:posOffset>26670</wp:posOffset>
            </wp:positionV>
            <wp:extent cx="2356485" cy="67246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    </w:t>
      </w:r>
      <w:r>
        <w:rPr/>
        <w:drawing>
          <wp:inline distT="0" distB="0" distL="0" distR="0">
            <wp:extent cx="337693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Архитектура такого приложения схематично выглядит так:</w:t>
      </w:r>
    </w:p>
    <w:p>
      <w:pPr>
        <w:pStyle w:val="Style15"/>
        <w:rPr/>
      </w:pPr>
      <w:r>
        <w:rPr/>
        <w:drawing>
          <wp:inline distT="0" distB="0" distL="0" distR="0">
            <wp:extent cx="6332220" cy="187833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То есть, слой отображения, к примеру веб-страничка, при разработке или проектировании использует(зависит) от слоя модели-представления, который в свою очередь является оберткой для данных из слоя модели.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3" w:name="__RefHeading___Toc281_2223766980"/>
      <w:bookmarkEnd w:id="13"/>
      <w:r>
        <w:rPr/>
        <w:t>Выбор задачи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Чтобы реализовать названные концепции нужна задача. Вместо того, чтобы придумывать абстрактную ситуацию вроде интернет магазина, или социальной сети я решил взять известную математическую задачу-игру.</w:t>
      </w:r>
    </w:p>
    <w:p>
      <w:pPr>
        <w:pStyle w:val="3"/>
        <w:rPr/>
      </w:pPr>
      <w:bookmarkStart w:id="14" w:name="__RefHeading___Toc283_2223766980"/>
      <w:bookmarkEnd w:id="14"/>
      <w:r>
        <w:rPr/>
        <w:t>Клеточные автоматы и игра «Жизнь»</w:t>
      </w:r>
    </w:p>
    <w:p>
      <w:pPr>
        <w:pStyle w:val="Style15"/>
        <w:rPr/>
      </w:pPr>
      <w:r>
        <w:rPr/>
        <w:t>Клеточный автомат (КА) — дискретная модель, изучаемая в математике, состоит из бесконечной решеткой из элементов(клеток), у которых есть определенное множество состояний(к примеру «Жизнь» и «Смерть») и множество правил перехода клетки из одного состояния в другое.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Самый известный клеточный автомат это игра «Жизнь» от Джона Конвея.</w:t>
      </w:r>
    </w:p>
    <w:p>
      <w:pPr>
        <w:pStyle w:val="Style15"/>
        <w:rPr/>
      </w:pPr>
      <w:r>
        <w:rPr/>
        <w:t xml:space="preserve">Игра заключается в том, что мы определяем двумерный КА с состояниями: «Жизнь»(1) и «Смерть»(0); и правила: 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жива, и рядом с ней есть 2 или 3 тоже живых клеток, то она остаётся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мертва, и рядом  с ней 3 живых клетки, то она становится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В остальных случая клетка умирает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/>
      </w:pPr>
      <w:r>
        <w:rPr/>
        <w:t>Этот автомат выражается в категорию:</w:t>
      </w:r>
    </w:p>
    <w:p>
      <w:pPr>
        <w:pStyle w:val="Style15"/>
        <w:rPr/>
      </w:pPr>
      <w:r>
        <w:rPr/>
        <w:drawing>
          <wp:inline distT="0" distB="0" distL="0" distR="0">
            <wp:extent cx="5466080" cy="1864995"/>
            <wp:effectExtent l="0" t="0" r="0" b="0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1"/>
        <w:jc w:val="center"/>
        <w:rPr/>
      </w:pPr>
      <w:bookmarkStart w:id="15" w:name="__RefHeading___Toc243_1050172711"/>
      <w:bookmarkEnd w:id="15"/>
      <w:r>
        <w:rPr/>
        <w:t xml:space="preserve">Глава 2. Практическая часть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этой части мы реализуем поставленную задачу (Игра «Жизнь») с помощью выбранных технологий.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16" w:name="__RefHeading___Toc531_969981342"/>
      <w:bookmarkEnd w:id="16"/>
      <w:r>
        <w:rPr/>
        <w:t>Система сборки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Я буду использовать систему сборки для этого проекта «Gradle», она позволяе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удобно и гибко подключать зависимости для проекта, а также т.н. «Инкрементальную сборку»,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когда подлежат компиляции и обработке только те компоненты, которые действительно в этом нуждаются.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4"/>
        <w:rPr>
          <w:b w:val="false"/>
          <w:b w:val="false"/>
          <w:bCs w:val="false"/>
        </w:rPr>
      </w:pPr>
      <w:bookmarkStart w:id="17" w:name="__RefHeading___Toc533_969981342"/>
      <w:bookmarkEnd w:id="17"/>
      <w:r>
        <w:rPr/>
        <w:t>Структура проекта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языка Java типичная ситуация, когда исходный код расфасован по «пакетам».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Пакет в этом контексте — это сущность, в которой находятся классы, служит своего рода пространством имен для классов, и отображается в виде директории в файловой системе.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667125" cy="1400175"/>
            <wp:effectExtent l="0" t="0" r="0" b="0"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данном случае есть 3 пакета, т. н. «безымянный», «logic», «views», в каждом из которых лежат классы.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пакете «logic» хранятся классы, отвечающие за основу работы приложения. А именно 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Клетка(Cell), Состояние(State), Симуляция(Simulation)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295650" cy="971550"/>
            <wp:effectExtent l="0" t="0" r="0" b="0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Cell отвечает за конкретную клетку с её конкретным состоянием, которое определяется перечислением(константой) State. А Simulation в свою очередь использует объекты класса Cell, как опору для своей работы( Этот класс целиком отвечает за изменение состояний всех клеток на поле).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пакете «views» лежат классы, ответственные за показ приложения на экране( элементы интерфейса)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886075" cy="952500"/>
            <wp:effectExtent l="0" t="0" r="0" b="0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Здесь «ControlBox» - это полоса управления, на ней расположены кнопки.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«GridView» – игровое поле, рисующее клетки в виде квадратиков на экране.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«MainView» – агрегирует эти 2 класса в себе, и показывает их в системном окне.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Остался один класс, это класс «App». Как понятно из названия, это точка входа в наше приложение( при запуске система вызывает особый метод в этом классе, после чего стартует само приложение).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2"/>
        <w:jc w:val="center"/>
        <w:rPr/>
      </w:pPr>
      <w:bookmarkStart w:id="18" w:name="__RefHeading___Toc535_969981342"/>
      <w:bookmarkEnd w:id="18"/>
      <w:r>
        <w:rPr>
          <w:b/>
        </w:rPr>
        <w:t>Заключение</w:t>
      </w:r>
      <w:r>
        <w:rPr/>
        <w:br/>
      </w:r>
    </w:p>
    <w:p>
      <w:pPr>
        <w:pStyle w:val="Style15"/>
        <w:jc w:val="left"/>
        <w:rPr/>
      </w:pPr>
      <w:r>
        <w:rPr/>
        <w:t>В ходе работы над индивидуальным проектом была достигнута поставленная цель, которая заключалась в освоении технологий построения ГПИ. Для реализации поставленной цели были достигнуты задачи: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изучены основные способы создания ГПИ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исследованы графические инструментарии доступные для Java-платформы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 проведен отбор технологий для реализации проекта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Была выбрана и реализована математическая задача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sectPr>
      <w:footerReference w:type="default" r:id="rId18"/>
      <w:footerReference w:type="first" r:id="rId19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3"/>
        <w:ind w:left="339" w:hanging="0"/>
        <w:rPr/>
      </w:pPr>
      <w:r>
        <w:rPr>
          <w:rStyle w:val="Style8"/>
        </w:rPr>
        <w:endnoteRef/>
      </w:r>
      <w:r>
        <w:rPr/>
        <w:t xml:space="preserve">    </w:t>
      </w:r>
      <w:r>
        <w:rPr/>
        <w:t>Oracle: официальный сайт компании-владельца языка Java [Электронный ресурс] – URL (Дата обращения 12.04.21)</w:t>
      </w:r>
    </w:p>
    <w:p>
      <w:pPr>
        <w:pStyle w:val="Style23"/>
        <w:rPr/>
      </w:pPr>
      <w:r>
        <w:rPr/>
        <w:t xml:space="preserve"> </w:t>
      </w:r>
      <w:r>
        <w:rPr/>
        <w:t>https://docs.oracle.com/javase/8/docs/api/index.html</w:t>
      </w:r>
    </w:p>
  </w:endnote>
  <w:endnote w:id="3">
    <w:p>
      <w:pPr>
        <w:pStyle w:val="Style23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3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3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3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3"/>
        <w:rPr/>
      </w:pPr>
      <w:r>
        <w:rPr>
          <w:rStyle w:val="Style8"/>
        </w:rPr>
        <w:endnoteRef/>
      </w:r>
      <w:r>
        <w:rPr/>
        <w:tab/>
        <w:t xml:space="preserve">Oracle: статья по пакетированию JavaFX приложений[Электронный ресурс] —  URL(Дата обращения 19.10.21) </w:t>
      </w:r>
      <w:r>
        <w:rPr/>
        <w:t>https://docs.oracle.com/javafx/2/deployment/packaging.htm#BABCIBAD</w:t>
      </w:r>
    </w:p>
  </w:endnote>
  <w:endnote w:id="6">
    <w:p>
      <w:pPr>
        <w:pStyle w:val="Style23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3"/>
        <w:rPr/>
      </w:pPr>
      <w:r>
        <w:rPr/>
        <w:tab/>
        <w:t>https://docs.oracle.com/javase/8/javafx/get-started-tutorial/jfx-architecture.htm#CHDFDAFF</w:t>
      </w:r>
    </w:p>
  </w:endnote>
  <w:endnote w:id="7">
    <w:p>
      <w:pPr>
        <w:pStyle w:val="Style23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3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2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3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paragraph" w:styleId="Style25">
    <w:name w:val="Header"/>
    <w:basedOn w:val="Style19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endnotes" Target="end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1990</TotalTime>
  <Application>LibreOffice/7.1.6.2$Linux_X86_64 LibreOffice_project/10$Build-2</Application>
  <AppVersion>15.0000</AppVersion>
  <Pages>20</Pages>
  <Words>2085</Words>
  <Characters>13971</Characters>
  <CharactersWithSpaces>16118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cp:lastPrinted>2021-10-19T21:25:59Z</cp:lastPrinted>
  <dcterms:modified xsi:type="dcterms:W3CDTF">2021-10-19T22:13:07Z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