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20.jpeg" ContentType="image/jpe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22.png" ContentType="image/png"/>
  <Override PartName="/word/media/image5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18.jpeg" ContentType="image/jpe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17.jpeg" ContentType="image/jpe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Style15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Style15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Style15"/>
        <w:bidi w:val="0"/>
        <w:spacing w:before="0" w:after="0"/>
        <w:jc w:val="right"/>
        <w:rPr/>
      </w:pPr>
      <w:r>
        <w:rPr/>
      </w:r>
    </w:p>
    <w:p>
      <w:pPr>
        <w:pStyle w:val="Style15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Style15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Style15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63_222376698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12"/>
            <w:rPr/>
          </w:pPr>
          <w:hyperlink w:anchor="__RefHeading___Toc241_1050172711">
            <w:r>
              <w:rPr/>
              <w:t xml:space="preserve">​ </w:t>
            </w:r>
            <w:r>
              <w:rPr/>
              <w:t>Теоретическая часть</w:t>
              <w:tab/>
              <w:t>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/>
              <w:t xml:space="preserve">​ </w:t>
            </w:r>
            <w:r>
              <w:rPr/>
              <w:t>Отбор технологий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/>
              <w:t xml:space="preserve">​ </w:t>
            </w:r>
            <w:r>
              <w:rPr/>
              <w:t>AWT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/>
              <w:t xml:space="preserve">​ </w:t>
            </w:r>
            <w:r>
              <w:rPr/>
              <w:t>Swing</w:t>
              <w:tab/>
              <w:t>5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/>
              <w:t xml:space="preserve">​ </w:t>
            </w:r>
            <w:r>
              <w:rPr/>
              <w:t>JavaFX</w:t>
              <w:tab/>
              <w:t>7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2_319222050">
            <w:r>
              <w:rPr/>
              <w:t xml:space="preserve">​ </w:t>
            </w:r>
            <w:r>
              <w:rPr/>
              <w:t>Архитектура</w:t>
              <w:tab/>
              <w:t>7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/>
              <w:t xml:space="preserve">​ </w:t>
            </w:r>
            <w:r>
              <w:rPr/>
              <w:t>Архитектурное изучение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/>
              <w:t xml:space="preserve">​ </w:t>
            </w:r>
            <w:r>
              <w:rPr/>
              <w:t>SOLID-принципы</w:t>
              <w:tab/>
              <w:t>9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/>
              <w:t xml:space="preserve">​ </w:t>
            </w:r>
            <w:r>
              <w:rPr/>
              <w:t>MVC-паттерны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4_319222050">
            <w:r>
              <w:rPr/>
              <w:t xml:space="preserve">​ </w:t>
            </w:r>
            <w:r>
              <w:rPr/>
              <w:t>Обзор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6_319222050">
            <w:r>
              <w:rPr/>
              <w:t xml:space="preserve">​ </w:t>
            </w:r>
            <w:r>
              <w:rPr/>
              <w:t>«Классическая» архитектура</w:t>
              <w:tab/>
              <w:t>13</w:t>
            </w:r>
          </w:hyperlink>
        </w:p>
        <w:p>
          <w:pPr>
            <w:pStyle w:val="41"/>
            <w:tabs>
              <w:tab w:val="clear" w:pos="9123"/>
              <w:tab w:val="right" w:pos="9972" w:leader="dot"/>
            </w:tabs>
            <w:rPr/>
          </w:pPr>
          <w:hyperlink w:anchor="__RefHeading___Toc448_319222050">
            <w:r>
              <w:rPr/>
              <w:t xml:space="preserve">​ </w:t>
            </w:r>
            <w:r>
              <w:rPr/>
              <w:t>MVVM - архитектура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79_2223766980">
            <w:r>
              <w:rPr/>
              <w:t xml:space="preserve">​ </w:t>
            </w:r>
            <w:r>
              <w:rPr/>
              <w:t>Принципы «Чистого кода»</w:t>
              <w:tab/>
              <w:t>14</w:t>
            </w:r>
          </w:hyperlink>
        </w:p>
        <w:p>
          <w:pPr>
            <w:pStyle w:val="2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/>
              <w:t xml:space="preserve">​ </w:t>
            </w:r>
            <w:r>
              <w:rPr/>
              <w:t>Выбор задачи</w:t>
              <w:tab/>
              <w:t>14</w:t>
            </w:r>
          </w:hyperlink>
        </w:p>
        <w:p>
          <w:pPr>
            <w:pStyle w:val="31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/>
              <w:t xml:space="preserve">​ </w:t>
            </w:r>
            <w:r>
              <w:rPr/>
              <w:t>Клеточные автоматы и игра «Жизнь»</w:t>
              <w:tab/>
              <w:t>14</w:t>
            </w:r>
          </w:hyperlink>
        </w:p>
        <w:p>
          <w:pPr>
            <w:pStyle w:val="12"/>
            <w:rPr/>
          </w:pPr>
          <w:hyperlink w:anchor="__RefHeading___Toc243_1050172711">
            <w:r>
              <w:rPr/>
              <w:t xml:space="preserve">​ </w:t>
            </w:r>
            <w:r>
              <w:rPr/>
              <w:t>Глава 2. Практическая часть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Style15"/>
        <w:jc w:val="center"/>
        <w:rPr/>
      </w:pPr>
      <w:r>
        <w:rPr/>
      </w:r>
    </w:p>
    <w:p>
      <w:pPr>
        <w:pStyle w:val="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Style9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Style15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Style15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Style15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Style15"/>
        <w:jc w:val="left"/>
        <w:rPr/>
      </w:pPr>
      <w:r>
        <w:rPr/>
      </w:r>
    </w:p>
    <w:p>
      <w:pPr>
        <w:pStyle w:val="3"/>
        <w:rPr/>
      </w:pPr>
      <w:bookmarkStart w:id="4" w:name="__RefHeading___Toc269_2223766980"/>
      <w:bookmarkEnd w:id="4"/>
      <w:r>
        <w:rPr/>
        <w:t>Swing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На смену Java AWT почти сразу пришел Java Swing.</w:t>
      </w:r>
      <w:r>
        <w:rPr>
          <w:rStyle w:val="Style9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Style15"/>
        <w:jc w:val="center"/>
        <w:rPr/>
      </w:pPr>
      <w:r>
        <w:rPr/>
      </w:r>
    </w:p>
    <w:p>
      <w:pPr>
        <w:pStyle w:val="Style15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Style9"/>
        </w:rPr>
        <w:endnoteReference w:id="4"/>
      </w:r>
      <w:r>
        <w:rPr/>
        <w:t xml:space="preserve"> JavaFX имеет ряд преимуществ: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Style15"/>
        <w:numPr>
          <w:ilvl w:val="0"/>
          <w:numId w:val="1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Style15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4"/>
        <w:rPr>
          <w:sz w:val="28"/>
          <w:szCs w:val="28"/>
          <w:lang w:val="ru-RU"/>
        </w:rPr>
      </w:pPr>
      <w:bookmarkStart w:id="6" w:name="__RefHeading___Toc442_319222050"/>
      <w:bookmarkEnd w:id="6"/>
      <w:r>
        <w:rPr/>
        <w:t>Архитектура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Style9"/>
        </w:rPr>
        <w:endnoteReference w:id="5"/>
      </w:r>
      <w:r>
        <w:rPr/>
        <w:t>. Как видно за т. н. «публичном интерфейсом» скрыта целая сложная система, позволяющая создавать красивые и производительные приложения.</w:t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273_2223766980"/>
      <w:bookmarkEnd w:id="7"/>
      <w:r>
        <w:rPr/>
        <w:t>Архитектурное изучение</w:t>
      </w:r>
    </w:p>
    <w:p>
      <w:pPr>
        <w:pStyle w:val="Style15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3"/>
        <w:rPr/>
      </w:pPr>
      <w:bookmarkStart w:id="8" w:name="__RefHeading___Toc275_2223766980"/>
      <w:bookmarkEnd w:id="8"/>
      <w:r>
        <w:rPr/>
        <w:t>SOLID-принципы</w:t>
      </w:r>
    </w:p>
    <w:p>
      <w:pPr>
        <w:pStyle w:val="Style15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Style9"/>
        </w:rPr>
        <w:endnoteReference w:id="6"/>
      </w:r>
    </w:p>
    <w:p>
      <w:pPr>
        <w:pStyle w:val="Style15"/>
        <w:rPr/>
      </w:pPr>
      <w:r>
        <w:rPr/>
        <w:t>Начнём разбор.</w:t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Style15"/>
        <w:numPr>
          <w:ilvl w:val="1"/>
          <w:numId w:val="1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отвечает, что нам надо дописать расширение.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Ниже представлен утрированный пример.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/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LSP — (англ. Liskov Substitution Principle, Принцип Подстановки Барбары Лисков)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/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Style15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/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ISP — (англ. Interface Segregation Principle, Принцип Разделения Интерфейсов)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DIP — (англ. Dependency Inversion Principle, Принцип Инверсии Зависимостей)</w:t>
      </w:r>
    </w:p>
    <w:p>
      <w:pPr>
        <w:pStyle w:val="Style15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Style15"/>
        <w:numPr>
          <w:ilvl w:val="0"/>
          <w:numId w:val="0"/>
        </w:numPr>
        <w:ind w:left="1080" w:hanging="0"/>
        <w:rPr>
          <w:b/>
          <w:b/>
          <w:bCs/>
        </w:rPr>
      </w:pPr>
      <w:r>
        <w:rPr/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2356485" cy="672465"/>
            <wp:effectExtent l="0" t="0" r="0" b="0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</w:rPr>
        <w:tab/>
      </w:r>
      <w:r>
        <w:rPr/>
        <w:drawing>
          <wp:inline distT="0" distB="0" distL="0" distR="0">
            <wp:extent cx="379984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Style15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bookmarkStart w:id="9" w:name="__RefHeading___Toc277_2223766980"/>
      <w:bookmarkEnd w:id="9"/>
      <w:r>
        <w:rPr/>
        <w:t>MVC-паттерны</w:t>
      </w:r>
    </w:p>
    <w:p>
      <w:pPr>
        <w:pStyle w:val="4"/>
        <w:rPr/>
      </w:pPr>
      <w:bookmarkStart w:id="10" w:name="__RefHeading___Toc444_319222050"/>
      <w:bookmarkEnd w:id="10"/>
      <w:r>
        <w:rPr/>
        <w:t>Обзор</w:t>
      </w:r>
    </w:p>
    <w:p>
      <w:pPr>
        <w:pStyle w:val="Style15"/>
        <w:rPr/>
      </w:pPr>
      <w:r>
        <w:rPr/>
        <w:tab/>
        <w:t>Создание графического интерфейса для программы – это типовая задача в программировании, и для этого уже придуманы различные стандартные приемы, такие как архитектура «MVC»</w:t>
      </w:r>
    </w:p>
    <w:p>
      <w:pPr>
        <w:pStyle w:val="4"/>
        <w:rPr/>
      </w:pPr>
      <w:bookmarkStart w:id="11" w:name="__RefHeading___Toc446_319222050"/>
      <w:bookmarkEnd w:id="11"/>
      <w:r>
        <w:rPr/>
        <w:t>«Классическая» архитектура</w:t>
      </w:r>
    </w:p>
    <w:p>
      <w:pPr>
        <w:pStyle w:val="Style15"/>
        <w:rPr/>
      </w:pPr>
      <w:r>
        <w:rPr/>
        <w:tab/>
        <w:t>Стандартный вариант решения «MVC» расшифровывается так: «Модель — Внешний Вид(Внешнее представление) — Контроллер»</w:t>
      </w:r>
    </w:p>
    <w:p>
      <w:pPr>
        <w:pStyle w:val="Style15"/>
        <w:rPr/>
      </w:pPr>
      <w:r>
        <w:rPr/>
        <w:tab/>
        <w:t xml:space="preserve"> Такой подход заключается в том, что приложение разбивается на 3 связных уровня, каждый из которых ответственнен за что то одно.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2409825" cy="1152525"/>
            <wp:effectExtent l="0" t="0" r="0" b="0"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i/>
          <w:i/>
          <w:iCs/>
        </w:rPr>
      </w:pPr>
      <w:r>
        <w:rPr>
          <w:i/>
          <w:iCs/>
        </w:rPr>
        <w:t>Так схематично выглядит архитектура MVC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Модель – этот слой инкапсулирует в себе данные о модели из предметной области(примеры: Аккаунт клиента, Пункт продажи, Документы определённого расширения, и т. д.)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Внешний вид(представление) – слой, который прямо взаимодействует с пользователем, т. е. показывается на экране, обрабатывает кнопки и т. п., так же, обновляет свой контент на основе данных из модели.</w:t>
      </w:r>
    </w:p>
    <w:p>
      <w:pPr>
        <w:pStyle w:val="Style15"/>
        <w:rPr>
          <w:i w:val="false"/>
          <w:i w:val="false"/>
          <w:iCs w:val="false"/>
        </w:rPr>
      </w:pPr>
      <w:r>
        <w:rPr>
          <w:i w:val="false"/>
          <w:iCs w:val="false"/>
        </w:rPr>
        <w:t>Контроллер –  тот слой, который занимается логикой предметной области(прим. Посчитать баланс на аккаунте, расстояние между городами, отправить уведомление на телефон, и т. д.)</w:t>
      </w:r>
    </w:p>
    <w:p>
      <w:pPr>
        <w:pStyle w:val="4"/>
        <w:rPr/>
      </w:pPr>
      <w:bookmarkStart w:id="12" w:name="__RefHeading___Toc448_319222050"/>
      <w:bookmarkEnd w:id="12"/>
      <w:r>
        <w:rPr/>
        <w:t>MVVM — архитектура</w:t>
      </w:r>
    </w:p>
    <w:p>
      <w:pPr>
        <w:pStyle w:val="Style15"/>
        <w:rPr/>
      </w:pPr>
      <w:r>
        <w:rPr/>
        <w:tab/>
      </w:r>
      <w:r>
        <w:rPr/>
        <w:t xml:space="preserve">MVVM (Model-View-ViewModel) – расширение классического шаблона MVC. </w:t>
      </w:r>
    </w:p>
    <w:p>
      <w:pPr>
        <w:pStyle w:val="Style15"/>
        <w:rPr/>
      </w:pPr>
      <w:r>
        <w:rPr/>
        <w:t>Шаблон состоит из слоев:</w:t>
      </w:r>
    </w:p>
    <w:p>
      <w:pPr>
        <w:pStyle w:val="Style15"/>
        <w:numPr>
          <w:ilvl w:val="0"/>
          <w:numId w:val="16"/>
        </w:numPr>
        <w:rPr/>
      </w:pPr>
      <w:r>
        <w:rPr/>
        <w:t>Model – отвечает за основную логику программы</w:t>
      </w:r>
    </w:p>
    <w:p>
      <w:pPr>
        <w:pStyle w:val="Style15"/>
        <w:numPr>
          <w:ilvl w:val="0"/>
          <w:numId w:val="16"/>
        </w:numPr>
        <w:rPr/>
      </w:pPr>
      <w:r>
        <w:rPr/>
        <w:t>View – отвечает за отображение программы на экране</w:t>
      </w:r>
    </w:p>
    <w:p>
      <w:pPr>
        <w:pStyle w:val="Style15"/>
        <w:numPr>
          <w:ilvl w:val="0"/>
          <w:numId w:val="16"/>
        </w:numPr>
        <w:rPr/>
      </w:pPr>
      <w:r>
        <w:rPr/>
        <w:t>ViewModel – слой-связь между абстракциями предметной области и уровнем представления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Архитектура такого приложения схематично выглядит так:</w:t>
      </w:r>
    </w:p>
    <w:p>
      <w:pPr>
        <w:pStyle w:val="Style15"/>
        <w:rPr/>
      </w:pPr>
      <w:r>
        <w:rPr/>
        <w:drawing>
          <wp:inline distT="0" distB="0" distL="0" distR="0">
            <wp:extent cx="6332220" cy="1878330"/>
            <wp:effectExtent l="0" t="0" r="0" b="0"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То есть, слой отображения, к примеру веб-страничка, при разработке или проектировании использует(зависит) от слоя модели-представления, </w:t>
      </w:r>
      <w:r>
        <w:rPr/>
        <w:t>который в свою очередь является оберткой для данных из слоя модели.</w:t>
      </w:r>
    </w:p>
    <w:p>
      <w:pPr>
        <w:pStyle w:val="Style15"/>
        <w:rPr/>
      </w:pPr>
      <w:r>
        <w:rPr/>
      </w:r>
    </w:p>
    <w:p>
      <w:pPr>
        <w:pStyle w:val="2"/>
        <w:rPr/>
      </w:pPr>
      <w:bookmarkStart w:id="13" w:name="__RefHeading___Toc281_2223766980"/>
      <w:bookmarkEnd w:id="13"/>
      <w:r>
        <w:rPr/>
        <w:t>Выбор задачи</w:t>
      </w:r>
    </w:p>
    <w:p>
      <w:pPr>
        <w:pStyle w:val="3"/>
        <w:rPr/>
      </w:pPr>
      <w:bookmarkStart w:id="14" w:name="__RefHeading___Toc283_2223766980"/>
      <w:bookmarkEnd w:id="14"/>
      <w:r>
        <w:rPr/>
        <w:t>Клеточные автоматы и игра «Жизнь»</w:t>
      </w:r>
    </w:p>
    <w:p>
      <w:pPr>
        <w:pStyle w:val="3"/>
        <w:rPr/>
      </w:pPr>
      <w:r>
        <w:rPr/>
      </w:r>
    </w:p>
    <w:p>
      <w:pPr>
        <w:pStyle w:val="1"/>
        <w:rPr/>
      </w:pPr>
      <w:bookmarkStart w:id="15" w:name="__RefHeading___Toc243_1050172711"/>
      <w:bookmarkEnd w:id="15"/>
      <w:r>
        <w:rPr/>
        <w:t xml:space="preserve">Глава 2. Практическая часть </w:t>
      </w:r>
    </w:p>
    <w:p>
      <w:pPr>
        <w:pStyle w:val="Style15"/>
        <w:bidi w:val="0"/>
        <w:spacing w:before="0" w:after="0"/>
        <w:jc w:val="both"/>
        <w:rPr/>
      </w:pPr>
      <w:r>
        <w:rPr/>
        <w:t>Для создания практической части проекта я использовала программу MS PowerPoint.</w:t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2.1. Создание электронной викторины в PowerPoint</w:t>
      </w:r>
    </w:p>
    <w:p>
      <w:pPr>
        <w:pStyle w:val="Style15"/>
        <w:bidi w:val="0"/>
        <w:spacing w:before="0" w:after="0"/>
        <w:jc w:val="both"/>
        <w:rPr/>
      </w:pPr>
      <w:r>
        <w:rPr/>
        <w:t>Для создания викторины в PowerPoint необходимо: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 xml:space="preserve">Запустить программу PowerPoint. Для этого выполните Пуск/ Все программы/ Microsoft Office/ PowerPoint (рис. 4). 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705100" cy="1695450"/>
            <wp:effectExtent l="0" t="0" r="0" b="0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95475" cy="1866900"/>
            <wp:effectExtent l="0" t="0" r="0" b="0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left"/>
        <w:rPr/>
      </w:pPr>
      <w:r>
        <w:rPr/>
        <w:t>Рис.4 Рис.5</w:t>
      </w:r>
    </w:p>
    <w:p>
      <w:pPr>
        <w:pStyle w:val="Style15"/>
        <w:bidi w:val="0"/>
        <w:spacing w:before="0" w:after="0"/>
        <w:jc w:val="center"/>
        <w:rPr/>
      </w:pPr>
      <w:r>
        <w:rPr/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Выбрать цветовое оформление слайдов (рис. 5). Вкладка Дизайн/ Стили фона/ Формат фона/Градиентная заливка/ Рассвет/ Применять ко всем (рис. 6).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5543550" cy="155257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Рис.6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Оформить заголовок. Вкладка Вставка/ WordArt (рис. 7).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466975" cy="139065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Рис.7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Зайти во Вкладку Дизайн/ Стили фона/ Формат фона/Рисунок или текстура нажать на слово Файл выбрать путь Рабочий стол /Презентации/Практическая работа№2/картинку фон (рис. 8)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19450" cy="1809750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Рис.8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2 слайд Главная/ Создать слайд/Два объекта. Набрать текст (рис. 9)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38500" cy="1819275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Рис.9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Остальные слайды делать аналогично 2 слайду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Возвратиться ко второму слайду для создания гиперссылок (рис. 10)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Рис.10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Выделить слово. Выбрать вкладку Вставка-Гиперссылка. Появляется диалоговое окно выбрать Место в документе и слайд и нажать ОК. Аналогично для остальных слайдов/ (рис. 11)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038475" cy="1714500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Рис.11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Перейти на второй слайд выбираем Вставка - Фигуры (рис. 12)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1895475" cy="91440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Рис.12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Настроить гиперссылки. Выделить кнопку. Выбрать в меню Вставка-Гиперссылка (рис. 13)</w:t>
      </w:r>
    </w:p>
    <w:p>
      <w:pPr>
        <w:pStyle w:val="Style15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bidi w:val="0"/>
        <w:spacing w:before="0" w:after="0"/>
        <w:jc w:val="center"/>
        <w:rPr/>
      </w:pPr>
      <w:r>
        <w:rPr/>
        <w:t>Рис.13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Аналогично для остальных слайдов вставка управляющих кнопок и создание гиперссылок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Создать последний пустой слайд с помощью объекта WordArt вставляем надпись «Спасибо за внимание!»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/>
      </w:pPr>
      <w:r>
        <w:rPr>
          <w:b/>
        </w:rPr>
        <w:t>Заключение</w:t>
      </w:r>
      <w:r>
        <w:rPr/>
        <w:br/>
      </w:r>
    </w:p>
    <w:p>
      <w:pPr>
        <w:pStyle w:val="Style15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Style15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Style15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Style15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Style15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Style15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Style15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both"/>
        <w:rPr/>
      </w:pPr>
      <w:r>
        <w:rPr/>
      </w:r>
    </w:p>
    <w:p>
      <w:pPr>
        <w:pStyle w:val="Style15"/>
        <w:bidi w:val="0"/>
        <w:spacing w:before="0" w:after="0"/>
        <w:jc w:val="center"/>
        <w:rPr>
          <w:b/>
          <w:b/>
        </w:rPr>
      </w:pPr>
      <w:r>
        <w:rPr>
          <w:b/>
        </w:rPr>
        <w:t>Список литературы</w:t>
      </w:r>
    </w:p>
    <w:p>
      <w:pPr>
        <w:pStyle w:val="Style15"/>
        <w:bidi w:val="0"/>
        <w:spacing w:before="0" w:after="0"/>
        <w:jc w:val="both"/>
        <w:rPr/>
      </w:pPr>
      <w:r>
        <w:rPr/>
        <w:t>1. Грамолин В.В. Обучающие компьютерные игры. // Информатика и образование. – 2014. № 4. – С. 63–65.</w:t>
      </w:r>
    </w:p>
    <w:p>
      <w:pPr>
        <w:pStyle w:val="Style15"/>
        <w:bidi w:val="0"/>
        <w:spacing w:before="0" w:after="0"/>
        <w:jc w:val="both"/>
        <w:rPr/>
      </w:pPr>
      <w:r>
        <w:rPr/>
        <w:t>2. Зубрилин А.А. Игровой компонент в обучении информатике. // Информатика в начальном образовании. – 2016. № 3. – С. 3–78.</w:t>
      </w:r>
    </w:p>
    <w:p>
      <w:pPr>
        <w:pStyle w:val="Style15"/>
        <w:bidi w:val="0"/>
        <w:spacing w:before="0" w:after="0"/>
        <w:jc w:val="both"/>
        <w:rPr/>
      </w:pPr>
      <w:r>
        <w:rPr/>
        <w:t>3. Камалов Р.Р. Компьютерные игры в школе. // Информатика и образование. – 2015. № 2. – С. 36–48.</w:t>
      </w:r>
    </w:p>
    <w:p>
      <w:pPr>
        <w:pStyle w:val="Style15"/>
        <w:bidi w:val="0"/>
        <w:spacing w:before="0" w:after="0"/>
        <w:jc w:val="both"/>
        <w:rPr/>
      </w:pPr>
      <w:r>
        <w:rPr/>
        <w:t>4. Макасер И.Л. Игра как элемент обучения. // Информатика в начальном образовании. –2018. № 2. – С. 71– 77.</w:t>
      </w:r>
    </w:p>
    <w:p>
      <w:pPr>
        <w:pStyle w:val="Style15"/>
        <w:bidi w:val="0"/>
        <w:spacing w:before="0" w:after="0"/>
        <w:jc w:val="both"/>
        <w:rPr/>
      </w:pPr>
      <w:r>
        <w:rPr/>
        <w:t>5. Овчинникова С.А. Игра на уроках информатики. // Информатика и образование. – 2019. № 11. – С. 89–93.</w:t>
      </w:r>
    </w:p>
    <w:p>
      <w:pPr>
        <w:pStyle w:val="Style15"/>
        <w:bidi w:val="0"/>
        <w:spacing w:before="0" w:after="0"/>
        <w:jc w:val="both"/>
        <w:rPr/>
      </w:pPr>
      <w:r>
        <w:rPr/>
        <w:t>6. Первин С.П. Дети, компьютеры и коммуникации. // Информатика и образование. – 2014. № 4. – С. 17–20.</w:t>
      </w:r>
    </w:p>
    <w:p>
      <w:pPr>
        <w:pStyle w:val="Style15"/>
        <w:bidi w:val="0"/>
        <w:spacing w:before="0" w:after="0"/>
        <w:jc w:val="both"/>
        <w:rPr/>
      </w:pPr>
      <w:r>
        <w:rPr/>
        <w:t>7. Цветаева М.С. Методические материалы по игровым технологиям. // Методический вестник. – 2018. № 8. – С. 12–33.</w:t>
      </w:r>
    </w:p>
    <w:p>
      <w:pPr>
        <w:pStyle w:val="Style15"/>
        <w:bidi w:val="0"/>
        <w:spacing w:before="0" w:after="0"/>
        <w:jc w:val="both"/>
        <w:rPr/>
      </w:pPr>
      <w:r>
        <w:rPr/>
        <w:t>8. Презентация-викторина "Открывайка-ка - угадай-ка" по иллюстрациям из знакомых сказок. Часть 2. (3-5 класс) [Электронный ресурс]. Режим доступа: load/196-1-0-20655, дата обращения: 01.05.2019</w:t>
      </w:r>
    </w:p>
    <w:p>
      <w:pPr>
        <w:pStyle w:val="Style15"/>
        <w:bidi w:val="0"/>
        <w:spacing w:before="0" w:after="0"/>
        <w:jc w:val="both"/>
        <w:rPr/>
      </w:pPr>
      <w:r>
        <w:rPr/>
        <w:t>9. Как сделать презентацию на компьютере в Microsoft PowerPoint [Электронный ресурс]. Режим доступа: microsoft-office/office-2010/503-kak-sdelat-prezentaciyu-na-kompyutere-v-microsoft-powerpoint.html, дата обращения:16.04.2019</w:t>
      </w:r>
    </w:p>
    <w:p>
      <w:pPr>
        <w:pStyle w:val="Style15"/>
        <w:bidi w:val="0"/>
        <w:spacing w:before="0" w:after="0"/>
        <w:jc w:val="both"/>
        <w:rPr/>
      </w:pPr>
      <w:r>
        <w:rPr/>
        <w:t>10. Потенциал программы Power Point как средства создания интерактивных дидактических материалов для уроков информатики [Электронный ресурс]. Режим доступа: files/conf2011/2/Kulikova_Bobrovskaya.pdf, дата обращения: 03.05.2019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4"/>
      <w:footerReference w:type="first" r:id="rId25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официальный сайт компании-владельца языка Java [Электронный ресурс] – URL (Дата обращения 12.04.21)</w:t>
      </w:r>
    </w:p>
    <w:p>
      <w:pPr>
        <w:pStyle w:val="Style22"/>
        <w:rPr/>
      </w:pPr>
      <w:r>
        <w:rPr/>
        <w:t xml:space="preserve"> </w:t>
      </w:r>
      <w:r>
        <w:rPr/>
        <w:tab/>
        <w:t>https://docs.oracle.com/javase/8/docs/api/index.html</w:t>
      </w:r>
    </w:p>
  </w:endnote>
  <w:endnote w:id="3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Style22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Style22"/>
        <w:rPr/>
      </w:pPr>
      <w:r>
        <w:rPr>
          <w:rStyle w:val="Style8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Style22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Style22"/>
        <w:rPr/>
      </w:pPr>
      <w:r>
        <w:rPr>
          <w:rStyle w:val="Style8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Style22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4"/>
    <w:next w:val="Style15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4"/>
    <w:next w:val="Style15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14"/>
    <w:next w:val="Style15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14"/>
    <w:next w:val="Style15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14"/>
    <w:next w:val="Style15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>
      <w:suppressLineNumbers/>
    </w:pPr>
    <w:rPr/>
  </w:style>
  <w:style w:type="paragraph" w:styleId="ListNumber">
    <w:name w:val="List Number"/>
    <w:basedOn w:val="Style16"/>
    <w:qFormat/>
    <w:pPr>
      <w:spacing w:before="0" w:after="120"/>
      <w:ind w:left="180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360" w:hanging="360"/>
    </w:pPr>
    <w:rPr/>
  </w:style>
  <w:style w:type="paragraph" w:styleId="51">
    <w:name w:val="Конец нумерованного списка 5"/>
    <w:basedOn w:val="Style16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Style16"/>
    <w:qFormat/>
    <w:pPr>
      <w:spacing w:before="0" w:after="120"/>
      <w:ind w:left="1800" w:hanging="360"/>
    </w:pPr>
    <w:rPr/>
  </w:style>
  <w:style w:type="paragraph" w:styleId="11">
    <w:name w:val="Конец нумерованного списка 1"/>
    <w:basedOn w:val="Style16"/>
    <w:next w:val="ListBullet4"/>
    <w:qFormat/>
    <w:pPr>
      <w:spacing w:before="0" w:after="240"/>
      <w:ind w:left="360" w:hanging="360"/>
    </w:pPr>
    <w:rPr/>
  </w:style>
  <w:style w:type="paragraph" w:styleId="21">
    <w:name w:val="Список 2 конец"/>
    <w:basedOn w:val="Style16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Style16"/>
    <w:qFormat/>
    <w:pPr>
      <w:spacing w:before="0" w:after="120"/>
      <w:ind w:left="1080" w:hanging="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18"/>
    <w:pPr>
      <w:tabs>
        <w:tab w:val="clear" w:pos="720"/>
        <w:tab w:val="right" w:pos="9972" w:leader="dot"/>
      </w:tabs>
      <w:ind w:left="0" w:hanging="0"/>
    </w:pPr>
    <w:rPr/>
  </w:style>
  <w:style w:type="paragraph" w:styleId="22">
    <w:name w:val="TOC 2"/>
    <w:basedOn w:val="Style18"/>
    <w:pPr>
      <w:tabs>
        <w:tab w:val="clear" w:pos="720"/>
        <w:tab w:val="right" w:pos="9689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Style15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Style22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4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41">
    <w:name w:val="TOC 4"/>
    <w:basedOn w:val="Style18"/>
    <w:pPr>
      <w:tabs>
        <w:tab w:val="clear" w:pos="720"/>
        <w:tab w:val="right" w:pos="9123" w:leader="dot"/>
      </w:tabs>
      <w:ind w:left="849" w:hanging="0"/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jpe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endnotes" Target="endnotes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1458</TotalTime>
  <Application>LibreOffice/7.1.4.2$Linux_X86_64 LibreOffice_project/10$Build-2</Application>
  <AppVersion>15.0000</AppVersion>
  <Pages>20</Pages>
  <Words>2136</Words>
  <Characters>14497</Characters>
  <CharactersWithSpaces>16669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2021-08-03T20:21:58Z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