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2CB4" w14:textId="4708026D" w:rsidR="009402F3" w:rsidRPr="00AC403D" w:rsidRDefault="00F82FF1" w:rsidP="00AC403D">
      <w:pPr>
        <w:pStyle w:val="Heading1"/>
      </w:pPr>
      <w:r w:rsidRPr="00AC403D">
        <w:t>CS 255 Module Two Assignment</w:t>
      </w:r>
      <w:r w:rsidR="004D4062">
        <w:t xml:space="preserve"> Template</w:t>
      </w:r>
    </w:p>
    <w:p w14:paraId="0EB21E64" w14:textId="77777777" w:rsidR="00AC403D" w:rsidRPr="00AC403D" w:rsidRDefault="00AC403D" w:rsidP="00AC403D">
      <w:pPr>
        <w:spacing w:line="240" w:lineRule="auto"/>
        <w:rPr>
          <w:rFonts w:asciiTheme="majorHAnsi" w:hAnsiTheme="majorHAnsi" w:cstheme="majorHAnsi"/>
          <w:sz w:val="22"/>
          <w:szCs w:val="22"/>
        </w:rPr>
      </w:pPr>
    </w:p>
    <w:p w14:paraId="2733D321" w14:textId="679E5285" w:rsidR="009402F3" w:rsidRPr="00AC403D" w:rsidRDefault="00F82FF1" w:rsidP="00AC403D">
      <w:pPr>
        <w:pStyle w:val="Heading2"/>
      </w:pPr>
      <w:bookmarkStart w:id="0" w:name="_heading=h.gjdgxs" w:colFirst="0" w:colLast="0"/>
      <w:bookmarkEnd w:id="0"/>
      <w:r w:rsidRPr="00AC403D">
        <w:t>Functional Requirements</w:t>
      </w:r>
    </w:p>
    <w:p w14:paraId="3FD09899" w14:textId="77777777" w:rsidR="00AC403D" w:rsidRPr="00AC403D" w:rsidRDefault="00AC403D" w:rsidP="00AC403D"/>
    <w:tbl>
      <w:tblPr>
        <w:tblStyle w:val="a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5F8CFA0D" w14:textId="77777777" w:rsidTr="00AC403D">
        <w:trPr>
          <w:tblHeader/>
        </w:trPr>
        <w:tc>
          <w:tcPr>
            <w:tcW w:w="3116" w:type="dxa"/>
            <w:tcMar>
              <w:top w:w="0" w:type="dxa"/>
              <w:left w:w="115" w:type="dxa"/>
              <w:bottom w:w="0" w:type="dxa"/>
              <w:right w:w="115" w:type="dxa"/>
            </w:tcMar>
          </w:tcPr>
          <w:p w14:paraId="0A375562"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Functional Requirement</w:t>
            </w:r>
          </w:p>
        </w:tc>
        <w:tc>
          <w:tcPr>
            <w:tcW w:w="3117" w:type="dxa"/>
            <w:tcMar>
              <w:top w:w="0" w:type="dxa"/>
              <w:left w:w="115" w:type="dxa"/>
              <w:bottom w:w="0" w:type="dxa"/>
              <w:right w:w="115" w:type="dxa"/>
            </w:tcMar>
          </w:tcPr>
          <w:p w14:paraId="07D35384" w14:textId="78B73C6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5137AA4C"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6FDB8E04" w14:textId="77777777" w:rsidTr="00AC403D">
        <w:tc>
          <w:tcPr>
            <w:tcW w:w="3116" w:type="dxa"/>
            <w:tcMar>
              <w:top w:w="0" w:type="dxa"/>
              <w:left w:w="115" w:type="dxa"/>
              <w:bottom w:w="0" w:type="dxa"/>
              <w:right w:w="115" w:type="dxa"/>
            </w:tcMar>
          </w:tcPr>
          <w:p w14:paraId="3E61B9C3" w14:textId="067C8F9B"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User authentication and role-based access</w:t>
            </w:r>
          </w:p>
        </w:tc>
        <w:tc>
          <w:tcPr>
            <w:tcW w:w="3117" w:type="dxa"/>
            <w:tcMar>
              <w:top w:w="0" w:type="dxa"/>
              <w:left w:w="115" w:type="dxa"/>
              <w:bottom w:w="0" w:type="dxa"/>
              <w:right w:w="115" w:type="dxa"/>
            </w:tcMar>
          </w:tcPr>
          <w:p w14:paraId="46203D0A" w14:textId="72B498C5" w:rsidR="009402F3" w:rsidRPr="00AC403D" w:rsidRDefault="006517CC" w:rsidP="00AC403D">
            <w:pPr>
              <w:suppressAutoHyphens/>
              <w:contextualSpacing/>
              <w:rPr>
                <w:rFonts w:asciiTheme="majorHAnsi" w:hAnsiTheme="majorHAnsi" w:cstheme="majorHAnsi"/>
                <w:sz w:val="22"/>
                <w:szCs w:val="22"/>
              </w:rPr>
            </w:pPr>
            <w:r w:rsidRPr="006517CC">
              <w:rPr>
                <w:rFonts w:asciiTheme="majorHAnsi" w:hAnsiTheme="majorHAnsi" w:cstheme="majorHAnsi"/>
                <w:sz w:val="22"/>
                <w:szCs w:val="22"/>
              </w:rPr>
              <w:t>The LMS shall authenticate students, instructors, advisors, and administrators and provide permissions appropriate to each role. This prevents users from viewing or changing information outside their responsibilities while supporting the different access levels expected in an academic system.</w:t>
            </w:r>
          </w:p>
        </w:tc>
        <w:tc>
          <w:tcPr>
            <w:tcW w:w="3117" w:type="dxa"/>
            <w:tcMar>
              <w:top w:w="0" w:type="dxa"/>
              <w:left w:w="115" w:type="dxa"/>
              <w:bottom w:w="0" w:type="dxa"/>
              <w:right w:w="115" w:type="dxa"/>
            </w:tcMar>
          </w:tcPr>
          <w:p w14:paraId="524491AC" w14:textId="77777777" w:rsidR="006517CC" w:rsidRPr="006517CC" w:rsidRDefault="006517CC" w:rsidP="006517CC">
            <w:pPr>
              <w:suppressAutoHyphens/>
              <w:contextualSpacing/>
              <w:rPr>
                <w:rFonts w:asciiTheme="majorHAnsi" w:hAnsiTheme="majorHAnsi" w:cstheme="majorHAnsi"/>
                <w:sz w:val="22"/>
                <w:szCs w:val="22"/>
              </w:rPr>
            </w:pPr>
            <w:r w:rsidRPr="006517CC">
              <w:rPr>
                <w:rFonts w:asciiTheme="majorHAnsi" w:hAnsiTheme="majorHAnsi" w:cstheme="majorHAnsi"/>
                <w:sz w:val="22"/>
                <w:szCs w:val="22"/>
              </w:rPr>
              <w:t>D2L. (n.d.). About roles and permissions. https://community.d2l.com/brightspace/kb/articles/4451-about-roles-and-permissions</w:t>
            </w:r>
          </w:p>
          <w:p w14:paraId="5DD2823F" w14:textId="2B956261" w:rsidR="009402F3" w:rsidRPr="00AC403D" w:rsidRDefault="006517CC" w:rsidP="006517CC">
            <w:pPr>
              <w:suppressAutoHyphens/>
              <w:contextualSpacing/>
              <w:rPr>
                <w:rFonts w:asciiTheme="majorHAnsi" w:hAnsiTheme="majorHAnsi" w:cstheme="majorHAnsi"/>
                <w:sz w:val="22"/>
                <w:szCs w:val="22"/>
              </w:rPr>
            </w:pPr>
            <w:r w:rsidRPr="006517CC">
              <w:rPr>
                <w:rFonts w:asciiTheme="majorHAnsi" w:hAnsiTheme="majorHAnsi" w:cstheme="majorHAnsi"/>
                <w:sz w:val="22"/>
                <w:szCs w:val="22"/>
              </w:rPr>
              <w:t>Moodle. (2024). Features. https://docs.moodle.org/502/en/Features</w:t>
            </w:r>
          </w:p>
        </w:tc>
      </w:tr>
      <w:tr w:rsidR="009402F3" w:rsidRPr="00AC403D" w14:paraId="3BA7A616" w14:textId="77777777" w:rsidTr="00AC403D">
        <w:tc>
          <w:tcPr>
            <w:tcW w:w="3116" w:type="dxa"/>
            <w:tcMar>
              <w:top w:w="0" w:type="dxa"/>
              <w:left w:w="115" w:type="dxa"/>
              <w:bottom w:w="0" w:type="dxa"/>
              <w:right w:w="115" w:type="dxa"/>
            </w:tcMar>
          </w:tcPr>
          <w:p w14:paraId="54E41534" w14:textId="64AA0D1D"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Course enrollment and access</w:t>
            </w:r>
          </w:p>
        </w:tc>
        <w:tc>
          <w:tcPr>
            <w:tcW w:w="3117" w:type="dxa"/>
            <w:tcMar>
              <w:top w:w="0" w:type="dxa"/>
              <w:left w:w="115" w:type="dxa"/>
              <w:bottom w:w="0" w:type="dxa"/>
              <w:right w:w="115" w:type="dxa"/>
            </w:tcMar>
          </w:tcPr>
          <w:p w14:paraId="4D0E5F81" w14:textId="306B816C" w:rsidR="009402F3" w:rsidRPr="00AC403D" w:rsidRDefault="006517CC" w:rsidP="00AC403D">
            <w:pPr>
              <w:suppressAutoHyphens/>
              <w:contextualSpacing/>
              <w:rPr>
                <w:rFonts w:asciiTheme="majorHAnsi" w:hAnsiTheme="majorHAnsi" w:cstheme="majorHAnsi"/>
                <w:sz w:val="22"/>
                <w:szCs w:val="22"/>
              </w:rPr>
            </w:pPr>
            <w:r w:rsidRPr="006517CC">
              <w:rPr>
                <w:rFonts w:asciiTheme="majorHAnsi" w:hAnsiTheme="majorHAnsi" w:cstheme="majorHAnsi"/>
                <w:sz w:val="22"/>
                <w:szCs w:val="22"/>
              </w:rPr>
              <w:t xml:space="preserve">The LMS shall allow authorized staff to create courses, enroll or drop users, and allow students to view the courses </w:t>
            </w:r>
            <w:proofErr w:type="gramStart"/>
            <w:r w:rsidRPr="006517CC">
              <w:rPr>
                <w:rFonts w:asciiTheme="majorHAnsi" w:hAnsiTheme="majorHAnsi" w:cstheme="majorHAnsi"/>
                <w:sz w:val="22"/>
                <w:szCs w:val="22"/>
              </w:rPr>
              <w:t>in</w:t>
            </w:r>
            <w:proofErr w:type="gramEnd"/>
            <w:r w:rsidRPr="006517CC">
              <w:rPr>
                <w:rFonts w:asciiTheme="majorHAnsi" w:hAnsiTheme="majorHAnsi" w:cstheme="majorHAnsi"/>
                <w:sz w:val="22"/>
                <w:szCs w:val="22"/>
              </w:rPr>
              <w:t xml:space="preserve"> which they are enrolled. Enrollment controls connect the correct learner to the correct course content and support the university’s academic records process.</w:t>
            </w:r>
          </w:p>
        </w:tc>
        <w:tc>
          <w:tcPr>
            <w:tcW w:w="3117" w:type="dxa"/>
            <w:tcMar>
              <w:top w:w="0" w:type="dxa"/>
              <w:left w:w="115" w:type="dxa"/>
              <w:bottom w:w="0" w:type="dxa"/>
              <w:right w:w="115" w:type="dxa"/>
            </w:tcMar>
          </w:tcPr>
          <w:p w14:paraId="58B9CB3A" w14:textId="77777777" w:rsidR="006517CC" w:rsidRPr="006517CC" w:rsidRDefault="006517CC" w:rsidP="006517CC">
            <w:pPr>
              <w:suppressAutoHyphens/>
              <w:contextualSpacing/>
              <w:rPr>
                <w:rFonts w:asciiTheme="majorHAnsi" w:hAnsiTheme="majorHAnsi" w:cstheme="majorHAnsi"/>
                <w:sz w:val="22"/>
                <w:szCs w:val="22"/>
              </w:rPr>
            </w:pPr>
            <w:r w:rsidRPr="006517CC">
              <w:rPr>
                <w:rFonts w:asciiTheme="majorHAnsi" w:hAnsiTheme="majorHAnsi" w:cstheme="majorHAnsi"/>
                <w:sz w:val="22"/>
                <w:szCs w:val="22"/>
              </w:rPr>
              <w:t>D2L. (n.d.). Welcome to the higher education instructor knowledge base. https://community.d2l.com/brightspace/kb/articles/25590-welcome-to-the-higher-education-instructor-knowledge-base</w:t>
            </w:r>
          </w:p>
          <w:p w14:paraId="3B72BC1E" w14:textId="6AB66375" w:rsidR="009402F3" w:rsidRPr="00AC403D" w:rsidRDefault="006517CC" w:rsidP="006517CC">
            <w:pPr>
              <w:suppressAutoHyphens/>
              <w:contextualSpacing/>
              <w:rPr>
                <w:rFonts w:asciiTheme="majorHAnsi" w:hAnsiTheme="majorHAnsi" w:cstheme="majorHAnsi"/>
                <w:sz w:val="22"/>
                <w:szCs w:val="22"/>
              </w:rPr>
            </w:pPr>
            <w:r w:rsidRPr="006517CC">
              <w:rPr>
                <w:rFonts w:asciiTheme="majorHAnsi" w:hAnsiTheme="majorHAnsi" w:cstheme="majorHAnsi"/>
                <w:sz w:val="22"/>
                <w:szCs w:val="22"/>
              </w:rPr>
              <w:t>Moodle. (2024). Features. https://docs.moodle.org/502/en/Features</w:t>
            </w:r>
          </w:p>
        </w:tc>
      </w:tr>
      <w:tr w:rsidR="009402F3" w:rsidRPr="00AC403D" w14:paraId="6CE8FCA3" w14:textId="77777777" w:rsidTr="00AC403D">
        <w:tc>
          <w:tcPr>
            <w:tcW w:w="3116" w:type="dxa"/>
            <w:tcMar>
              <w:top w:w="0" w:type="dxa"/>
              <w:left w:w="115" w:type="dxa"/>
              <w:bottom w:w="0" w:type="dxa"/>
              <w:right w:w="115" w:type="dxa"/>
            </w:tcMar>
          </w:tcPr>
          <w:p w14:paraId="299B7601" w14:textId="6B0F75D6"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Course content management</w:t>
            </w:r>
          </w:p>
        </w:tc>
        <w:tc>
          <w:tcPr>
            <w:tcW w:w="3117" w:type="dxa"/>
            <w:tcMar>
              <w:top w:w="0" w:type="dxa"/>
              <w:left w:w="115" w:type="dxa"/>
              <w:bottom w:w="0" w:type="dxa"/>
              <w:right w:w="115" w:type="dxa"/>
            </w:tcMar>
          </w:tcPr>
          <w:p w14:paraId="4C0AE04D" w14:textId="7DD3F593" w:rsidR="009402F3" w:rsidRPr="00AC403D" w:rsidRDefault="006517CC" w:rsidP="00AC403D">
            <w:pPr>
              <w:suppressAutoHyphens/>
              <w:contextualSpacing/>
              <w:rPr>
                <w:rFonts w:asciiTheme="majorHAnsi" w:hAnsiTheme="majorHAnsi" w:cstheme="majorHAnsi"/>
                <w:sz w:val="22"/>
                <w:szCs w:val="22"/>
              </w:rPr>
            </w:pPr>
            <w:r w:rsidRPr="006517CC">
              <w:rPr>
                <w:rFonts w:asciiTheme="majorHAnsi" w:hAnsiTheme="majorHAnsi" w:cstheme="majorHAnsi"/>
                <w:sz w:val="22"/>
                <w:szCs w:val="22"/>
              </w:rPr>
              <w:t xml:space="preserve">Instructors shall be able to organize modules, upload documents and media, publish learning materials, and set availability dates. Students need a central, predictable location for </w:t>
            </w:r>
            <w:proofErr w:type="gramStart"/>
            <w:r w:rsidRPr="006517CC">
              <w:rPr>
                <w:rFonts w:asciiTheme="majorHAnsi" w:hAnsiTheme="majorHAnsi" w:cstheme="majorHAnsi"/>
                <w:sz w:val="22"/>
                <w:szCs w:val="22"/>
              </w:rPr>
              <w:t>readings</w:t>
            </w:r>
            <w:proofErr w:type="gramEnd"/>
            <w:r w:rsidRPr="006517CC">
              <w:rPr>
                <w:rFonts w:asciiTheme="majorHAnsi" w:hAnsiTheme="majorHAnsi" w:cstheme="majorHAnsi"/>
                <w:sz w:val="22"/>
                <w:szCs w:val="22"/>
              </w:rPr>
              <w:t>, lessons, and other course resources.</w:t>
            </w:r>
          </w:p>
        </w:tc>
        <w:tc>
          <w:tcPr>
            <w:tcW w:w="3117" w:type="dxa"/>
            <w:tcMar>
              <w:top w:w="0" w:type="dxa"/>
              <w:left w:w="115" w:type="dxa"/>
              <w:bottom w:w="0" w:type="dxa"/>
              <w:right w:w="115" w:type="dxa"/>
            </w:tcMar>
          </w:tcPr>
          <w:p w14:paraId="25CE215E" w14:textId="77777777" w:rsidR="006517CC" w:rsidRPr="006517CC" w:rsidRDefault="006517CC" w:rsidP="006517CC">
            <w:pPr>
              <w:suppressAutoHyphens/>
              <w:contextualSpacing/>
              <w:rPr>
                <w:rFonts w:asciiTheme="majorHAnsi" w:hAnsiTheme="majorHAnsi" w:cstheme="majorHAnsi"/>
                <w:sz w:val="22"/>
                <w:szCs w:val="22"/>
              </w:rPr>
            </w:pPr>
            <w:r w:rsidRPr="006517CC">
              <w:rPr>
                <w:rFonts w:asciiTheme="majorHAnsi" w:hAnsiTheme="majorHAnsi" w:cstheme="majorHAnsi"/>
                <w:sz w:val="22"/>
                <w:szCs w:val="22"/>
              </w:rPr>
              <w:t>D2L. (n.d.). Welcome to the higher education instructor knowledge base. https://community.d2l.com/brightspace/kb/articles/25590-welcome-to-the-higher-education-instructor-knowledge-base</w:t>
            </w:r>
          </w:p>
          <w:p w14:paraId="584BBEF1" w14:textId="6FE2D04A" w:rsidR="009402F3" w:rsidRPr="00AC403D" w:rsidRDefault="006517CC" w:rsidP="006517CC">
            <w:pPr>
              <w:suppressAutoHyphens/>
              <w:contextualSpacing/>
              <w:rPr>
                <w:rFonts w:asciiTheme="majorHAnsi" w:hAnsiTheme="majorHAnsi" w:cstheme="majorHAnsi"/>
                <w:sz w:val="22"/>
                <w:szCs w:val="22"/>
              </w:rPr>
            </w:pPr>
            <w:r w:rsidRPr="006517CC">
              <w:rPr>
                <w:rFonts w:asciiTheme="majorHAnsi" w:hAnsiTheme="majorHAnsi" w:cstheme="majorHAnsi"/>
                <w:sz w:val="22"/>
                <w:szCs w:val="22"/>
              </w:rPr>
              <w:t>Moodle. (2024). Features. https://docs.moodle.org/502/en/Features</w:t>
            </w:r>
          </w:p>
        </w:tc>
      </w:tr>
      <w:tr w:rsidR="009402F3" w:rsidRPr="00AC403D" w14:paraId="44B5FFA6" w14:textId="77777777" w:rsidTr="00AC403D">
        <w:tc>
          <w:tcPr>
            <w:tcW w:w="3116" w:type="dxa"/>
            <w:tcMar>
              <w:top w:w="0" w:type="dxa"/>
              <w:left w:w="115" w:type="dxa"/>
              <w:bottom w:w="0" w:type="dxa"/>
              <w:right w:w="115" w:type="dxa"/>
            </w:tcMar>
          </w:tcPr>
          <w:p w14:paraId="4130F84B" w14:textId="3B978B67"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Assignments and quizzes</w:t>
            </w:r>
          </w:p>
        </w:tc>
        <w:tc>
          <w:tcPr>
            <w:tcW w:w="3117" w:type="dxa"/>
            <w:tcMar>
              <w:top w:w="0" w:type="dxa"/>
              <w:left w:w="115" w:type="dxa"/>
              <w:bottom w:w="0" w:type="dxa"/>
              <w:right w:w="115" w:type="dxa"/>
            </w:tcMar>
          </w:tcPr>
          <w:p w14:paraId="0EB2317C" w14:textId="198C01A2" w:rsidR="009402F3" w:rsidRPr="00AC403D" w:rsidRDefault="006517CC" w:rsidP="00AC403D">
            <w:pPr>
              <w:suppressAutoHyphens/>
              <w:contextualSpacing/>
              <w:rPr>
                <w:rFonts w:asciiTheme="majorHAnsi" w:hAnsiTheme="majorHAnsi" w:cstheme="majorHAnsi"/>
                <w:sz w:val="22"/>
                <w:szCs w:val="22"/>
              </w:rPr>
            </w:pPr>
            <w:r w:rsidRPr="006517CC">
              <w:rPr>
                <w:rFonts w:asciiTheme="majorHAnsi" w:hAnsiTheme="majorHAnsi" w:cstheme="majorHAnsi"/>
                <w:sz w:val="22"/>
                <w:szCs w:val="22"/>
              </w:rPr>
              <w:t xml:space="preserve">The LMS shall allow instructors to create assignments and quizzes and allow students to submit work electronically before a due date. Assessment submission is a core learning activity and gives the university </w:t>
            </w:r>
            <w:r w:rsidRPr="006517CC">
              <w:rPr>
                <w:rFonts w:asciiTheme="majorHAnsi" w:hAnsiTheme="majorHAnsi" w:cstheme="majorHAnsi"/>
                <w:sz w:val="22"/>
                <w:szCs w:val="22"/>
              </w:rPr>
              <w:lastRenderedPageBreak/>
              <w:t>a consistent record of student work.</w:t>
            </w:r>
          </w:p>
        </w:tc>
        <w:tc>
          <w:tcPr>
            <w:tcW w:w="3117" w:type="dxa"/>
            <w:tcMar>
              <w:top w:w="0" w:type="dxa"/>
              <w:left w:w="115" w:type="dxa"/>
              <w:bottom w:w="0" w:type="dxa"/>
              <w:right w:w="115" w:type="dxa"/>
            </w:tcMar>
          </w:tcPr>
          <w:p w14:paraId="7F18C6E8" w14:textId="77777777" w:rsidR="006517CC" w:rsidRPr="006517CC" w:rsidRDefault="006517CC" w:rsidP="006517CC">
            <w:pPr>
              <w:suppressAutoHyphens/>
              <w:contextualSpacing/>
              <w:rPr>
                <w:rFonts w:asciiTheme="majorHAnsi" w:hAnsiTheme="majorHAnsi" w:cstheme="majorHAnsi"/>
                <w:sz w:val="22"/>
                <w:szCs w:val="22"/>
              </w:rPr>
            </w:pPr>
            <w:r w:rsidRPr="006517CC">
              <w:rPr>
                <w:rFonts w:asciiTheme="majorHAnsi" w:hAnsiTheme="majorHAnsi" w:cstheme="majorHAnsi"/>
                <w:sz w:val="22"/>
                <w:szCs w:val="22"/>
              </w:rPr>
              <w:lastRenderedPageBreak/>
              <w:t>D2L. (n.d.). Welcome to the higher education instructor knowledge base. https://community.d2l.com/brightspace/kb/articles/25590-welcome-to-the-higher-education-instructor-knowledge-base</w:t>
            </w:r>
          </w:p>
          <w:p w14:paraId="65212C86" w14:textId="7493AA04" w:rsidR="009402F3" w:rsidRPr="00AC403D" w:rsidRDefault="006517CC" w:rsidP="006517CC">
            <w:pPr>
              <w:suppressAutoHyphens/>
              <w:contextualSpacing/>
              <w:rPr>
                <w:rFonts w:asciiTheme="majorHAnsi" w:hAnsiTheme="majorHAnsi" w:cstheme="majorHAnsi"/>
                <w:sz w:val="22"/>
                <w:szCs w:val="22"/>
              </w:rPr>
            </w:pPr>
            <w:r w:rsidRPr="006517CC">
              <w:rPr>
                <w:rFonts w:asciiTheme="majorHAnsi" w:hAnsiTheme="majorHAnsi" w:cstheme="majorHAnsi"/>
                <w:sz w:val="22"/>
                <w:szCs w:val="22"/>
              </w:rPr>
              <w:lastRenderedPageBreak/>
              <w:t>Instructure. (n.d.). Canvas features by user role. https://community.canvaslms.com/t5/Canvas-Features-by-User-Role/Canvas-Features-by-User-Role-2023-10-11/ta-p/582444</w:t>
            </w:r>
          </w:p>
        </w:tc>
      </w:tr>
      <w:tr w:rsidR="009402F3" w:rsidRPr="00AC403D" w14:paraId="42818656" w14:textId="77777777" w:rsidTr="00AC403D">
        <w:tc>
          <w:tcPr>
            <w:tcW w:w="3116" w:type="dxa"/>
            <w:tcMar>
              <w:top w:w="0" w:type="dxa"/>
              <w:left w:w="115" w:type="dxa"/>
              <w:bottom w:w="0" w:type="dxa"/>
              <w:right w:w="115" w:type="dxa"/>
            </w:tcMar>
          </w:tcPr>
          <w:p w14:paraId="151D5D85" w14:textId="57058F32"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lastRenderedPageBreak/>
              <w:t>Grading and feedback</w:t>
            </w:r>
          </w:p>
        </w:tc>
        <w:tc>
          <w:tcPr>
            <w:tcW w:w="3117" w:type="dxa"/>
            <w:tcMar>
              <w:top w:w="0" w:type="dxa"/>
              <w:left w:w="115" w:type="dxa"/>
              <w:bottom w:w="0" w:type="dxa"/>
              <w:right w:w="115" w:type="dxa"/>
            </w:tcMar>
          </w:tcPr>
          <w:p w14:paraId="22998578" w14:textId="54014D91" w:rsidR="009402F3" w:rsidRPr="00AC403D" w:rsidRDefault="006517CC" w:rsidP="00AC403D">
            <w:pPr>
              <w:suppressAutoHyphens/>
              <w:contextualSpacing/>
              <w:rPr>
                <w:rFonts w:asciiTheme="majorHAnsi" w:hAnsiTheme="majorHAnsi" w:cstheme="majorHAnsi"/>
                <w:sz w:val="22"/>
                <w:szCs w:val="22"/>
              </w:rPr>
            </w:pPr>
            <w:r w:rsidRPr="006517CC">
              <w:rPr>
                <w:rFonts w:asciiTheme="majorHAnsi" w:hAnsiTheme="majorHAnsi" w:cstheme="majorHAnsi"/>
                <w:sz w:val="22"/>
                <w:szCs w:val="22"/>
              </w:rPr>
              <w:t>Instructors shall be able to enter grades, attach feedback or rubric results, and release grades to students. A gradebook creates a reliable record of performance and gives students timely information about their progress.</w:t>
            </w:r>
          </w:p>
        </w:tc>
        <w:tc>
          <w:tcPr>
            <w:tcW w:w="3117" w:type="dxa"/>
            <w:tcMar>
              <w:top w:w="0" w:type="dxa"/>
              <w:left w:w="115" w:type="dxa"/>
              <w:bottom w:w="0" w:type="dxa"/>
              <w:right w:w="115" w:type="dxa"/>
            </w:tcMar>
          </w:tcPr>
          <w:p w14:paraId="73A83548" w14:textId="77777777" w:rsidR="006517CC" w:rsidRPr="006517CC" w:rsidRDefault="006517CC" w:rsidP="006517CC">
            <w:pPr>
              <w:suppressAutoHyphens/>
              <w:contextualSpacing/>
              <w:rPr>
                <w:rFonts w:asciiTheme="majorHAnsi" w:hAnsiTheme="majorHAnsi" w:cstheme="majorHAnsi"/>
                <w:sz w:val="22"/>
                <w:szCs w:val="22"/>
              </w:rPr>
            </w:pPr>
            <w:r w:rsidRPr="006517CC">
              <w:rPr>
                <w:rFonts w:asciiTheme="majorHAnsi" w:hAnsiTheme="majorHAnsi" w:cstheme="majorHAnsi"/>
                <w:sz w:val="22"/>
                <w:szCs w:val="22"/>
              </w:rPr>
              <w:t>D2L. (n.d.). Welcome to the higher education instructor knowledge base. https://community.d2l.com/brightspace/kb/articles/25590-welcome-to-the-higher-education-instructor-knowledge-base</w:t>
            </w:r>
          </w:p>
          <w:p w14:paraId="76A21160" w14:textId="17110ECF" w:rsidR="009402F3" w:rsidRPr="00AC403D" w:rsidRDefault="006517CC" w:rsidP="006517CC">
            <w:pPr>
              <w:suppressAutoHyphens/>
              <w:contextualSpacing/>
              <w:rPr>
                <w:rFonts w:asciiTheme="majorHAnsi" w:hAnsiTheme="majorHAnsi" w:cstheme="majorHAnsi"/>
                <w:sz w:val="22"/>
                <w:szCs w:val="22"/>
              </w:rPr>
            </w:pPr>
            <w:r w:rsidRPr="006517CC">
              <w:rPr>
                <w:rFonts w:asciiTheme="majorHAnsi" w:hAnsiTheme="majorHAnsi" w:cstheme="majorHAnsi"/>
                <w:sz w:val="22"/>
                <w:szCs w:val="22"/>
              </w:rPr>
              <w:t>Moodle. (2024). Features. https://docs.moodle.org/502/en/Features</w:t>
            </w:r>
          </w:p>
        </w:tc>
      </w:tr>
      <w:tr w:rsidR="009402F3" w:rsidRPr="00AC403D" w14:paraId="1F31ED43" w14:textId="77777777" w:rsidTr="00AC403D">
        <w:tc>
          <w:tcPr>
            <w:tcW w:w="3116" w:type="dxa"/>
            <w:tcMar>
              <w:top w:w="0" w:type="dxa"/>
              <w:left w:w="115" w:type="dxa"/>
              <w:bottom w:w="0" w:type="dxa"/>
              <w:right w:w="115" w:type="dxa"/>
            </w:tcMar>
          </w:tcPr>
          <w:p w14:paraId="7E0B71D2" w14:textId="45FC1916"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Communication and notifications</w:t>
            </w:r>
          </w:p>
        </w:tc>
        <w:tc>
          <w:tcPr>
            <w:tcW w:w="3117" w:type="dxa"/>
            <w:tcMar>
              <w:top w:w="0" w:type="dxa"/>
              <w:left w:w="115" w:type="dxa"/>
              <w:bottom w:w="0" w:type="dxa"/>
              <w:right w:w="115" w:type="dxa"/>
            </w:tcMar>
          </w:tcPr>
          <w:p w14:paraId="181A8AAA" w14:textId="7E3B5FE9" w:rsidR="009402F3" w:rsidRPr="00AC403D" w:rsidRDefault="006517CC" w:rsidP="00AC403D">
            <w:pPr>
              <w:suppressAutoHyphens/>
              <w:contextualSpacing/>
              <w:rPr>
                <w:rFonts w:asciiTheme="majorHAnsi" w:hAnsiTheme="majorHAnsi" w:cstheme="majorHAnsi"/>
                <w:sz w:val="22"/>
                <w:szCs w:val="22"/>
              </w:rPr>
            </w:pPr>
            <w:r w:rsidRPr="006517CC">
              <w:rPr>
                <w:rFonts w:asciiTheme="majorHAnsi" w:hAnsiTheme="majorHAnsi" w:cstheme="majorHAnsi"/>
                <w:sz w:val="22"/>
                <w:szCs w:val="22"/>
              </w:rPr>
              <w:t>The LMS shall provide announcements, discussion areas, direct messaging, and notifications for important course events such as new content, due dates, grades, and instructor announcements. These functions support engagement and help students act on time-sensitive information.</w:t>
            </w:r>
          </w:p>
        </w:tc>
        <w:tc>
          <w:tcPr>
            <w:tcW w:w="3117" w:type="dxa"/>
            <w:tcMar>
              <w:top w:w="0" w:type="dxa"/>
              <w:left w:w="115" w:type="dxa"/>
              <w:bottom w:w="0" w:type="dxa"/>
              <w:right w:w="115" w:type="dxa"/>
            </w:tcMar>
          </w:tcPr>
          <w:p w14:paraId="2CB4749A" w14:textId="77777777" w:rsidR="006517CC" w:rsidRPr="006517CC" w:rsidRDefault="006517CC" w:rsidP="006517CC">
            <w:pPr>
              <w:suppressAutoHyphens/>
              <w:contextualSpacing/>
              <w:rPr>
                <w:rFonts w:asciiTheme="majorHAnsi" w:hAnsiTheme="majorHAnsi" w:cstheme="majorHAnsi"/>
                <w:sz w:val="22"/>
                <w:szCs w:val="22"/>
              </w:rPr>
            </w:pPr>
            <w:r w:rsidRPr="006517CC">
              <w:rPr>
                <w:rFonts w:asciiTheme="majorHAnsi" w:hAnsiTheme="majorHAnsi" w:cstheme="majorHAnsi"/>
                <w:sz w:val="22"/>
                <w:szCs w:val="22"/>
              </w:rPr>
              <w:t>D2L. (n.d.). Welcome to the higher education instructor knowledge base. https://community.d2l.com/brightspace/kb/articles/25590-welcome-to-the-higher-education-instructor-knowledge-base</w:t>
            </w:r>
          </w:p>
          <w:p w14:paraId="4D465B85" w14:textId="21E9FDEE" w:rsidR="009402F3" w:rsidRPr="00AC403D" w:rsidRDefault="006517CC" w:rsidP="006517CC">
            <w:pPr>
              <w:suppressAutoHyphens/>
              <w:contextualSpacing/>
              <w:rPr>
                <w:rFonts w:asciiTheme="majorHAnsi" w:hAnsiTheme="majorHAnsi" w:cstheme="majorHAnsi"/>
                <w:sz w:val="22"/>
                <w:szCs w:val="22"/>
              </w:rPr>
            </w:pPr>
            <w:r w:rsidRPr="006517CC">
              <w:rPr>
                <w:rFonts w:asciiTheme="majorHAnsi" w:hAnsiTheme="majorHAnsi" w:cstheme="majorHAnsi"/>
                <w:sz w:val="22"/>
                <w:szCs w:val="22"/>
              </w:rPr>
              <w:t>Moodle. (2024). Features. https://docs.moodle.org/502/en/Features</w:t>
            </w:r>
          </w:p>
        </w:tc>
      </w:tr>
    </w:tbl>
    <w:p w14:paraId="5967E50D" w14:textId="77777777" w:rsidR="009402F3" w:rsidRPr="00AC403D" w:rsidRDefault="009402F3" w:rsidP="00AC403D">
      <w:pPr>
        <w:suppressAutoHyphens/>
        <w:spacing w:line="240" w:lineRule="auto"/>
        <w:contextualSpacing/>
        <w:rPr>
          <w:rFonts w:asciiTheme="majorHAnsi" w:hAnsiTheme="majorHAnsi" w:cstheme="majorHAnsi"/>
          <w:sz w:val="22"/>
          <w:szCs w:val="22"/>
        </w:rPr>
      </w:pPr>
    </w:p>
    <w:p w14:paraId="01CB0908" w14:textId="5B7F9A59" w:rsidR="009402F3" w:rsidRDefault="003D3B64" w:rsidP="00AC403D">
      <w:pPr>
        <w:pStyle w:val="Heading2"/>
      </w:pPr>
      <w:r>
        <w:t>Non</w:t>
      </w:r>
      <w:r w:rsidR="00F82FF1" w:rsidRPr="00AC403D">
        <w:t>functional Requirements</w:t>
      </w:r>
    </w:p>
    <w:p w14:paraId="4BFE68E0" w14:textId="77777777" w:rsidR="00AC403D" w:rsidRPr="00AC403D" w:rsidRDefault="00AC403D" w:rsidP="00AC403D"/>
    <w:tbl>
      <w:tblPr>
        <w:tblStyle w:val="a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36A57104" w14:textId="77777777" w:rsidTr="00AC403D">
        <w:trPr>
          <w:tblHeader/>
        </w:trPr>
        <w:tc>
          <w:tcPr>
            <w:tcW w:w="3116" w:type="dxa"/>
            <w:tcMar>
              <w:top w:w="0" w:type="dxa"/>
              <w:left w:w="115" w:type="dxa"/>
              <w:bottom w:w="0" w:type="dxa"/>
              <w:right w:w="115" w:type="dxa"/>
            </w:tcMar>
          </w:tcPr>
          <w:p w14:paraId="65261B32" w14:textId="2CA46782" w:rsidR="009402F3" w:rsidRPr="00AC403D" w:rsidRDefault="003D3B64" w:rsidP="00AC403D">
            <w:pPr>
              <w:suppressAutoHyphens/>
              <w:contextualSpacing/>
              <w:rPr>
                <w:rFonts w:asciiTheme="majorHAnsi" w:hAnsiTheme="majorHAnsi" w:cstheme="majorHAnsi"/>
                <w:b/>
                <w:sz w:val="22"/>
                <w:szCs w:val="22"/>
              </w:rPr>
            </w:pPr>
            <w:r>
              <w:rPr>
                <w:rFonts w:asciiTheme="majorHAnsi" w:hAnsiTheme="majorHAnsi" w:cstheme="majorHAnsi"/>
                <w:b/>
                <w:sz w:val="22"/>
                <w:szCs w:val="22"/>
              </w:rPr>
              <w:t>Non</w:t>
            </w:r>
            <w:r w:rsidR="00F82FF1" w:rsidRPr="00AC403D">
              <w:rPr>
                <w:rFonts w:asciiTheme="majorHAnsi" w:hAnsiTheme="majorHAnsi" w:cstheme="majorHAnsi"/>
                <w:b/>
                <w:sz w:val="22"/>
                <w:szCs w:val="22"/>
              </w:rPr>
              <w:t>functional Requirement</w:t>
            </w:r>
          </w:p>
        </w:tc>
        <w:tc>
          <w:tcPr>
            <w:tcW w:w="3117" w:type="dxa"/>
            <w:tcMar>
              <w:top w:w="0" w:type="dxa"/>
              <w:left w:w="115" w:type="dxa"/>
              <w:bottom w:w="0" w:type="dxa"/>
              <w:right w:w="115" w:type="dxa"/>
            </w:tcMar>
          </w:tcPr>
          <w:p w14:paraId="01EE3C37" w14:textId="2895467D"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2B88B571"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42617D95" w14:textId="77777777" w:rsidTr="00AC403D">
        <w:tc>
          <w:tcPr>
            <w:tcW w:w="3116" w:type="dxa"/>
            <w:tcMar>
              <w:top w:w="0" w:type="dxa"/>
              <w:left w:w="115" w:type="dxa"/>
              <w:bottom w:w="0" w:type="dxa"/>
              <w:right w:w="115" w:type="dxa"/>
            </w:tcMar>
          </w:tcPr>
          <w:p w14:paraId="03ED8371" w14:textId="438B3C69"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Security and privacy</w:t>
            </w:r>
          </w:p>
        </w:tc>
        <w:tc>
          <w:tcPr>
            <w:tcW w:w="3117" w:type="dxa"/>
            <w:tcMar>
              <w:top w:w="0" w:type="dxa"/>
              <w:left w:w="115" w:type="dxa"/>
              <w:bottom w:w="0" w:type="dxa"/>
              <w:right w:w="115" w:type="dxa"/>
            </w:tcMar>
          </w:tcPr>
          <w:p w14:paraId="49D8497C" w14:textId="47871611"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 xml:space="preserve">The LMS shall protect student records and course data through encrypted connections, secure authentication, least-privilege permissions, audit logging, and controls aligned with applicable privacy obligations. Grades and </w:t>
            </w:r>
            <w:proofErr w:type="gramStart"/>
            <w:r w:rsidRPr="001C3547">
              <w:rPr>
                <w:rFonts w:asciiTheme="majorHAnsi" w:hAnsiTheme="majorHAnsi" w:cstheme="majorHAnsi"/>
                <w:sz w:val="22"/>
                <w:szCs w:val="22"/>
              </w:rPr>
              <w:t>personally</w:t>
            </w:r>
            <w:proofErr w:type="gramEnd"/>
            <w:r w:rsidRPr="001C3547">
              <w:rPr>
                <w:rFonts w:asciiTheme="majorHAnsi" w:hAnsiTheme="majorHAnsi" w:cstheme="majorHAnsi"/>
                <w:sz w:val="22"/>
                <w:szCs w:val="22"/>
              </w:rPr>
              <w:t xml:space="preserve"> identifiable information require stronger safeguards than ordinary public content.</w:t>
            </w:r>
          </w:p>
        </w:tc>
        <w:tc>
          <w:tcPr>
            <w:tcW w:w="3117" w:type="dxa"/>
            <w:tcMar>
              <w:top w:w="0" w:type="dxa"/>
              <w:left w:w="115" w:type="dxa"/>
              <w:bottom w:w="0" w:type="dxa"/>
              <w:right w:w="115" w:type="dxa"/>
            </w:tcMar>
          </w:tcPr>
          <w:p w14:paraId="4F663860" w14:textId="77777777" w:rsidR="001C3547" w:rsidRPr="001C3547" w:rsidRDefault="001C3547" w:rsidP="001C3547">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National Institute of Standards and Technology. (2020). Security and privacy controls for information systems and organizations (SP 800-53 Rev. 5). https://doi.org/10.6028/NIST.SP.800-53r5</w:t>
            </w:r>
          </w:p>
          <w:p w14:paraId="0988062C" w14:textId="1F8DA3C7" w:rsidR="009402F3" w:rsidRPr="00AC403D" w:rsidRDefault="001C3547" w:rsidP="001C3547">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 xml:space="preserve">U.S. Department of Education. (n.d.). Family Educational Rights and Privacy Act (FERPA). </w:t>
            </w:r>
            <w:r w:rsidRPr="001C3547">
              <w:rPr>
                <w:rFonts w:asciiTheme="majorHAnsi" w:hAnsiTheme="majorHAnsi" w:cstheme="majorHAnsi"/>
                <w:sz w:val="22"/>
                <w:szCs w:val="22"/>
              </w:rPr>
              <w:lastRenderedPageBreak/>
              <w:t>https://studentprivacy.ed.gov/ferpa</w:t>
            </w:r>
          </w:p>
        </w:tc>
      </w:tr>
      <w:tr w:rsidR="009402F3" w:rsidRPr="00AC403D" w14:paraId="70153753" w14:textId="77777777" w:rsidTr="00AC403D">
        <w:tc>
          <w:tcPr>
            <w:tcW w:w="3116" w:type="dxa"/>
            <w:tcMar>
              <w:top w:w="0" w:type="dxa"/>
              <w:left w:w="115" w:type="dxa"/>
              <w:bottom w:w="0" w:type="dxa"/>
              <w:right w:w="115" w:type="dxa"/>
            </w:tcMar>
          </w:tcPr>
          <w:p w14:paraId="311B8E6D" w14:textId="128BDC3A"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lastRenderedPageBreak/>
              <w:t>Availability and recoverability</w:t>
            </w:r>
          </w:p>
        </w:tc>
        <w:tc>
          <w:tcPr>
            <w:tcW w:w="3117" w:type="dxa"/>
            <w:tcMar>
              <w:top w:w="0" w:type="dxa"/>
              <w:left w:w="115" w:type="dxa"/>
              <w:bottom w:w="0" w:type="dxa"/>
              <w:right w:w="115" w:type="dxa"/>
            </w:tcMar>
          </w:tcPr>
          <w:p w14:paraId="0933C883" w14:textId="1CD543A0"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The LMS shall be available during normal academic operations, use monitored backups, and support restoration after a service failure. Students and instructors depend on access to lessons, submissions, and grades, so a failure should not permanently eliminate academic records.</w:t>
            </w:r>
          </w:p>
        </w:tc>
        <w:tc>
          <w:tcPr>
            <w:tcW w:w="3117" w:type="dxa"/>
            <w:tcMar>
              <w:top w:w="0" w:type="dxa"/>
              <w:left w:w="115" w:type="dxa"/>
              <w:bottom w:w="0" w:type="dxa"/>
              <w:right w:w="115" w:type="dxa"/>
            </w:tcMar>
          </w:tcPr>
          <w:p w14:paraId="1439E8F1" w14:textId="77777777" w:rsidR="001C3547" w:rsidRPr="001C3547" w:rsidRDefault="001C3547" w:rsidP="001C3547">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Moodle. (2024). Features. https://docs.moodle.org/502/en/Features</w:t>
            </w:r>
          </w:p>
          <w:p w14:paraId="22A0060F" w14:textId="0CAA146C" w:rsidR="009402F3" w:rsidRPr="00AC403D" w:rsidRDefault="001C3547" w:rsidP="001C3547">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National Institute of Standards and Technology. (2010). Contingency planning guide for federal information systems (SP 800-34 Rev. 1). https://doi.org/10.6028/NIST.SP.800-34r1</w:t>
            </w:r>
          </w:p>
        </w:tc>
      </w:tr>
      <w:tr w:rsidR="009402F3" w:rsidRPr="00AC403D" w14:paraId="1A18605B" w14:textId="77777777" w:rsidTr="00AC403D">
        <w:tc>
          <w:tcPr>
            <w:tcW w:w="3116" w:type="dxa"/>
            <w:tcMar>
              <w:top w:w="0" w:type="dxa"/>
              <w:left w:w="115" w:type="dxa"/>
              <w:bottom w:w="0" w:type="dxa"/>
              <w:right w:w="115" w:type="dxa"/>
            </w:tcMar>
          </w:tcPr>
          <w:p w14:paraId="78F86F19" w14:textId="174C7931"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Performance</w:t>
            </w:r>
          </w:p>
        </w:tc>
        <w:tc>
          <w:tcPr>
            <w:tcW w:w="3117" w:type="dxa"/>
            <w:tcMar>
              <w:top w:w="0" w:type="dxa"/>
              <w:left w:w="115" w:type="dxa"/>
              <w:bottom w:w="0" w:type="dxa"/>
              <w:right w:w="115" w:type="dxa"/>
            </w:tcMar>
          </w:tcPr>
          <w:p w14:paraId="6DCB0D56" w14:textId="4339DE52"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The LMS should load common pages and save routine submissions within a few seconds under expected demand. Predictable response time reduces frustration and helps students complete time-sensitive quizzes, assignments, and course activities.</w:t>
            </w:r>
          </w:p>
        </w:tc>
        <w:tc>
          <w:tcPr>
            <w:tcW w:w="3117" w:type="dxa"/>
            <w:tcMar>
              <w:top w:w="0" w:type="dxa"/>
              <w:left w:w="115" w:type="dxa"/>
              <w:bottom w:w="0" w:type="dxa"/>
              <w:right w:w="115" w:type="dxa"/>
            </w:tcMar>
          </w:tcPr>
          <w:p w14:paraId="21CB94CE" w14:textId="0BACC202"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W3C Web Accessibility Initiative. (2023). Web Content Accessibility Guidelines (WCAG) 2.2. https://www.w3.org/TR/WCAG22/</w:t>
            </w:r>
          </w:p>
        </w:tc>
      </w:tr>
      <w:tr w:rsidR="009402F3" w:rsidRPr="00AC403D" w14:paraId="231DB19C" w14:textId="77777777" w:rsidTr="00AC403D">
        <w:tc>
          <w:tcPr>
            <w:tcW w:w="3116" w:type="dxa"/>
            <w:tcMar>
              <w:top w:w="0" w:type="dxa"/>
              <w:left w:w="115" w:type="dxa"/>
              <w:bottom w:w="0" w:type="dxa"/>
              <w:right w:w="115" w:type="dxa"/>
            </w:tcMar>
          </w:tcPr>
          <w:p w14:paraId="34353B68" w14:textId="31154216"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Usability and accessibility</w:t>
            </w:r>
          </w:p>
        </w:tc>
        <w:tc>
          <w:tcPr>
            <w:tcW w:w="3117" w:type="dxa"/>
            <w:tcMar>
              <w:top w:w="0" w:type="dxa"/>
              <w:left w:w="115" w:type="dxa"/>
              <w:bottom w:w="0" w:type="dxa"/>
              <w:right w:w="115" w:type="dxa"/>
            </w:tcMar>
          </w:tcPr>
          <w:p w14:paraId="7934CF08" w14:textId="45124400"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The LMS shall use consistent navigation, readable content, keyboard access, meaningful labels, captions or transcripts where appropriate, and error messages that help users correct input. The university must support learners with varied abilities, devices, and levels of technical experience.</w:t>
            </w:r>
          </w:p>
        </w:tc>
        <w:tc>
          <w:tcPr>
            <w:tcW w:w="3117" w:type="dxa"/>
            <w:tcMar>
              <w:top w:w="0" w:type="dxa"/>
              <w:left w:w="115" w:type="dxa"/>
              <w:bottom w:w="0" w:type="dxa"/>
              <w:right w:w="115" w:type="dxa"/>
            </w:tcMar>
          </w:tcPr>
          <w:p w14:paraId="468B47EC" w14:textId="77777777" w:rsidR="001C3547" w:rsidRPr="001C3547" w:rsidRDefault="001C3547" w:rsidP="001C3547">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W3C Web Accessibility Initiative. (2023). Web Content Accessibility Guidelines (WCAG) 2.2. https://www.w3.org/TR/WCAG22/</w:t>
            </w:r>
          </w:p>
          <w:p w14:paraId="79F76655" w14:textId="6852FB61" w:rsidR="009402F3" w:rsidRPr="00AC403D" w:rsidRDefault="001C3547" w:rsidP="001C3547">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Moodle. (2024). Features. https://docs.moodle.org/502/en/Features</w:t>
            </w:r>
          </w:p>
        </w:tc>
      </w:tr>
      <w:tr w:rsidR="009402F3" w:rsidRPr="00AC403D" w14:paraId="632AD496" w14:textId="77777777" w:rsidTr="00AC403D">
        <w:tc>
          <w:tcPr>
            <w:tcW w:w="3116" w:type="dxa"/>
            <w:tcMar>
              <w:top w:w="0" w:type="dxa"/>
              <w:left w:w="115" w:type="dxa"/>
              <w:bottom w:w="0" w:type="dxa"/>
              <w:right w:w="115" w:type="dxa"/>
            </w:tcMar>
          </w:tcPr>
          <w:p w14:paraId="45336259" w14:textId="4D7C2523"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Scalability</w:t>
            </w:r>
          </w:p>
        </w:tc>
        <w:tc>
          <w:tcPr>
            <w:tcW w:w="3117" w:type="dxa"/>
            <w:tcMar>
              <w:top w:w="0" w:type="dxa"/>
              <w:left w:w="115" w:type="dxa"/>
              <w:bottom w:w="0" w:type="dxa"/>
              <w:right w:w="115" w:type="dxa"/>
            </w:tcMar>
          </w:tcPr>
          <w:p w14:paraId="5F50BE68" w14:textId="463FFC50"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 xml:space="preserve">The LMS shall support growth in users, courses, enrollments, and simultaneous activity without requiring </w:t>
            </w:r>
            <w:proofErr w:type="gramStart"/>
            <w:r w:rsidRPr="001C3547">
              <w:rPr>
                <w:rFonts w:asciiTheme="majorHAnsi" w:hAnsiTheme="majorHAnsi" w:cstheme="majorHAnsi"/>
                <w:sz w:val="22"/>
                <w:szCs w:val="22"/>
              </w:rPr>
              <w:t>a complete</w:t>
            </w:r>
            <w:proofErr w:type="gramEnd"/>
            <w:r w:rsidRPr="001C3547">
              <w:rPr>
                <w:rFonts w:asciiTheme="majorHAnsi" w:hAnsiTheme="majorHAnsi" w:cstheme="majorHAnsi"/>
                <w:sz w:val="22"/>
                <w:szCs w:val="22"/>
              </w:rPr>
              <w:t xml:space="preserve"> redesign. </w:t>
            </w:r>
            <w:proofErr w:type="spellStart"/>
            <w:r w:rsidRPr="001C3547">
              <w:rPr>
                <w:rFonts w:asciiTheme="majorHAnsi" w:hAnsiTheme="majorHAnsi" w:cstheme="majorHAnsi"/>
                <w:sz w:val="22"/>
                <w:szCs w:val="22"/>
              </w:rPr>
              <w:t>YOUser</w:t>
            </w:r>
            <w:proofErr w:type="spellEnd"/>
            <w:r w:rsidRPr="001C3547">
              <w:rPr>
                <w:rFonts w:asciiTheme="majorHAnsi" w:hAnsiTheme="majorHAnsi" w:cstheme="majorHAnsi"/>
                <w:sz w:val="22"/>
                <w:szCs w:val="22"/>
              </w:rPr>
              <w:t xml:space="preserve"> University is intended to serve a broad online audience, so capacity must accommodate enrollment growth and peak periods such as registration and final exams.</w:t>
            </w:r>
          </w:p>
        </w:tc>
        <w:tc>
          <w:tcPr>
            <w:tcW w:w="3117" w:type="dxa"/>
            <w:tcMar>
              <w:top w:w="0" w:type="dxa"/>
              <w:left w:w="115" w:type="dxa"/>
              <w:bottom w:w="0" w:type="dxa"/>
              <w:right w:w="115" w:type="dxa"/>
            </w:tcMar>
          </w:tcPr>
          <w:p w14:paraId="368E913B" w14:textId="77777777" w:rsidR="001C3547" w:rsidRPr="001C3547" w:rsidRDefault="001C3547" w:rsidP="001C3547">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Instructure. (n.d.). Canvas features by user role. https://community.canvaslms.com/t5/Canvas-Features-by-User-Role/Canvas-Features-by-User-Role-2023-10-11/ta-p/582444</w:t>
            </w:r>
          </w:p>
          <w:p w14:paraId="37A57FF6" w14:textId="16666372" w:rsidR="009402F3" w:rsidRPr="00AC403D" w:rsidRDefault="001C3547" w:rsidP="001C3547">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Moodle. (2024). Features. https://docs.moodle.org/502/en/Features</w:t>
            </w:r>
          </w:p>
        </w:tc>
      </w:tr>
      <w:tr w:rsidR="009402F3" w:rsidRPr="00AC403D" w14:paraId="3C226E09" w14:textId="77777777" w:rsidTr="00AC403D">
        <w:tc>
          <w:tcPr>
            <w:tcW w:w="3116" w:type="dxa"/>
            <w:tcMar>
              <w:top w:w="0" w:type="dxa"/>
              <w:left w:w="115" w:type="dxa"/>
              <w:bottom w:w="0" w:type="dxa"/>
              <w:right w:w="115" w:type="dxa"/>
            </w:tcMar>
          </w:tcPr>
          <w:p w14:paraId="7D2A5E9F" w14:textId="5BF8EF78"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Interoperability and maintainability</w:t>
            </w:r>
          </w:p>
        </w:tc>
        <w:tc>
          <w:tcPr>
            <w:tcW w:w="3117" w:type="dxa"/>
            <w:tcMar>
              <w:top w:w="0" w:type="dxa"/>
              <w:left w:w="115" w:type="dxa"/>
              <w:bottom w:w="0" w:type="dxa"/>
              <w:right w:w="115" w:type="dxa"/>
            </w:tcMar>
          </w:tcPr>
          <w:p w14:paraId="5D7CFBB0" w14:textId="20241D8C"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 xml:space="preserve">The LMS should integrate with the student information system, identity provider, video tools, and approved external learning tools through documented </w:t>
            </w:r>
            <w:r w:rsidRPr="001C3547">
              <w:rPr>
                <w:rFonts w:asciiTheme="majorHAnsi" w:hAnsiTheme="majorHAnsi" w:cstheme="majorHAnsi"/>
                <w:sz w:val="22"/>
                <w:szCs w:val="22"/>
              </w:rPr>
              <w:lastRenderedPageBreak/>
              <w:t>interfaces and standards. Integration reduces duplicate data entry and allows the university to maintain a connected academic technology environment.</w:t>
            </w:r>
          </w:p>
        </w:tc>
        <w:tc>
          <w:tcPr>
            <w:tcW w:w="3117" w:type="dxa"/>
            <w:tcMar>
              <w:top w:w="0" w:type="dxa"/>
              <w:left w:w="115" w:type="dxa"/>
              <w:bottom w:w="0" w:type="dxa"/>
              <w:right w:w="115" w:type="dxa"/>
            </w:tcMar>
          </w:tcPr>
          <w:p w14:paraId="39F941D0" w14:textId="77777777" w:rsidR="001C3547" w:rsidRPr="001C3547" w:rsidRDefault="001C3547" w:rsidP="001C3547">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lastRenderedPageBreak/>
              <w:t>Moodle. (2024). Features. https://docs.moodle.org/502/en/Features</w:t>
            </w:r>
          </w:p>
          <w:p w14:paraId="1ED06794" w14:textId="2A5E8B8D" w:rsidR="009402F3" w:rsidRPr="00AC403D" w:rsidRDefault="001C3547" w:rsidP="001C3547">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 xml:space="preserve">D2L. (n.d.). Welcome to the higher education instructor </w:t>
            </w:r>
            <w:r w:rsidRPr="001C3547">
              <w:rPr>
                <w:rFonts w:asciiTheme="majorHAnsi" w:hAnsiTheme="majorHAnsi" w:cstheme="majorHAnsi"/>
                <w:sz w:val="22"/>
                <w:szCs w:val="22"/>
              </w:rPr>
              <w:lastRenderedPageBreak/>
              <w:t>knowledge base. https://community.d2l.com/brightspace/kb/articles/25590-welcome-to-the-higher-education-instructor-knowledge-base</w:t>
            </w:r>
          </w:p>
        </w:tc>
      </w:tr>
    </w:tbl>
    <w:p w14:paraId="0FE41DDF" w14:textId="36B116FF" w:rsidR="00AC403D" w:rsidRDefault="00AC403D" w:rsidP="00AC403D">
      <w:pPr>
        <w:suppressAutoHyphens/>
        <w:spacing w:line="240" w:lineRule="auto"/>
        <w:contextualSpacing/>
        <w:rPr>
          <w:rFonts w:asciiTheme="majorHAnsi" w:hAnsiTheme="majorHAnsi" w:cstheme="majorHAnsi"/>
          <w:sz w:val="22"/>
          <w:szCs w:val="22"/>
        </w:rPr>
      </w:pPr>
    </w:p>
    <w:p w14:paraId="77721316" w14:textId="45F13013" w:rsidR="00AC403D" w:rsidRDefault="00F82FF1" w:rsidP="001C3547">
      <w:pPr>
        <w:pStyle w:val="Heading2"/>
      </w:pPr>
      <w:r w:rsidRPr="00AC403D">
        <w:t>Assumptions</w:t>
      </w:r>
    </w:p>
    <w:p w14:paraId="118768A2" w14:textId="77777777" w:rsidR="001C3547" w:rsidRPr="001C3547" w:rsidRDefault="001C3547" w:rsidP="001C3547"/>
    <w:tbl>
      <w:tblPr>
        <w:tblStyle w:val="a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42E35FF6" w14:textId="77777777" w:rsidTr="00AC403D">
        <w:trPr>
          <w:tblHeader/>
        </w:trPr>
        <w:tc>
          <w:tcPr>
            <w:tcW w:w="3116" w:type="dxa"/>
            <w:tcMar>
              <w:top w:w="0" w:type="dxa"/>
              <w:left w:w="115" w:type="dxa"/>
              <w:bottom w:w="0" w:type="dxa"/>
              <w:right w:w="115" w:type="dxa"/>
            </w:tcMar>
          </w:tcPr>
          <w:p w14:paraId="5CF47442"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Assumption</w:t>
            </w:r>
          </w:p>
        </w:tc>
        <w:tc>
          <w:tcPr>
            <w:tcW w:w="3117" w:type="dxa"/>
            <w:tcMar>
              <w:top w:w="0" w:type="dxa"/>
              <w:left w:w="115" w:type="dxa"/>
              <w:bottom w:w="0" w:type="dxa"/>
              <w:right w:w="115" w:type="dxa"/>
            </w:tcMar>
          </w:tcPr>
          <w:p w14:paraId="291CEABC" w14:textId="01BDE1AF"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5565F135"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3B593809" w14:textId="77777777" w:rsidTr="00AC403D">
        <w:tc>
          <w:tcPr>
            <w:tcW w:w="3116" w:type="dxa"/>
            <w:tcMar>
              <w:top w:w="0" w:type="dxa"/>
              <w:left w:w="115" w:type="dxa"/>
              <w:bottom w:w="0" w:type="dxa"/>
              <w:right w:w="115" w:type="dxa"/>
            </w:tcMar>
          </w:tcPr>
          <w:p w14:paraId="27E534D0" w14:textId="0B339DE9" w:rsidR="009402F3" w:rsidRPr="00AC403D" w:rsidRDefault="001C3547" w:rsidP="00AC403D">
            <w:pPr>
              <w:suppressAutoHyphens/>
              <w:contextualSpacing/>
              <w:rPr>
                <w:rFonts w:asciiTheme="majorHAnsi" w:hAnsiTheme="majorHAnsi" w:cstheme="majorHAnsi"/>
                <w:sz w:val="22"/>
                <w:szCs w:val="22"/>
              </w:rPr>
            </w:pPr>
            <w:proofErr w:type="spellStart"/>
            <w:r w:rsidRPr="001C3547">
              <w:rPr>
                <w:rFonts w:asciiTheme="majorHAnsi" w:hAnsiTheme="majorHAnsi" w:cstheme="majorHAnsi"/>
                <w:sz w:val="22"/>
                <w:szCs w:val="22"/>
              </w:rPr>
              <w:t>YOUser</w:t>
            </w:r>
            <w:proofErr w:type="spellEnd"/>
            <w:r w:rsidRPr="001C3547">
              <w:rPr>
                <w:rFonts w:asciiTheme="majorHAnsi" w:hAnsiTheme="majorHAnsi" w:cstheme="majorHAnsi"/>
                <w:sz w:val="22"/>
                <w:szCs w:val="22"/>
              </w:rPr>
              <w:t xml:space="preserve"> University will provide an identity and student information service</w:t>
            </w:r>
          </w:p>
        </w:tc>
        <w:tc>
          <w:tcPr>
            <w:tcW w:w="3117" w:type="dxa"/>
            <w:tcMar>
              <w:top w:w="0" w:type="dxa"/>
              <w:left w:w="115" w:type="dxa"/>
              <w:bottom w:w="0" w:type="dxa"/>
              <w:right w:w="115" w:type="dxa"/>
            </w:tcMar>
          </w:tcPr>
          <w:p w14:paraId="1F27DE3D" w14:textId="61C61104"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The design assumes the university has, or will obtain, an authoritative source for user identities, course rosters, and enrollment status. This allows the LMS to avoid maintaining conflicting records and supports automated provisioning and deprovisioning.</w:t>
            </w:r>
          </w:p>
        </w:tc>
        <w:tc>
          <w:tcPr>
            <w:tcW w:w="3117" w:type="dxa"/>
            <w:tcMar>
              <w:top w:w="0" w:type="dxa"/>
              <w:left w:w="115" w:type="dxa"/>
              <w:bottom w:w="0" w:type="dxa"/>
              <w:right w:w="115" w:type="dxa"/>
            </w:tcMar>
          </w:tcPr>
          <w:p w14:paraId="5785995C" w14:textId="311D23BF"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D2L. (n.d.). About roles and permissions. https://community.d2l.com/brightspace/kb/articles/4451-about-roles-and-permissions</w:t>
            </w:r>
          </w:p>
        </w:tc>
      </w:tr>
      <w:tr w:rsidR="009402F3" w:rsidRPr="00AC403D" w14:paraId="57CBAC4A" w14:textId="77777777" w:rsidTr="00AC403D">
        <w:tc>
          <w:tcPr>
            <w:tcW w:w="3116" w:type="dxa"/>
            <w:tcMar>
              <w:top w:w="0" w:type="dxa"/>
              <w:left w:w="115" w:type="dxa"/>
              <w:bottom w:w="0" w:type="dxa"/>
              <w:right w:w="115" w:type="dxa"/>
            </w:tcMar>
          </w:tcPr>
          <w:p w14:paraId="68C79466" w14:textId="1EF6DD28"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Users will have internet-enabled devices and supported browsers</w:t>
            </w:r>
          </w:p>
        </w:tc>
        <w:tc>
          <w:tcPr>
            <w:tcW w:w="3117" w:type="dxa"/>
            <w:tcMar>
              <w:top w:w="0" w:type="dxa"/>
              <w:left w:w="115" w:type="dxa"/>
              <w:bottom w:w="0" w:type="dxa"/>
              <w:right w:w="115" w:type="dxa"/>
            </w:tcMar>
          </w:tcPr>
          <w:p w14:paraId="4B94F2CF" w14:textId="22166BA3"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The proposed LMS is an online system. The design therefore assumes students, instructors, and staff can reach it through a current desktop or mobile browser and have sufficient connectivity to use course materials and submit work.</w:t>
            </w:r>
          </w:p>
        </w:tc>
        <w:tc>
          <w:tcPr>
            <w:tcW w:w="3117" w:type="dxa"/>
            <w:tcMar>
              <w:top w:w="0" w:type="dxa"/>
              <w:left w:w="115" w:type="dxa"/>
              <w:bottom w:w="0" w:type="dxa"/>
              <w:right w:w="115" w:type="dxa"/>
            </w:tcMar>
          </w:tcPr>
          <w:p w14:paraId="35CD8F19" w14:textId="77777777" w:rsidR="001C3547" w:rsidRPr="001C3547" w:rsidRDefault="001C3547" w:rsidP="001C3547">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Moodle. (2024). Features. https://docs.moodle.org/502/en/Features</w:t>
            </w:r>
          </w:p>
          <w:p w14:paraId="2C33BC4D" w14:textId="29F77705" w:rsidR="009402F3" w:rsidRPr="00AC403D" w:rsidRDefault="001C3547" w:rsidP="001C3547">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D2L. (n.d.). Welcome to the higher education instructor knowledge base. https://community.d2l.com/brightspace/kb/articles/25590-welcome-to-the-higher-education-instructor-knowledge-base</w:t>
            </w:r>
          </w:p>
        </w:tc>
      </w:tr>
    </w:tbl>
    <w:p w14:paraId="7A81C508" w14:textId="77777777" w:rsidR="00AC403D" w:rsidRPr="00AC403D" w:rsidRDefault="00AC403D" w:rsidP="00AC403D">
      <w:pPr>
        <w:spacing w:line="240" w:lineRule="auto"/>
        <w:rPr>
          <w:rFonts w:asciiTheme="majorHAnsi" w:hAnsiTheme="majorHAnsi" w:cstheme="majorHAnsi"/>
          <w:sz w:val="22"/>
          <w:szCs w:val="22"/>
        </w:rPr>
      </w:pPr>
    </w:p>
    <w:p w14:paraId="3B9D7650" w14:textId="6E531E10" w:rsidR="009402F3" w:rsidRDefault="00F82FF1" w:rsidP="00AC403D">
      <w:pPr>
        <w:pStyle w:val="Heading2"/>
      </w:pPr>
      <w:r w:rsidRPr="00AC403D">
        <w:t>Limitations</w:t>
      </w:r>
    </w:p>
    <w:p w14:paraId="05B53B62" w14:textId="77777777" w:rsidR="00AC403D" w:rsidRPr="00AC403D" w:rsidRDefault="00AC403D" w:rsidP="00AC403D"/>
    <w:tbl>
      <w:tblPr>
        <w:tblStyle w:val="a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3EA42FF7" w14:textId="77777777" w:rsidTr="00AC403D">
        <w:trPr>
          <w:tblHeader/>
        </w:trPr>
        <w:tc>
          <w:tcPr>
            <w:tcW w:w="3116" w:type="dxa"/>
            <w:tcMar>
              <w:top w:w="0" w:type="dxa"/>
              <w:left w:w="115" w:type="dxa"/>
              <w:bottom w:w="0" w:type="dxa"/>
              <w:right w:w="115" w:type="dxa"/>
            </w:tcMar>
          </w:tcPr>
          <w:p w14:paraId="22D0B654"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Limitation</w:t>
            </w:r>
          </w:p>
        </w:tc>
        <w:tc>
          <w:tcPr>
            <w:tcW w:w="3117" w:type="dxa"/>
            <w:tcMar>
              <w:top w:w="0" w:type="dxa"/>
              <w:left w:w="115" w:type="dxa"/>
              <w:bottom w:w="0" w:type="dxa"/>
              <w:right w:w="115" w:type="dxa"/>
            </w:tcMar>
          </w:tcPr>
          <w:p w14:paraId="3BEF7122" w14:textId="6C87B9DC"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6BD3FD2A" w14:textId="36F66CBF"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w:t>
            </w:r>
            <w:r w:rsidR="006F4335">
              <w:rPr>
                <w:rFonts w:asciiTheme="majorHAnsi" w:hAnsiTheme="majorHAnsi" w:cstheme="majorHAnsi"/>
                <w:b/>
                <w:sz w:val="22"/>
                <w:szCs w:val="22"/>
              </w:rPr>
              <w:t>, APA format</w:t>
            </w:r>
          </w:p>
        </w:tc>
      </w:tr>
      <w:tr w:rsidR="009402F3" w:rsidRPr="00AC403D" w14:paraId="24D87319" w14:textId="77777777" w:rsidTr="00AC403D">
        <w:tc>
          <w:tcPr>
            <w:tcW w:w="3116" w:type="dxa"/>
            <w:tcMar>
              <w:top w:w="0" w:type="dxa"/>
              <w:left w:w="115" w:type="dxa"/>
              <w:bottom w:w="0" w:type="dxa"/>
              <w:right w:w="115" w:type="dxa"/>
            </w:tcMar>
          </w:tcPr>
          <w:p w14:paraId="3BD0EC60" w14:textId="585E7F17"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The design does not specify a final hosting or vendor platform</w:t>
            </w:r>
          </w:p>
        </w:tc>
        <w:tc>
          <w:tcPr>
            <w:tcW w:w="3117" w:type="dxa"/>
            <w:tcMar>
              <w:top w:w="0" w:type="dxa"/>
              <w:left w:w="115" w:type="dxa"/>
              <w:bottom w:w="0" w:type="dxa"/>
              <w:right w:w="115" w:type="dxa"/>
            </w:tcMar>
          </w:tcPr>
          <w:p w14:paraId="5908E9F4" w14:textId="2A06D1E9"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 xml:space="preserve">Without a selected platform, exact infrastructure, licensing, configuration, and vendor-specific capabilities cannot be finalized. The requirements remain platform-neutral so </w:t>
            </w:r>
            <w:proofErr w:type="spellStart"/>
            <w:r w:rsidRPr="001C3547">
              <w:rPr>
                <w:rFonts w:asciiTheme="majorHAnsi" w:hAnsiTheme="majorHAnsi" w:cstheme="majorHAnsi"/>
                <w:sz w:val="22"/>
                <w:szCs w:val="22"/>
              </w:rPr>
              <w:t>YOUser</w:t>
            </w:r>
            <w:proofErr w:type="spellEnd"/>
            <w:r w:rsidRPr="001C3547">
              <w:rPr>
                <w:rFonts w:asciiTheme="majorHAnsi" w:hAnsiTheme="majorHAnsi" w:cstheme="majorHAnsi"/>
                <w:sz w:val="22"/>
                <w:szCs w:val="22"/>
              </w:rPr>
              <w:t xml:space="preserve"> University can evaluate Brightspace, Canvas, Moodle, or another LMS.</w:t>
            </w:r>
          </w:p>
        </w:tc>
        <w:tc>
          <w:tcPr>
            <w:tcW w:w="3117" w:type="dxa"/>
            <w:tcMar>
              <w:top w:w="0" w:type="dxa"/>
              <w:left w:w="115" w:type="dxa"/>
              <w:bottom w:w="0" w:type="dxa"/>
              <w:right w:w="115" w:type="dxa"/>
            </w:tcMar>
          </w:tcPr>
          <w:p w14:paraId="6214F409" w14:textId="77777777" w:rsidR="001C3547" w:rsidRPr="001C3547" w:rsidRDefault="001C3547" w:rsidP="001C3547">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Instructure. (n.d.). Canvas features by user role. https://community.canvaslms.com/t5/Canvas-Features-by-User-Role/Canvas-Features-by-User-Role-2023-10-11/ta-p/582444</w:t>
            </w:r>
          </w:p>
          <w:p w14:paraId="46040FA1" w14:textId="58E2F0CF" w:rsidR="009402F3" w:rsidRPr="00AC403D" w:rsidRDefault="001C3547" w:rsidP="001C3547">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Moodle. (2024). Features. https://docs.moodle.org/502/en/Features</w:t>
            </w:r>
          </w:p>
        </w:tc>
      </w:tr>
      <w:tr w:rsidR="009402F3" w:rsidRPr="00AC403D" w14:paraId="7BE323C3" w14:textId="77777777" w:rsidTr="00AC403D">
        <w:tc>
          <w:tcPr>
            <w:tcW w:w="3116" w:type="dxa"/>
            <w:tcMar>
              <w:top w:w="0" w:type="dxa"/>
              <w:left w:w="115" w:type="dxa"/>
              <w:bottom w:w="0" w:type="dxa"/>
              <w:right w:w="115" w:type="dxa"/>
            </w:tcMar>
          </w:tcPr>
          <w:p w14:paraId="1EC4573B" w14:textId="4FE4372F"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lastRenderedPageBreak/>
              <w:t>Detailed budget, staffing, and implementation schedule are outside this project</w:t>
            </w:r>
          </w:p>
        </w:tc>
        <w:tc>
          <w:tcPr>
            <w:tcW w:w="3117" w:type="dxa"/>
            <w:tcMar>
              <w:top w:w="0" w:type="dxa"/>
              <w:left w:w="115" w:type="dxa"/>
              <w:bottom w:w="0" w:type="dxa"/>
              <w:right w:w="115" w:type="dxa"/>
            </w:tcMar>
          </w:tcPr>
          <w:p w14:paraId="6D534168" w14:textId="6839BFCC"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The assignment focuses on system requirements rather than a full business case or project plan. Costs, staffing levels, migration effort, training, and delivery dates may change the priority or design of individual requirements during later planning.</w:t>
            </w:r>
          </w:p>
        </w:tc>
        <w:tc>
          <w:tcPr>
            <w:tcW w:w="3117" w:type="dxa"/>
            <w:tcMar>
              <w:top w:w="0" w:type="dxa"/>
              <w:left w:w="115" w:type="dxa"/>
              <w:bottom w:w="0" w:type="dxa"/>
              <w:right w:w="115" w:type="dxa"/>
            </w:tcMar>
          </w:tcPr>
          <w:p w14:paraId="2E011DDB" w14:textId="68BAE99C" w:rsidR="009402F3" w:rsidRPr="00AC403D" w:rsidRDefault="001C3547" w:rsidP="00AC403D">
            <w:pPr>
              <w:suppressAutoHyphens/>
              <w:contextualSpacing/>
              <w:rPr>
                <w:rFonts w:asciiTheme="majorHAnsi" w:hAnsiTheme="majorHAnsi" w:cstheme="majorHAnsi"/>
                <w:sz w:val="22"/>
                <w:szCs w:val="22"/>
              </w:rPr>
            </w:pPr>
            <w:r w:rsidRPr="001C3547">
              <w:rPr>
                <w:rFonts w:asciiTheme="majorHAnsi" w:hAnsiTheme="majorHAnsi" w:cstheme="majorHAnsi"/>
                <w:sz w:val="22"/>
                <w:szCs w:val="22"/>
              </w:rPr>
              <w:t>National Institute of Standards and Technology. (2020). Security and privacy controls for information systems and organizations (SP 800-53 Rev. 5). https://doi.org/10.6028/NIST.SP.800-53r5</w:t>
            </w:r>
          </w:p>
        </w:tc>
      </w:tr>
    </w:tbl>
    <w:p w14:paraId="2BD23EA4" w14:textId="6E24BE4C" w:rsidR="001C3547" w:rsidRPr="001C3547" w:rsidRDefault="001C3547" w:rsidP="001C3547">
      <w:pPr>
        <w:suppressAutoHyphens/>
        <w:spacing w:line="240" w:lineRule="auto"/>
        <w:contextualSpacing/>
        <w:rPr>
          <w:rFonts w:asciiTheme="majorHAnsi" w:hAnsiTheme="majorHAnsi" w:cstheme="majorHAnsi"/>
          <w:sz w:val="22"/>
          <w:szCs w:val="22"/>
        </w:rPr>
      </w:pPr>
      <w:r w:rsidRPr="001C3547">
        <w:rPr>
          <w:rFonts w:asciiTheme="majorHAnsi" w:hAnsiTheme="majorHAnsi" w:cstheme="majorHAnsi"/>
          <w:b/>
          <w:sz w:val="22"/>
          <w:szCs w:val="22"/>
        </w:rPr>
        <w:t xml:space="preserve">Note. </w:t>
      </w:r>
      <w:r w:rsidRPr="001C3547">
        <w:rPr>
          <w:rFonts w:asciiTheme="majorHAnsi" w:hAnsiTheme="majorHAnsi" w:cstheme="majorHAnsi"/>
          <w:sz w:val="22"/>
          <w:szCs w:val="22"/>
        </w:rPr>
        <w:t xml:space="preserve">APA citations are provided in the source column for each requirement, assumption, and limitation. Web sources were </w:t>
      </w:r>
      <w:r w:rsidRPr="001C3547">
        <w:rPr>
          <w:rFonts w:asciiTheme="majorHAnsi" w:hAnsiTheme="majorHAnsi" w:cstheme="majorHAnsi"/>
          <w:sz w:val="22"/>
          <w:szCs w:val="22"/>
        </w:rPr>
        <w:t>accessed on</w:t>
      </w:r>
      <w:r w:rsidRPr="001C3547">
        <w:rPr>
          <w:rFonts w:asciiTheme="majorHAnsi" w:hAnsiTheme="majorHAnsi" w:cstheme="majorHAnsi"/>
          <w:sz w:val="22"/>
          <w:szCs w:val="22"/>
        </w:rPr>
        <w:t xml:space="preserve"> September 9, 2026.</w:t>
      </w:r>
    </w:p>
    <w:p w14:paraId="53DFDB70" w14:textId="77777777" w:rsidR="009402F3" w:rsidRPr="00AC403D" w:rsidRDefault="009402F3" w:rsidP="00AC403D">
      <w:pPr>
        <w:suppressAutoHyphens/>
        <w:spacing w:line="240" w:lineRule="auto"/>
        <w:contextualSpacing/>
        <w:rPr>
          <w:rFonts w:asciiTheme="majorHAnsi" w:hAnsiTheme="majorHAnsi" w:cstheme="majorHAnsi"/>
          <w:sz w:val="22"/>
          <w:szCs w:val="22"/>
        </w:rPr>
      </w:pPr>
    </w:p>
    <w:sectPr w:rsidR="009402F3" w:rsidRPr="00AC403D">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910ED" w14:textId="77777777" w:rsidR="008F4182" w:rsidRDefault="008F4182">
      <w:pPr>
        <w:spacing w:line="240" w:lineRule="auto"/>
      </w:pPr>
      <w:r>
        <w:separator/>
      </w:r>
    </w:p>
  </w:endnote>
  <w:endnote w:type="continuationSeparator" w:id="0">
    <w:p w14:paraId="0ED206CB" w14:textId="77777777" w:rsidR="008F4182" w:rsidRDefault="008F41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E236" w14:textId="7D0B63A0" w:rsidR="009402F3" w:rsidRPr="00831D59" w:rsidRDefault="00F82FF1" w:rsidP="00831D59">
    <w:pPr>
      <w:pBdr>
        <w:top w:val="nil"/>
        <w:left w:val="nil"/>
        <w:bottom w:val="nil"/>
        <w:right w:val="nil"/>
        <w:between w:val="nil"/>
      </w:pBdr>
      <w:tabs>
        <w:tab w:val="center" w:pos="4680"/>
        <w:tab w:val="right" w:pos="9360"/>
      </w:tabs>
      <w:spacing w:line="240" w:lineRule="auto"/>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F574E7">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60A1B" w14:textId="77777777" w:rsidR="008F4182" w:rsidRDefault="008F4182">
      <w:pPr>
        <w:spacing w:line="240" w:lineRule="auto"/>
      </w:pPr>
      <w:r>
        <w:separator/>
      </w:r>
    </w:p>
  </w:footnote>
  <w:footnote w:type="continuationSeparator" w:id="0">
    <w:p w14:paraId="6D0794A0" w14:textId="77777777" w:rsidR="008F4182" w:rsidRDefault="008F41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96B4F" w14:textId="04815B30" w:rsidR="009402F3" w:rsidRPr="004F3F11" w:rsidRDefault="004F3F11" w:rsidP="004F3F11">
    <w:pPr>
      <w:pStyle w:val="Header"/>
      <w:spacing w:after="200"/>
      <w:jc w:val="center"/>
    </w:pPr>
    <w:r w:rsidRPr="00085B81">
      <w:rPr>
        <w:noProof/>
      </w:rPr>
      <w:drawing>
        <wp:inline distT="0" distB="0" distL="0" distR="0" wp14:anchorId="41F15A13" wp14:editId="63195BD3">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2F3"/>
    <w:rsid w:val="000565EB"/>
    <w:rsid w:val="001C3547"/>
    <w:rsid w:val="003B5AE9"/>
    <w:rsid w:val="003D3B64"/>
    <w:rsid w:val="004D4062"/>
    <w:rsid w:val="004E4BFF"/>
    <w:rsid w:val="004F3F11"/>
    <w:rsid w:val="006517CC"/>
    <w:rsid w:val="006F4335"/>
    <w:rsid w:val="00831D59"/>
    <w:rsid w:val="008F4182"/>
    <w:rsid w:val="009402F3"/>
    <w:rsid w:val="00AB002E"/>
    <w:rsid w:val="00AC403D"/>
    <w:rsid w:val="00F574E7"/>
    <w:rsid w:val="00F82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F7980"/>
  <w15:docId w15:val="{F8D53E15-9BC4-48BC-966B-8C75648A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uiPriority w:val="9"/>
    <w:qFormat/>
    <w:rsid w:val="00AC403D"/>
    <w:pPr>
      <w:keepNext w:val="0"/>
      <w:keepLines w:val="0"/>
      <w:suppressAutoHyphens/>
      <w:spacing w:after="0" w:line="240" w:lineRule="auto"/>
      <w:contextualSpacing/>
      <w:jc w:val="center"/>
      <w:outlineLvl w:val="0"/>
    </w:pPr>
    <w:rPr>
      <w:rFonts w:asciiTheme="majorHAnsi" w:hAnsiTheme="majorHAnsi" w:cstheme="majorHAnsi"/>
      <w:b/>
      <w:sz w:val="24"/>
      <w:szCs w:val="24"/>
    </w:rPr>
  </w:style>
  <w:style w:type="paragraph" w:styleId="Heading2">
    <w:name w:val="heading 2"/>
    <w:basedOn w:val="Heading1"/>
    <w:next w:val="Normal"/>
    <w:uiPriority w:val="9"/>
    <w:unhideWhenUsed/>
    <w:qFormat/>
    <w:rsid w:val="00AC403D"/>
    <w:pPr>
      <w:jc w:val="left"/>
      <w:outlineLvl w:val="1"/>
    </w:pPr>
    <w:rPr>
      <w:sz w:val="22"/>
      <w:szCs w:val="2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table" w:styleId="TableGrid">
    <w:name w:val="Table Grid"/>
    <w:basedOn w:val="TableNormal"/>
    <w:uiPriority w:val="39"/>
    <w:rsid w:val="006D23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a0HG6gGpqrISqsJMuOekuxz3PA==">AMUW2mV1JliQ6kIe3OHyNvK76nBB9aABjer73nwRCxDTv1XhKCUCzdPLFu1FO+QyF1JC9OtWvQabxIQCLgjNIDv/wxIMhWh2mZ6CB+yzakJ48fYNmLtqk9pKsS7+KhYJRJxXMpQnJorg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1359</Words>
  <Characters>7748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Cynthia Turner</cp:lastModifiedBy>
  <cp:revision>2</cp:revision>
  <dcterms:created xsi:type="dcterms:W3CDTF">2026-09-09T21:47:00Z</dcterms:created>
  <dcterms:modified xsi:type="dcterms:W3CDTF">2026-09-09T21:47:00Z</dcterms:modified>
</cp:coreProperties>
</file>