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61757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基于人脸识别的智慧医疗预约挂号平台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Web应用与开发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pPr>
              <w:bidi w:val="0"/>
              <w:ind w:firstLine="420" w:firstLineChars="0"/>
            </w:pPr>
            <w:r>
              <w:rPr>
                <w:rFonts w:hint="eastAsia"/>
                <w:lang w:val="en-US" w:eastAsia="zh-CN"/>
              </w:rPr>
              <w:t>为帮助患者进行就诊挂号，节省挂号时间，方便患者快速就诊，本项目从生物特征识别技术中最实用、应用最广泛的人脸识别技术入手,旨在开发一款基于人脸识别的智慧医疗预约挂号平台。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■创意创新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商业模式创新 □用户细分创新 □技术创新</w:t>
            </w:r>
          </w:p>
          <w:p>
            <w:r>
              <w:rPr>
                <w:rFonts w:hint="eastAsia"/>
                <w:smallCaps/>
              </w:rPr>
              <w:t xml:space="preserve">□应用场景创新 □技术优化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创新描述（1</w:t>
            </w:r>
            <w:r>
              <w:rPr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字以内）：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实现人脸识别信息注册，挂号时运用“人脸识别注册”通过身份证+人脸识别，这种验证系统精准、科学地防止“”号贩子”恶意注册并占用挂号资源，真实有效的方便实际病患挂号需求。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地图路径规划。显示医院精准定位，提供行程路径推荐。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特别说明（1</w:t>
            </w:r>
            <w:r>
              <w:rPr>
                <w:color w:val="0000FF"/>
              </w:rPr>
              <w:t>00</w:t>
            </w:r>
            <w:r>
              <w:rPr>
                <w:rFonts w:hint="eastAsia"/>
                <w:color w:val="0000FF"/>
              </w:rPr>
              <w:t>字以内，希望评审专家了解的其他重要信息）：</w:t>
            </w:r>
          </w:p>
          <w:p>
            <w:pPr>
              <w:rPr>
                <w:rFonts w:hint="eastAsia"/>
                <w:color w:val="0000FF"/>
              </w:rPr>
            </w:pP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周文志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杨昊凡</w:t>
            </w:r>
          </w:p>
        </w:tc>
        <w:tc>
          <w:tcPr>
            <w:tcW w:w="1422" w:type="dxa"/>
            <w:vAlign w:val="center"/>
          </w:tcPr>
          <w:p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>
            <w:r>
              <w:rPr>
                <w:rFonts w:hint="eastAsia"/>
              </w:rPr>
              <w:t>姓名5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40%</w:t>
            </w:r>
          </w:p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□宣讲通知 ■后勤支持 □技术支持 ■组织协调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  <w:color w:val="0000FF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主要媒体制作软件或开发平台</w:t>
            </w:r>
          </w:p>
          <w:p>
            <w:pPr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/>
                <w:color w:val="0000FF"/>
                <w:lang w:val="en-US" w:eastAsia="zh-CN"/>
              </w:rPr>
              <w:t>Pycharm、Eclipse、Hbuilder开发平台，华为云服务器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00FF"/>
              </w:rPr>
              <w:t>参考作品(前3项</w:t>
            </w:r>
            <w:r>
              <w:rPr>
                <w:color w:val="0000FF"/>
              </w:rP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■素材压缩包 ■演示视频 ■演示P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■工程文件 ■成品文件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提交文件</w:t>
            </w:r>
            <w:r>
              <w:rPr>
                <w:rFonts w:hint="eastAsia"/>
                <w:color w:val="0000FF"/>
                <w:sz w:val="18"/>
                <w:szCs w:val="18"/>
              </w:rPr>
              <w:t>(可增加或减少行数</w:t>
            </w:r>
            <w:r>
              <w:rPr>
                <w:color w:val="0000FF"/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2019-61757-参赛总文件夹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参赛</w:t>
            </w:r>
            <w:r>
              <w:rPr>
                <w:rFonts w:hint="eastAsia"/>
                <w:lang w:val="en-US" w:eastAsia="zh-CN"/>
              </w:rPr>
              <w:t>所有文件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2019-61757-01作品与答辩材料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作品与答辩材料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2019-61757-02素材与源码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素材与源码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2019-61757-03设计与开发文档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设计与开发文档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2019-61757-04作品演示视频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作品演示视频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013218B5"/>
    <w:rsid w:val="086869C6"/>
    <w:rsid w:val="0C561AA8"/>
    <w:rsid w:val="147E17C4"/>
    <w:rsid w:val="15DB21ED"/>
    <w:rsid w:val="1AF8339F"/>
    <w:rsid w:val="1DA01836"/>
    <w:rsid w:val="23F318B8"/>
    <w:rsid w:val="2882185A"/>
    <w:rsid w:val="2AF35049"/>
    <w:rsid w:val="2DF15291"/>
    <w:rsid w:val="30233277"/>
    <w:rsid w:val="30AA2FE8"/>
    <w:rsid w:val="33DB4FA6"/>
    <w:rsid w:val="33DD63E7"/>
    <w:rsid w:val="378C0916"/>
    <w:rsid w:val="38DB1087"/>
    <w:rsid w:val="3A5715F2"/>
    <w:rsid w:val="3CAA3FAB"/>
    <w:rsid w:val="3D657FF8"/>
    <w:rsid w:val="451D2D28"/>
    <w:rsid w:val="46645EC1"/>
    <w:rsid w:val="47E71563"/>
    <w:rsid w:val="4A053F39"/>
    <w:rsid w:val="4B775AAE"/>
    <w:rsid w:val="4D4E7D39"/>
    <w:rsid w:val="4F732700"/>
    <w:rsid w:val="4FA10EEC"/>
    <w:rsid w:val="4FB56AD6"/>
    <w:rsid w:val="50304BD4"/>
    <w:rsid w:val="50861676"/>
    <w:rsid w:val="50DA5B10"/>
    <w:rsid w:val="58662026"/>
    <w:rsid w:val="5A5F608C"/>
    <w:rsid w:val="5FDD134A"/>
    <w:rsid w:val="665B424F"/>
    <w:rsid w:val="68174647"/>
    <w:rsid w:val="6DC41391"/>
    <w:rsid w:val="6DF56BBD"/>
    <w:rsid w:val="6FB62427"/>
    <w:rsid w:val="705C5FD5"/>
    <w:rsid w:val="78452226"/>
    <w:rsid w:val="7A8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3</TotalTime>
  <ScaleCrop>false</ScaleCrop>
  <LinksUpToDate>false</LinksUpToDate>
  <CharactersWithSpaces>1478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2019-04-12T00:45:00Z</dcterms:created>
  <dc:creator>dengxifeng@pku.edu.cn</dc:creator>
  <cp:lastModifiedBy>    Cynicism°</cp:lastModifiedBy>
  <dcterms:modified xsi:type="dcterms:W3CDTF">2019-04-29T16:51:46Z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