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4.png" ContentType="image/png"/>
  <Override PartName="/word/media/rId28.png" ContentType="image/png"/>
  <Override PartName="/word/media/rId33.png" ContentType="image/png"/>
  <Override PartName="/word/media/rId3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Compilation</w:t>
      </w:r>
      <w:r>
        <w:t xml:space="preserve"> </w:t>
      </w:r>
      <w:r>
        <w:t xml:space="preserve">de</w:t>
      </w:r>
      <w:r>
        <w:t xml:space="preserve"> </w:t>
      </w:r>
      <w:r>
        <w:t xml:space="preserve">données</w:t>
      </w:r>
      <w:r>
        <w:t xml:space="preserve"> </w:t>
      </w:r>
      <w:r>
        <w:t xml:space="preserve">:</w:t>
      </w:r>
      <w:r>
        <w:t xml:space="preserve"> </w:t>
      </w:r>
      <w:r>
        <w:t xml:space="preserve">R</w:t>
      </w:r>
      <w:r>
        <w:t xml:space="preserve"> </w:t>
      </w:r>
      <w:r>
        <w:t xml:space="preserve">Markdown</w:t>
      </w:r>
      <w:r>
        <w:t xml:space="preserve"> </w:t>
      </w:r>
      <w:r>
        <w:t xml:space="preserve">&amp;</w:t>
      </w:r>
      <w:r>
        <w:t xml:space="preserve"> </w:t>
      </w:r>
      <w:r>
        <w:t xml:space="preserve">GitHub</w:t>
      </w:r>
    </w:p>
    <w:p>
      <w:pPr>
        <w:pStyle w:val="Author"/>
      </w:pPr>
      <w:r>
        <w:t xml:space="preserve">Groupe</w:t>
      </w:r>
      <w:r>
        <w:t xml:space="preserve"> </w:t>
      </w:r>
      <w:r>
        <w:t xml:space="preserve">2</w:t>
      </w:r>
      <w:r>
        <w:t xml:space="preserve"> </w:t>
      </w:r>
      <w:r>
        <w:t xml:space="preserve">:</w:t>
      </w:r>
      <w:r>
        <w:t xml:space="preserve"> </w:t>
      </w:r>
      <w:r>
        <w:t xml:space="preserve">Louise</w:t>
      </w:r>
      <w:r>
        <w:t xml:space="preserve"> </w:t>
      </w:r>
      <w:r>
        <w:t xml:space="preserve">ARSAC,</w:t>
      </w:r>
      <w:r>
        <w:t xml:space="preserve"> </w:t>
      </w:r>
      <w:r>
        <w:t xml:space="preserve">Zélie</w:t>
      </w:r>
      <w:r>
        <w:t xml:space="preserve"> </w:t>
      </w:r>
      <w:r>
        <w:t xml:space="preserve">FROMENT,</w:t>
      </w:r>
      <w:r>
        <w:t xml:space="preserve"> </w:t>
      </w:r>
      <w:r>
        <w:t xml:space="preserve">Charlène</w:t>
      </w:r>
      <w:r>
        <w:t xml:space="preserve"> </w:t>
      </w:r>
      <w:r>
        <w:t xml:space="preserve">LAROCHE,</w:t>
      </w:r>
      <w:r>
        <w:t xml:space="preserve"> </w:t>
      </w:r>
      <w:r>
        <w:t xml:space="preserve">Paul</w:t>
      </w:r>
      <w:r>
        <w:t xml:space="preserve"> </w:t>
      </w:r>
      <w:r>
        <w:t xml:space="preserve">SERVAIN,</w:t>
      </w:r>
      <w:r>
        <w:t xml:space="preserve"> </w:t>
      </w:r>
      <w:r>
        <w:t xml:space="preserve">Axel</w:t>
      </w:r>
      <w:r>
        <w:t xml:space="preserve"> </w:t>
      </w:r>
      <w:r>
        <w:t xml:space="preserve">FALIGOT-GIRARDELLI,</w:t>
      </w:r>
      <w:r>
        <w:t xml:space="preserve"> </w:t>
      </w:r>
      <w:r>
        <w:t xml:space="preserve">Juliette</w:t>
      </w:r>
      <w:r>
        <w:t xml:space="preserve"> </w:t>
      </w:r>
      <w:r>
        <w:t xml:space="preserve">MAYER</w:t>
      </w:r>
    </w:p>
    <w:p>
      <w:pPr>
        <w:pStyle w:val="Date"/>
      </w:pPr>
      <w:r>
        <w:t xml:space="preserve">29/04/20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aptionedFigure"/>
      </w:pPr>
      <w:r>
        <w:drawing>
          <wp:inline>
            <wp:extent cx="5334000" cy="5371829"/>
            <wp:effectExtent b="0" l="0" r="0" t="0"/>
            <wp:docPr descr="Logo Rmarkdown" title="" id="1" name="Picture"/>
            <a:graphic>
              <a:graphicData uri="http://schemas.openxmlformats.org/drawingml/2006/picture">
                <pic:pic>
                  <pic:nvPicPr>
                    <pic:cNvPr descr="rmarkdown.png" id="0" name="Picture"/>
                    <pic:cNvPicPr>
                      <a:picLocks noChangeArrowheads="1" noChangeAspect="1"/>
                    </pic:cNvPicPr>
                  </pic:nvPicPr>
                  <pic:blipFill>
                    <a:blip r:embed="rId20"/>
                    <a:stretch>
                      <a:fillRect/>
                    </a:stretch>
                  </pic:blipFill>
                  <pic:spPr bwMode="auto">
                    <a:xfrm>
                      <a:off x="0" y="0"/>
                      <a:ext cx="5334000" cy="5371829"/>
                    </a:xfrm>
                    <a:prstGeom prst="rect">
                      <a:avLst/>
                    </a:prstGeom>
                    <a:noFill/>
                    <a:ln w="9525">
                      <a:noFill/>
                      <a:headEnd/>
                      <a:tailEnd/>
                    </a:ln>
                  </pic:spPr>
                </pic:pic>
              </a:graphicData>
            </a:graphic>
          </wp:inline>
        </w:drawing>
      </w:r>
    </w:p>
    <w:p>
      <w:pPr>
        <w:pStyle w:val="ImageCaption"/>
      </w:pPr>
      <w:r>
        <w:t xml:space="preserve">Logo Rmarkdown</w:t>
      </w:r>
    </w:p>
    <w:p>
      <w:pPr>
        <w:pStyle w:val="BodyText"/>
      </w:pPr>
      <w:r>
        <w:t xml:space="preserve"> </w:t>
      </w:r>
    </w:p>
    <w:p>
      <w:pPr>
        <w:pStyle w:val="BodyText"/>
      </w:pPr>
      <w:r>
        <w:rPr>
          <w:b/>
        </w:rPr>
        <w:t xml:space="preserve">Résumé</w:t>
      </w:r>
      <w:r>
        <w:t xml:space="preserve"> </w:t>
      </w:r>
      <w:r>
        <w:t xml:space="preserve">: Dans ce rapport nous analyserons les temperatures des principales villes françaises.</w:t>
      </w:r>
      <w:r>
        <w:br/>
      </w:r>
      <w:r>
        <w:t xml:space="preserve">……………………………………………………………………………………………………</w:t>
      </w:r>
      <w:r>
        <w:t xml:space="preserve"> </w:t>
      </w:r>
      <w:r>
        <w:t xml:space="preserve">……………………………………………………………………………………………………</w:t>
      </w:r>
    </w:p>
    <w:p>
      <w:pPr>
        <w:pStyle w:val="BodyText"/>
      </w:pPr>
      <w:r>
        <w:t xml:space="preserve"> </w:t>
      </w:r>
    </w:p>
    <w:p>
      <w:pPr>
        <w:pStyle w:val="Heading1"/>
      </w:pPr>
      <w:bookmarkStart w:id="21" w:name="présentation-des-données"/>
      <w:r>
        <w:rPr>
          <w:b/>
        </w:rPr>
        <w:t xml:space="preserve">Présentation des données</w:t>
      </w:r>
      <w:r>
        <w:rPr>
          <w:b/>
        </w:rPr>
        <w:t xml:space="preserve"> </w:t>
      </w:r>
      <w:bookmarkEnd w:id="21"/>
    </w:p>
    <w:p>
      <w:pPr>
        <w:pStyle w:val="FirstParagraph"/>
      </w:pPr>
      <w:r>
        <w:t xml:space="preserve">Les données sont téléchargeables directement sur</w:t>
      </w:r>
      <w:r>
        <w:t xml:space="preserve"> </w:t>
      </w:r>
      <w:hyperlink r:id="rId22">
        <w:r>
          <w:rPr>
            <w:rStyle w:val="Hyperlink"/>
          </w:rPr>
          <w:t xml:space="preserve">ce site</w:t>
        </w:r>
      </w:hyperlink>
      <w:r>
        <w:t xml:space="preserve"> </w:t>
      </w:r>
      <w:r>
        <w:t xml:space="preserve">ou peuvent être importée directement sous R avec :</w:t>
      </w:r>
    </w:p>
    <w:p>
      <w:pPr>
        <w:pStyle w:val="SourceCode"/>
      </w:pPr>
      <w:r>
        <w:rPr>
          <w:rStyle w:val="NormalTok"/>
        </w:rPr>
        <w:t xml:space="preserve">link &lt;-</w:t>
      </w:r>
      <w:r>
        <w:rPr>
          <w:rStyle w:val="StringTok"/>
        </w:rPr>
        <w:t xml:space="preserve"> "http://factominer.free.fr/course/donnees/AnaDo_JeuDonnees_TemperatFrance.csv"</w:t>
      </w:r>
      <w:r>
        <w:br/>
      </w:r>
      <w:r>
        <w:rPr>
          <w:rStyle w:val="NormalTok"/>
        </w:rPr>
        <w:t xml:space="preserve">datatemp &lt;-</w:t>
      </w:r>
      <w:r>
        <w:rPr>
          <w:rStyle w:val="StringTok"/>
        </w:rPr>
        <w:t xml:space="preserve"> </w:t>
      </w:r>
      <w:r>
        <w:rPr>
          <w:rStyle w:val="KeywordTok"/>
        </w:rPr>
        <w:t xml:space="preserve">read.table</w:t>
      </w:r>
      <w:r>
        <w:rPr>
          <w:rStyle w:val="NormalTok"/>
        </w:rPr>
        <w:t xml:space="preserve">(link, </w:t>
      </w:r>
      <w:r>
        <w:rPr>
          <w:rStyle w:val="DataTypeTok"/>
        </w:rPr>
        <w:t xml:space="preserve">h=</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 </w:t>
      </w:r>
      <w:r>
        <w:rPr>
          <w:rStyle w:val="DataTypeTok"/>
        </w:rPr>
        <w:t xml:space="preserve">row.names=</w:t>
      </w:r>
      <w:r>
        <w:rPr>
          <w:rStyle w:val="DecValTok"/>
        </w:rPr>
        <w:t xml:space="preserve">1</w:t>
      </w:r>
      <w:r>
        <w:rPr>
          <w:rStyle w:val="NormalTok"/>
        </w:rPr>
        <w:t xml:space="preserve">, </w:t>
      </w:r>
      <w:r>
        <w:rPr>
          <w:rStyle w:val="DataTypeTok"/>
        </w:rPr>
        <w:t xml:space="preserve">encoding=</w:t>
      </w:r>
      <w:r>
        <w:rPr>
          <w:rStyle w:val="StringTok"/>
        </w:rPr>
        <w:t xml:space="preserve">"latin1"</w:t>
      </w:r>
      <w:r>
        <w:rPr>
          <w:rStyle w:val="NormalTok"/>
        </w:rPr>
        <w:t xml:space="preserve">)</w:t>
      </w:r>
      <w:r>
        <w:br/>
      </w:r>
      <w:r>
        <w:rPr>
          <w:rStyle w:val="CommentTok"/>
        </w:rPr>
        <w:t xml:space="preserve">##dd &lt;- as_tibble(datatemp)</w:t>
      </w:r>
    </w:p>
    <w:p>
      <w:pPr>
        <w:pStyle w:val="Heading2"/>
      </w:pPr>
      <w:bookmarkStart w:id="23" w:name="les-données"/>
      <w:r>
        <w:rPr>
          <w:b/>
        </w:rPr>
        <w:t xml:space="preserve">Les données</w:t>
      </w:r>
      <w:bookmarkEnd w:id="23"/>
    </w:p>
    <w:p>
      <w:pPr>
        <w:pStyle w:val="SourceCode"/>
      </w:pPr>
      <w:r>
        <w:rPr>
          <w:rStyle w:val="VerbatimChar"/>
        </w:rPr>
        <w:t xml:space="preserve">##          Janv Févr Mars Avri  Mai Juin juil Août Sept Octo Nove Déce  Lati</w:t>
      </w:r>
      <w:r>
        <w:br/>
      </w:r>
      <w:r>
        <w:rPr>
          <w:rStyle w:val="VerbatimChar"/>
        </w:rPr>
        <w:t xml:space="preserve">## Bordeaux  5.6  6.6 10.3 12.8 15.8 19.3 20.9 21.0 18.6 13.8  9.1  6.2 44.50</w:t>
      </w:r>
      <w:r>
        <w:br/>
      </w:r>
      <w:r>
        <w:rPr>
          <w:rStyle w:val="VerbatimChar"/>
        </w:rPr>
        <w:t xml:space="preserve">## Brest     6.1  5.8  7.8  9.2 11.6 14.4 15.6 16.0 14.7 12.0  9.0  7.0 48.24</w:t>
      </w:r>
      <w:r>
        <w:br/>
      </w:r>
      <w:r>
        <w:rPr>
          <w:rStyle w:val="VerbatimChar"/>
        </w:rPr>
        <w:t xml:space="preserve">## Clermont  2.6  3.7  7.5 10.3 13.8 17.3 19.4 19.1 16.2 11.2  6.6  3.6 45.47</w:t>
      </w:r>
      <w:r>
        <w:br/>
      </w:r>
      <w:r>
        <w:rPr>
          <w:rStyle w:val="VerbatimChar"/>
        </w:rPr>
        <w:t xml:space="preserve">## Grenoble  1.5  3.2  7.7 10.6 14.5 17.8 20.1 19.5 16.7 11.4  6.5  2.3 45.10</w:t>
      </w:r>
      <w:r>
        <w:br/>
      </w:r>
      <w:r>
        <w:rPr>
          <w:rStyle w:val="VerbatimChar"/>
        </w:rPr>
        <w:t xml:space="preserve">## Lille     2.4  2.9  6.0  8.9 12.4 15.3 17.1 17.1 14.7 10.4  6.1  3.5 50.38</w:t>
      </w:r>
      <w:r>
        <w:br/>
      </w:r>
      <w:r>
        <w:rPr>
          <w:rStyle w:val="VerbatimChar"/>
        </w:rPr>
        <w:t xml:space="preserve">## Lyon      2.1  3.3  7.7 10.9 14.9 18.5 20.7 20.1 16.9 11.4  6.7  3.1 45.45</w:t>
      </w:r>
      <w:r>
        <w:br/>
      </w:r>
      <w:r>
        <w:rPr>
          <w:rStyle w:val="VerbatimChar"/>
        </w:rPr>
        <w:t xml:space="preserve">##           Long  Moye Ampl Région</w:t>
      </w:r>
      <w:r>
        <w:br/>
      </w:r>
      <w:r>
        <w:rPr>
          <w:rStyle w:val="VerbatimChar"/>
        </w:rPr>
        <w:t xml:space="preserve">## Bordeaux -0.34 13.33 15.4     SO</w:t>
      </w:r>
      <w:r>
        <w:br/>
      </w:r>
      <w:r>
        <w:rPr>
          <w:rStyle w:val="VerbatimChar"/>
        </w:rPr>
        <w:t xml:space="preserve">## Brest    -4.29 10.77 10.2     NO</w:t>
      </w:r>
      <w:r>
        <w:br/>
      </w:r>
      <w:r>
        <w:rPr>
          <w:rStyle w:val="VerbatimChar"/>
        </w:rPr>
        <w:t xml:space="preserve">## Clermont  3.05 10.94 16.8     SE</w:t>
      </w:r>
      <w:r>
        <w:br/>
      </w:r>
      <w:r>
        <w:rPr>
          <w:rStyle w:val="VerbatimChar"/>
        </w:rPr>
        <w:t xml:space="preserve">## Grenoble  5.43 10.98 18.6     SE</w:t>
      </w:r>
      <w:r>
        <w:br/>
      </w:r>
      <w:r>
        <w:rPr>
          <w:rStyle w:val="VerbatimChar"/>
        </w:rPr>
        <w:t xml:space="preserve">## Lille     3.04  9.73 14.7     NE</w:t>
      </w:r>
      <w:r>
        <w:br/>
      </w:r>
      <w:r>
        <w:rPr>
          <w:rStyle w:val="VerbatimChar"/>
        </w:rPr>
        <w:t xml:space="preserve">## Lyon      4.51 11.36 18.6     SE</w:t>
      </w:r>
    </w:p>
    <w:p>
      <w:pPr>
        <w:pStyle w:val="FirstParagraph"/>
      </w:pPr>
      <w:r>
        <w:t xml:space="preserve"> </w:t>
      </w:r>
    </w:p>
    <w:p>
      <w:pPr>
        <w:pStyle w:val="BodyText"/>
      </w:pPr>
      <w:r>
        <w:t xml:space="preserve">Le jeu de donné est complété pour 15 villes et contient 17 variables dont les tempértures des 12 mois de l’année, la moyenne, l’amplitude, latitude et longitude ainsi qu’un indicateur de grandes régions. La temperature moyenne en France est égale à 11.81</w:t>
      </w:r>
      <w:r>
        <w:t xml:space="preserve"> </w:t>
      </w:r>
      <m:oMath>
        <m:r>
          <m:t>+</m:t>
        </m:r>
        <m:r>
          <m:t>/</m:t>
        </m:r>
        <m:r>
          <m:t>−</m:t>
        </m:r>
      </m:oMath>
      <w:r>
        <w:t xml:space="preserve"> </w:t>
      </w:r>
      <w:r>
        <w:t xml:space="preserve">5.93 degrés Celcius (moyenne</w:t>
      </w:r>
      <w:r>
        <w:t xml:space="preserve"> </w:t>
      </w:r>
      <m:oMath>
        <m:r>
          <m:t>+</m:t>
        </m:r>
        <m:r>
          <m:t>/</m:t>
        </m:r>
        <m:r>
          <m:t>−</m:t>
        </m:r>
      </m:oMath>
      <w:r>
        <w:t xml:space="preserve"> </w:t>
      </w:r>
      <w:r>
        <w:t xml:space="preserve">écart type). La ville la plus froide est : Strasbourg ; et la ville la plus chaudes est : Nice (Fig. \ref{fig:{tempvilles}).</w:t>
      </w:r>
    </w:p>
    <w:p>
      <w:pPr>
        <w:pStyle w:val="BodyText"/>
      </w:pPr>
      <w:r>
        <w:drawing>
          <wp:inline>
            <wp:extent cx="5334000" cy="1777999"/>
            <wp:effectExtent b="0" l="0" r="0" t="0"/>
            <wp:docPr descr="Températures par villes" title="" id="1" name="Picture"/>
            <a:graphic>
              <a:graphicData uri="http://schemas.openxmlformats.org/drawingml/2006/picture">
                <pic:pic>
                  <pic:nvPicPr>
                    <pic:cNvPr descr="Rapport-Test-Groupe-2_files/figure-docx/datatempville-1.png" id="0" name="Picture"/>
                    <pic:cNvPicPr>
                      <a:picLocks noChangeArrowheads="1" noChangeAspect="1"/>
                    </pic:cNvPicPr>
                  </pic:nvPicPr>
                  <pic:blipFill>
                    <a:blip r:embed="rId24"/>
                    <a:stretch>
                      <a:fillRect/>
                    </a:stretch>
                  </pic:blipFill>
                  <pic:spPr bwMode="auto">
                    <a:xfrm>
                      <a:off x="0" y="0"/>
                      <a:ext cx="5334000" cy="1777999"/>
                    </a:xfrm>
                    <a:prstGeom prst="rect">
                      <a:avLst/>
                    </a:prstGeom>
                    <a:noFill/>
                    <a:ln w="9525">
                      <a:noFill/>
                      <a:headEnd/>
                      <a:tailEnd/>
                    </a:ln>
                  </pic:spPr>
                </pic:pic>
              </a:graphicData>
            </a:graphic>
          </wp:inline>
        </w:drawing>
      </w:r>
      <w:r>
        <w:t xml:space="preserve"> </w:t>
      </w:r>
      <w:r>
        <w:t xml:space="preserve"> </w:t>
      </w:r>
    </w:p>
    <w:p>
      <w:pPr>
        <w:pStyle w:val="Heading1"/>
      </w:pPr>
      <w:bookmarkStart w:id="25" w:name="une-première-analyse"/>
      <w:r>
        <w:rPr>
          <w:b/>
        </w:rPr>
        <w:t xml:space="preserve">Une première analyse</w:t>
      </w:r>
      <w:r>
        <w:rPr>
          <w:b/>
        </w:rPr>
        <w:t xml:space="preserve"> </w:t>
      </w:r>
      <w:bookmarkEnd w:id="25"/>
    </w:p>
    <w:p>
      <w:pPr>
        <w:pStyle w:val="FirstParagraph"/>
      </w:pPr>
      <w:r>
        <w:t xml:space="preserve">Nous réalisons des graphiques permettant d’analyser, par région :</w:t>
      </w:r>
    </w:p>
    <w:p>
      <w:pPr>
        <w:numPr>
          <w:numId w:val="1001"/>
          <w:ilvl w:val="0"/>
        </w:numPr>
      </w:pPr>
      <w:r>
        <w:t xml:space="preserve">La position globale de la températures vis à vis de la moyenne nationale.</w:t>
      </w:r>
    </w:p>
    <w:p>
      <w:pPr>
        <w:numPr>
          <w:numId w:val="1000"/>
          <w:ilvl w:val="0"/>
        </w:numPr>
      </w:pPr>
      <w:r>
        <w:t xml:space="preserve">L’évolution mensuelle des températures dont notament :</w:t>
      </w:r>
    </w:p>
    <w:p>
      <w:pPr>
        <w:numPr>
          <w:numId w:val="1000"/>
          <w:ilvl w:val="0"/>
        </w:numPr>
      </w:pPr>
      <w:r>
        <w:t xml:space="preserve">L’amplitude</w:t>
      </w:r>
    </w:p>
    <w:p>
      <w:pPr>
        <w:pStyle w:val="Compact"/>
        <w:numPr>
          <w:numId w:val="1002"/>
          <w:ilvl w:val="1"/>
        </w:numPr>
      </w:pPr>
      <w:r>
        <w:t xml:space="preserve">L’hétérogénéité inter-villes.</w:t>
      </w:r>
    </w:p>
    <w:p>
      <w:pPr>
        <w:pStyle w:val="Heading2"/>
      </w:pPr>
      <w:bookmarkStart w:id="26" w:name="création-dune-fonction-graphique"/>
      <w:r>
        <w:rPr>
          <w:b/>
        </w:rPr>
        <w:t xml:space="preserve">Création d’une fonction graphique</w:t>
      </w:r>
      <w:bookmarkEnd w:id="26"/>
    </w:p>
    <w:p>
      <w:pPr>
        <w:pStyle w:val="FirstParagraph"/>
      </w:pPr>
      <w:r>
        <w:t xml:space="preserve">Nous souhaitons produire un graphique representant par région les courbes mensuelles de chaque ville avec la courbe moyenne nationale. Voici un script possible :</w:t>
      </w:r>
    </w:p>
    <w:p>
      <w:pPr>
        <w:pStyle w:val="SourceCode"/>
      </w:pPr>
      <w:r>
        <w:rPr>
          <w:rStyle w:val="NormalTok"/>
        </w:rPr>
        <w:t xml:space="preserve">Tplot&lt;-</w:t>
      </w:r>
      <w:r>
        <w:rPr>
          <w:rStyle w:val="ControlFlowTok"/>
        </w:rPr>
        <w:t xml:space="preserve">function</w:t>
      </w:r>
      <w:r>
        <w:rPr>
          <w:rStyle w:val="NormalTok"/>
        </w:rPr>
        <w:t xml:space="preserve">(tempr,tmean) {</w:t>
      </w:r>
      <w:r>
        <w:br/>
      </w:r>
      <w:r>
        <w:rPr>
          <w:rStyle w:val="NormalTok"/>
        </w:rPr>
        <w:t xml:space="preserve">  </w:t>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30</w:t>
      </w:r>
      <w:r>
        <w:rPr>
          <w:rStyle w:val="NormalTok"/>
        </w:rPr>
        <w:t xml:space="preserve">),</w:t>
      </w:r>
      <w:r>
        <w:rPr>
          <w:rStyle w:val="DataTypeTok"/>
        </w:rPr>
        <w:t xml:space="preserve">type=</w:t>
      </w:r>
      <w:r>
        <w:rPr>
          <w:rStyle w:val="StringTok"/>
        </w:rPr>
        <w:t xml:space="preserve">"n"</w:t>
      </w:r>
      <w:r>
        <w:rPr>
          <w:rStyle w:val="NormalTok"/>
        </w:rPr>
        <w:t xml:space="preserve">,</w:t>
      </w:r>
      <w:r>
        <w:rPr>
          <w:rStyle w:val="DataTypeTok"/>
        </w:rPr>
        <w:t xml:space="preserve">ylab=</w:t>
      </w:r>
      <w:r>
        <w:rPr>
          <w:rStyle w:val="StringTok"/>
        </w:rPr>
        <w:t xml:space="preserve">"Temperature (°C)"</w:t>
      </w:r>
      <w:r>
        <w:rPr>
          <w:rStyle w:val="NormalTok"/>
        </w:rPr>
        <w:t xml:space="preserve">,</w:t>
      </w:r>
      <w:r>
        <w:rPr>
          <w:rStyle w:val="DataTypeTok"/>
        </w:rPr>
        <w:t xml:space="preserve">xlab=</w:t>
      </w:r>
      <w:r>
        <w:rPr>
          <w:rStyle w:val="StringTok"/>
        </w:rPr>
        <w:t xml:space="preserve">"Mois"</w:t>
      </w:r>
      <w:r>
        <w:rPr>
          <w:rStyle w:val="NormalTok"/>
        </w:rPr>
        <w:t xml:space="preserve">,</w:t>
      </w:r>
      <w:r>
        <w:rPr>
          <w:rStyle w:val="DataTypeTok"/>
        </w:rPr>
        <w:t xml:space="preserve">cex.lab=</w:t>
      </w:r>
      <w:r>
        <w:rPr>
          <w:rStyle w:val="FloatTok"/>
        </w:rPr>
        <w:t xml:space="preserve">0.8</w:t>
      </w:r>
      <w:r>
        <w:rPr>
          <w:rStyle w:val="NormalTok"/>
        </w:rPr>
        <w:t xml:space="preserve">,</w:t>
      </w:r>
      <w:r>
        <w:rPr>
          <w:rStyle w:val="DataTypeTok"/>
        </w:rPr>
        <w:t xml:space="preserve">cex.axis=</w:t>
      </w:r>
      <w:r>
        <w:rPr>
          <w:rStyle w:val="FloatTok"/>
        </w:rPr>
        <w:t xml:space="preserve">0.8</w:t>
      </w:r>
      <w:r>
        <w:rPr>
          <w:rStyle w:val="NormalTok"/>
        </w:rPr>
        <w:t xml:space="preserve">)</w:t>
      </w:r>
      <w:r>
        <w:br/>
      </w:r>
      <w:r>
        <w:rPr>
          <w:rStyle w:val="NormalTok"/>
        </w:rPr>
        <w:t xml:space="preserve">  </w:t>
      </w:r>
      <w:r>
        <w:rPr>
          <w:rStyle w:val="KeywordTok"/>
        </w:rPr>
        <w:t xml:space="preserve">apply</w:t>
      </w:r>
      <w:r>
        <w:rPr>
          <w:rStyle w:val="NormalTok"/>
        </w:rPr>
        <w:t xml:space="preserve">(tempr[,</w:t>
      </w:r>
      <w:r>
        <w:rPr>
          <w:rStyle w:val="DecValTok"/>
        </w:rPr>
        <w:t xml:space="preserve">1</w:t>
      </w:r>
      <w:r>
        <w:rPr>
          <w:rStyle w:val="OperatorTok"/>
        </w:rPr>
        <w:t xml:space="preserve">:</w:t>
      </w:r>
      <w:r>
        <w:rPr>
          <w:rStyle w:val="DecValTok"/>
        </w:rPr>
        <w:t xml:space="preserve">12</w:t>
      </w:r>
      <w:r>
        <w:rPr>
          <w:rStyle w:val="NormalTok"/>
        </w:rPr>
        <w:t xml:space="preserve">],</w:t>
      </w:r>
      <w:r>
        <w:rPr>
          <w:rStyle w:val="DecValTok"/>
        </w:rPr>
        <w:t xml:space="preserve">1</w:t>
      </w:r>
      <w:r>
        <w:rPr>
          <w:rStyle w:val="NormalTok"/>
        </w:rPr>
        <w:t xml:space="preserve">,</w:t>
      </w:r>
      <w:r>
        <w:rPr>
          <w:rStyle w:val="ControlFlowTok"/>
        </w:rPr>
        <w:t xml:space="preserve">function</w:t>
      </w:r>
      <w:r>
        <w:rPr>
          <w:rStyle w:val="NormalTok"/>
        </w:rPr>
        <w:t xml:space="preserve">(x) </w:t>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,x))</w:t>
      </w:r>
      <w:r>
        <w:br/>
      </w:r>
      <w:r>
        <w:rPr>
          <w:rStyle w:val="NormalTok"/>
        </w:rPr>
        <w:t xml:space="preserve">  </w:t>
      </w:r>
      <w:r>
        <w:rPr>
          <w:rStyle w:val="KeywordTok"/>
        </w:rPr>
        <w:t xml:space="preserve">text</w:t>
      </w:r>
      <w:r>
        <w:rPr>
          <w:rStyle w:val="NormalTok"/>
        </w:rPr>
        <w:t xml:space="preserve">(</w:t>
      </w:r>
      <w:r>
        <w:rPr>
          <w:rStyle w:val="DecValTok"/>
        </w:rPr>
        <w:t xml:space="preserve">2</w:t>
      </w:r>
      <w:r>
        <w:rPr>
          <w:rStyle w:val="NormalTok"/>
        </w:rPr>
        <w:t xml:space="preserve">,</w:t>
      </w:r>
      <w:r>
        <w:rPr>
          <w:rStyle w:val="DecValTok"/>
        </w:rPr>
        <w:t xml:space="preserve">28</w:t>
      </w:r>
      <w:r>
        <w:rPr>
          <w:rStyle w:val="NormalTok"/>
        </w:rPr>
        <w:t xml:space="preserve">,tempr</w:t>
      </w:r>
      <w:r>
        <w:rPr>
          <w:rStyle w:val="OperatorTok"/>
        </w:rPr>
        <w:t xml:space="preserve">$</w:t>
      </w:r>
      <w:r>
        <w:rPr>
          <w:rStyle w:val="NormalTok"/>
        </w:rPr>
        <w:t xml:space="preserve">Région[</w:t>
      </w:r>
      <w:r>
        <w:rPr>
          <w:rStyle w:val="DecValTok"/>
        </w:rPr>
        <w:t xml:space="preserve">1</w:t>
      </w:r>
      <w:r>
        <w:rPr>
          <w:rStyle w:val="NormalTok"/>
        </w:rPr>
        <w:t xml:space="preserve">],</w:t>
      </w:r>
      <w:r>
        <w:rPr>
          <w:rStyle w:val="DataTypeTok"/>
        </w:rPr>
        <w:t xml:space="preserve">cex=</w:t>
      </w:r>
      <w:r>
        <w:rPr>
          <w:rStyle w:val="FloatTok"/>
        </w:rPr>
        <w:t xml:space="preserve">0.8</w:t>
      </w:r>
      <w:r>
        <w:rPr>
          <w:rStyle w:val="NormalTok"/>
        </w:rPr>
        <w:t xml:space="preserve">)</w:t>
      </w:r>
      <w:r>
        <w:br/>
      </w:r>
      <w:r>
        <w:rPr>
          <w:rStyle w:val="NormalTok"/>
        </w:rPr>
        <w:t xml:space="preserve">  </w:t>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,tmean,</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w:t>
      </w:r>
      <w:r>
        <w:br/>
      </w:r>
      <w:r>
        <w:rPr>
          <w:rStyle w:val="NormalTok"/>
        </w:rPr>
        <w:t xml:space="preserve">}</w:t>
      </w:r>
    </w:p>
    <w:p>
      <w:pPr>
        <w:pStyle w:val="Heading2"/>
      </w:pPr>
      <w:bookmarkStart w:id="27" w:name="application"/>
      <w:r>
        <w:rPr>
          <w:i/>
        </w:rPr>
        <w:t xml:space="preserve">Application</w:t>
      </w:r>
      <w:bookmarkEnd w:id="27"/>
    </w:p>
    <w:p>
      <w:pPr>
        <w:pStyle w:val="SourceCode"/>
      </w:pPr>
      <w:r>
        <w:rPr>
          <w:rStyle w:val="CommentTok"/>
        </w:rPr>
        <w:t xml:space="preserve">#température moyenne</w:t>
      </w:r>
      <w:r>
        <w:br/>
      </w:r>
      <w:r>
        <w:rPr>
          <w:rStyle w:val="NormalTok"/>
        </w:rPr>
        <w:t xml:space="preserve">tmean&lt;-</w:t>
      </w:r>
      <w:r>
        <w:rPr>
          <w:rStyle w:val="KeywordTok"/>
        </w:rPr>
        <w:t xml:space="preserve">apply</w:t>
      </w:r>
      <w:r>
        <w:rPr>
          <w:rStyle w:val="NormalTok"/>
        </w:rPr>
        <w:t xml:space="preserve">(datatemp[,</w:t>
      </w:r>
      <w:r>
        <w:rPr>
          <w:rStyle w:val="DecValTok"/>
        </w:rPr>
        <w:t xml:space="preserve">1</w:t>
      </w:r>
      <w:r>
        <w:rPr>
          <w:rStyle w:val="OperatorTok"/>
        </w:rPr>
        <w:t xml:space="preserve">:</w:t>
      </w:r>
      <w:r>
        <w:rPr>
          <w:rStyle w:val="DecValTok"/>
        </w:rPr>
        <w:t xml:space="preserve">12</w:t>
      </w:r>
      <w:r>
        <w:rPr>
          <w:rStyle w:val="NormalTok"/>
        </w:rPr>
        <w:t xml:space="preserve">],</w:t>
      </w:r>
      <w:r>
        <w:rPr>
          <w:rStyle w:val="DecValTok"/>
        </w:rPr>
        <w:t xml:space="preserve">2</w:t>
      </w:r>
      <w:r>
        <w:rPr>
          <w:rStyle w:val="NormalTok"/>
        </w:rPr>
        <w:t xml:space="preserve">,mean)</w:t>
      </w:r>
      <w:r>
        <w:br/>
      </w:r>
      <w:r>
        <w:rPr>
          <w:rStyle w:val="CommentTok"/>
        </w:rPr>
        <w:t xml:space="preserve">#Découpage du tableau par région</w:t>
      </w:r>
      <w:r>
        <w:br/>
      </w:r>
      <w:r>
        <w:rPr>
          <w:rStyle w:val="NormalTok"/>
        </w:rPr>
        <w:t xml:space="preserve">sptemp&lt;-</w:t>
      </w:r>
      <w:r>
        <w:rPr>
          <w:rStyle w:val="KeywordTok"/>
        </w:rPr>
        <w:t xml:space="preserve">split</w:t>
      </w:r>
      <w:r>
        <w:rPr>
          <w:rStyle w:val="NormalTok"/>
        </w:rPr>
        <w:t xml:space="preserve">(datatemp,datatemp</w:t>
      </w:r>
      <w:r>
        <w:rPr>
          <w:rStyle w:val="OperatorTok"/>
        </w:rPr>
        <w:t xml:space="preserve">$</w:t>
      </w:r>
      <w:r>
        <w:rPr>
          <w:rStyle w:val="NormalTok"/>
        </w:rPr>
        <w:t xml:space="preserve">Région)</w:t>
      </w:r>
      <w:r>
        <w:br/>
      </w:r>
      <w:r>
        <w:rPr>
          <w:rStyle w:val="CommentTok"/>
        </w:rPr>
        <w:t xml:space="preserve">#Découpage de la fenêtre graphique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mgp=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CommentTok"/>
        </w:rPr>
        <w:t xml:space="preserve">#Application de la fonction</w:t>
      </w:r>
      <w:r>
        <w:br/>
      </w:r>
      <w:r>
        <w:rPr>
          <w:rStyle w:val="NormalTok"/>
        </w:rPr>
        <w:t xml:space="preserve">plot&lt;-</w:t>
      </w:r>
      <w:r>
        <w:rPr>
          <w:rStyle w:val="KeywordTok"/>
        </w:rPr>
        <w:t xml:space="preserve">lapply</w:t>
      </w:r>
      <w:r>
        <w:rPr>
          <w:rStyle w:val="NormalTok"/>
        </w:rPr>
        <w:t xml:space="preserve">(sptemp,Tplot,tmean)</w:t>
      </w:r>
      <w:r>
        <w:br/>
      </w:r>
      <w:r>
        <w:rPr>
          <w:rStyle w:val="CommentTok"/>
        </w:rPr>
        <w:t xml:space="preserve">#Légende</w:t>
      </w:r>
      <w:r>
        <w:br/>
      </w:r>
      <w:r>
        <w:rPr>
          <w:rStyle w:val="KeywordTok"/>
        </w:rPr>
        <w:t xml:space="preserve">legend</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StringTok"/>
        </w:rPr>
        <w:t xml:space="preserve">"Moyennes nationales"</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cex=</w:t>
      </w:r>
      <w:r>
        <w:rPr>
          <w:rStyle w:val="FloatTok"/>
        </w:rPr>
        <w:t xml:space="preserve">0.7</w:t>
      </w:r>
      <w:r>
        <w:rPr>
          <w:rStyle w:val="NormalTok"/>
        </w:rPr>
        <w:t xml:space="preserve">)</w:t>
      </w:r>
    </w:p>
    <w:p>
      <w:pPr>
        <w:pStyle w:val="CaptionedFigure"/>
      </w:pPr>
      <w:r>
        <w:drawing>
          <wp:inline>
            <wp:extent cx="5334000" cy="4445000"/>
            <wp:effectExtent b="0" l="0" r="0" t="0"/>
            <wp:docPr descr="Courbes de températures mensuelles par régions" title="" id="1" name="Picture"/>
            <a:graphic>
              <a:graphicData uri="http://schemas.openxmlformats.org/drawingml/2006/picture">
                <pic:pic>
                  <pic:nvPicPr>
                    <pic:cNvPr descr="Rapport-Test-Groupe-2_files/figure-docx/graphtemp-1.png" id="0" name="Picture"/>
                    <pic:cNvPicPr>
                      <a:picLocks noChangeArrowheads="1" noChangeAspect="1"/>
                    </pic:cNvPicPr>
                  </pic:nvPicPr>
                  <pic:blipFill>
                    <a:blip r:embed="rId28"/>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Courbes de températures mensuelles par régions</w:t>
      </w:r>
    </w:p>
    <w:p>
      <w:pPr>
        <w:pStyle w:val="BodyText"/>
      </w:pPr>
      <w:r>
        <w:rPr>
          <w:b/>
        </w:rPr>
        <w:t xml:space="preserve">Interpretation</w:t>
      </w:r>
      <w:r>
        <w:t xml:space="preserve">: Nous observons que …………………………………………………………………………………………………………………………………………………………………………………………………………………………………………………………………………………………………………………………………………………………………………………………………………………………………………………………………………………</w:t>
      </w:r>
    </w:p>
    <w:p>
      <w:pPr>
        <w:pStyle w:val="BodyText"/>
      </w:pPr>
      <w:r>
        <w:t xml:space="preserve"> </w:t>
      </w:r>
      <w:r>
        <w:t xml:space="preserve"> </w:t>
      </w:r>
      <w:r>
        <w:t xml:space="preserve">#</w:t>
      </w:r>
      <w:r>
        <w:t xml:space="preserve"> </w:t>
      </w:r>
      <w:r>
        <w:rPr>
          <w:b/>
        </w:rPr>
        <w:t xml:space="preserve">Analyse en Composante Principale</w:t>
      </w:r>
    </w:p>
    <w:p>
      <w:pPr>
        <w:pStyle w:val="Heading2"/>
      </w:pPr>
      <w:bookmarkStart w:id="29" w:name="rappels"/>
      <w:r>
        <w:rPr>
          <w:b/>
        </w:rPr>
        <w:t xml:space="preserve">Rappels</w:t>
      </w:r>
      <w:bookmarkEnd w:id="29"/>
    </w:p>
    <w:p>
      <w:pPr>
        <w:pStyle w:val="FirstParagraph"/>
      </w:pPr>
      <w:r>
        <w:t xml:space="preserve">Une ACP permet d’analyser simulatnément les liens entre de multiples variables quantitatives et d’analyser les positions des individus statistiques vis à vis de l’ensemble de ces variables. Elle est basée sur la recheches d’axes principaux indépendants, chacuns plus ou moins liés aux variables d’entrées. Le première axe explique un maximum d’intertie, le second une moindre partie et ainsi de suite. Pour rappel l’intertie totale se calcul par :</w:t>
      </w:r>
    </w:p>
    <w:p>
      <w:pPr>
        <w:pStyle w:val="BodyText"/>
      </w:pPr>
      <m:oMathPara>
        <m:oMathParaPr>
          <m:jc m:val="center"/>
        </m:oMathParaPr>
        <m:oMath>
          <m:r>
            <m:t>I</m:t>
          </m:r>
          <m:r>
            <m:t>=</m:t>
          </m:r>
          <m:nary>
            <m:naryPr>
              <m:chr m:val="∑"/>
              <m:limLoc m:val="undOvr"/>
              <m:subHide m:val="0"/>
              <m:supHide m:val="0"/>
            </m:naryPr>
            <m:sub>
              <m:r>
                <m:t>i</m:t>
              </m:r>
              <m:r>
                <m:t>=</m:t>
              </m:r>
              <m:r>
                <m:t>1</m:t>
              </m:r>
            </m:sub>
            <m:sup>
              <m:r>
                <m:t>N</m:t>
              </m:r>
            </m:sup>
            <m:e>
              <m:f>
                <m:fPr>
                  <m:type m:val="bar"/>
                </m:fPr>
                <m:num>
                  <m:r>
                    <m:t>1</m:t>
                  </m:r>
                </m:num>
                <m:den>
                  <m:r>
                    <m:t>N</m:t>
                  </m:r>
                </m:den>
              </m:f>
            </m:e>
          </m:nary>
          <m:sSubSup>
            <m:e>
              <m:r>
                <m:t>d</m:t>
              </m:r>
            </m:e>
            <m:sub>
              <m:r>
                <m:t>(</m:t>
              </m:r>
              <m:sSub>
                <m:e>
                  <m:r>
                    <m:t>e</m:t>
                  </m:r>
                </m:e>
                <m:sub>
                  <m:r>
                    <m:t>i</m:t>
                  </m:r>
                </m:sub>
              </m:sSub>
              <m:r>
                <m:t>;</m:t>
              </m:r>
              <m:r>
                <m:t>g</m:t>
              </m:r>
              <m:r>
                <m:t>)</m:t>
              </m:r>
            </m:sub>
            <m:sup>
              <m:r>
                <m:t>2</m:t>
              </m:r>
            </m:sup>
          </m:sSubSup>
        </m:oMath>
      </m:oMathPara>
    </w:p>
    <w:p>
      <w:pPr>
        <w:pStyle w:val="FirstParagraph"/>
      </w:pPr>
      <w:r>
        <w:t xml:space="preserve">Avec :</w:t>
      </w:r>
      <w:r>
        <w:t xml:space="preserve"> </w:t>
      </w:r>
      <m:oMath>
        <m:sSubSup>
          <m:e>
            <m:r>
              <m:t>d</m:t>
            </m:r>
          </m:e>
          <m:sub>
            <m:sSub>
              <m:e>
                <m:r>
                  <m:t>e</m:t>
                </m:r>
              </m:e>
              <m:sub>
                <m:r>
                  <m:t>i</m:t>
                </m:r>
              </m:sub>
            </m:sSub>
            <m:r>
              <m:t>,</m:t>
            </m:r>
            <m:r>
              <m:t>g</m:t>
            </m:r>
          </m:sub>
          <m:sup>
            <m:r>
              <m:t>2</m:t>
            </m:r>
          </m:sup>
        </m:sSubSup>
        <m:r>
          <m:t>=</m:t>
        </m:r>
        <m:nary>
          <m:naryPr>
            <m:chr m:val="∑"/>
            <m:limLoc m:val="undOvr"/>
            <m:subHide m:val="0"/>
            <m:supHide m:val="0"/>
          </m:naryPr>
          <m:sub>
            <m:r>
              <m:t>j</m:t>
            </m:r>
            <m:r>
              <m:t>=</m:t>
            </m:r>
            <m:r>
              <m:t>1</m:t>
            </m:r>
          </m:sub>
          <m:sup>
            <m:r>
              <m:t>p</m:t>
            </m:r>
          </m:sup>
          <m:e>
            <m:sSubSup>
              <m:e>
                <m:r>
                  <m:t>x</m:t>
                </m:r>
              </m:e>
              <m:sub>
                <m:r>
                  <m:t>i</m:t>
                </m:r>
                <m:r>
                  <m:t>j</m:t>
                </m:r>
              </m:sub>
              <m:sup>
                <m:r>
                  <m:t>2</m:t>
                </m:r>
              </m:sup>
            </m:sSubSup>
          </m:e>
        </m:nary>
      </m:oMath>
      <w:r>
        <w:t xml:space="preserve"> </w:t>
      </w:r>
      <w:r>
        <w:t xml:space="preserve">= Distance euclidienne au centre de gravité du nuage de point (soit</w:t>
      </w:r>
      <w:r>
        <w:t xml:space="preserve"> </w:t>
      </w:r>
      <m:oMath>
        <m:r>
          <m:t>(</m:t>
        </m:r>
        <m:r>
          <m:t>0</m:t>
        </m:r>
        <m:r>
          <m:t>;</m:t>
        </m:r>
        <m:r>
          <m:t>0</m:t>
        </m:r>
        <m:r>
          <m:t>)</m:t>
        </m:r>
      </m:oMath>
      <w:r>
        <w:t xml:space="preserve">) avec des données centrée et normées.</w:t>
      </w:r>
    </w:p>
    <w:p>
      <w:pPr>
        <w:pStyle w:val="Heading2"/>
      </w:pPr>
      <w:bookmarkStart w:id="30" w:name="les-valeurs-propres"/>
      <w:r>
        <w:rPr>
          <w:b/>
        </w:rPr>
        <w:t xml:space="preserve">Les valeurs propres</w:t>
      </w:r>
      <w:bookmarkEnd w:id="30"/>
    </w:p>
    <w:p>
      <w:pPr>
        <w:pStyle w:val="FirstParagraph"/>
      </w:pPr>
      <w:r>
        <w:t xml:space="preserve">Elles permettent de determiner la proportion d’intertie expliquée par chacuns des axes.</w:t>
      </w:r>
    </w:p>
    <w:p>
      <w:pPr>
        <w:pStyle w:val="SourceCode"/>
      </w:pPr>
      <w:r>
        <w:rPr>
          <w:rStyle w:val="NormalTok"/>
        </w:rPr>
        <w:t xml:space="preserve">res &lt;-</w:t>
      </w:r>
      <w:r>
        <w:rPr>
          <w:rStyle w:val="StringTok"/>
        </w:rPr>
        <w:t xml:space="preserve"> </w:t>
      </w:r>
      <w:r>
        <w:rPr>
          <w:rStyle w:val="KeywordTok"/>
        </w:rPr>
        <w:t xml:space="preserve">PCA</w:t>
      </w:r>
      <w:r>
        <w:rPr>
          <w:rStyle w:val="NormalTok"/>
        </w:rPr>
        <w:t xml:space="preserve">(datatemp, </w:t>
      </w:r>
      <w:r>
        <w:rPr>
          <w:rStyle w:val="DataTypeTok"/>
        </w:rPr>
        <w:t xml:space="preserve">quanti.sup=</w:t>
      </w:r>
      <w:r>
        <w:rPr>
          <w:rStyle w:val="DecValTok"/>
        </w:rPr>
        <w:t xml:space="preserve">13</w:t>
      </w:r>
      <w:r>
        <w:rPr>
          <w:rStyle w:val="OperatorTok"/>
        </w:rPr>
        <w:t xml:space="preserve">:</w:t>
      </w:r>
      <w:r>
        <w:rPr>
          <w:rStyle w:val="DecValTok"/>
        </w:rPr>
        <w:t xml:space="preserve">16</w:t>
      </w:r>
      <w:r>
        <w:rPr>
          <w:rStyle w:val="NormalTok"/>
        </w:rPr>
        <w:t xml:space="preserve">, </w:t>
      </w:r>
      <w:r>
        <w:rPr>
          <w:rStyle w:val="DataTypeTok"/>
        </w:rPr>
        <w:t xml:space="preserve">quali.sup=</w:t>
      </w:r>
      <w:r>
        <w:rPr>
          <w:rStyle w:val="DecValTok"/>
        </w:rPr>
        <w:t xml:space="preserve">17</w:t>
      </w:r>
      <w:r>
        <w:rPr>
          <w:rStyle w:val="NormalTok"/>
        </w:rPr>
        <w:t xml:space="preserve">,</w:t>
      </w:r>
      <w:r>
        <w:rPr>
          <w:rStyle w:val="DataTypeTok"/>
        </w:rPr>
        <w:t xml:space="preserve">graph=</w:t>
      </w:r>
      <w:r>
        <w:rPr>
          <w:rStyle w:val="NormalTok"/>
        </w:rPr>
        <w:t xml:space="preserve">F)</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barplot</w:t>
      </w:r>
      <w:r>
        <w:rPr>
          <w:rStyle w:val="NormalTok"/>
        </w:rPr>
        <w:t xml:space="preserve">(res</w:t>
      </w:r>
      <w:r>
        <w:rPr>
          <w:rStyle w:val="OperatorTok"/>
        </w:rPr>
        <w:t xml:space="preserve">$</w:t>
      </w:r>
      <w:r>
        <w:rPr>
          <w:rStyle w:val="NormalTok"/>
        </w:rPr>
        <w:t xml:space="preserve">eig[,</w:t>
      </w:r>
      <w:r>
        <w:rPr>
          <w:rStyle w:val="DecValTok"/>
        </w:rPr>
        <w:t xml:space="preserve">2</w:t>
      </w:r>
      <w:r>
        <w:rPr>
          <w:rStyle w:val="NormalTok"/>
        </w:rPr>
        <w:t xml:space="preserve">],</w:t>
      </w:r>
      <w:r>
        <w:rPr>
          <w:rStyle w:val="DataTypeTok"/>
        </w:rPr>
        <w:t xml:space="preserve">ylab=</w:t>
      </w:r>
      <w:r>
        <w:rPr>
          <w:rStyle w:val="StringTok"/>
        </w:rPr>
        <w:t xml:space="preserve">"Inertie %"</w:t>
      </w:r>
      <w:r>
        <w:rPr>
          <w:rStyle w:val="NormalTok"/>
        </w:rPr>
        <w:t xml:space="preserve">,</w:t>
      </w:r>
      <w:r>
        <w:rPr>
          <w:rStyle w:val="DataTypeTok"/>
        </w:rPr>
        <w:t xml:space="preserve">names.arg =</w:t>
      </w:r>
      <w:r>
        <w:rPr>
          <w:rStyle w:val="NormalTok"/>
        </w:rPr>
        <w:t xml:space="preserve"> </w:t>
      </w:r>
      <w:r>
        <w:rPr>
          <w:rStyle w:val="KeywordTok"/>
        </w:rPr>
        <w:t xml:space="preserve">paste</w:t>
      </w:r>
      <w:r>
        <w:rPr>
          <w:rStyle w:val="NormalTok"/>
        </w:rPr>
        <w:t xml:space="preserve">(</w:t>
      </w:r>
      <w:r>
        <w:rPr>
          <w:rStyle w:val="StringTok"/>
        </w:rPr>
        <w:t xml:space="preserve">"Axe"</w:t>
      </w:r>
      <w:r>
        <w:rPr>
          <w:rStyle w:val="NormalTok"/>
        </w:rPr>
        <w:t xml:space="preserve">,</w:t>
      </w:r>
      <w:r>
        <w:rPr>
          <w:rStyle w:val="DecValTok"/>
        </w:rPr>
        <w:t xml:space="preserve">1</w:t>
      </w:r>
      <w:r>
        <w:rPr>
          <w:rStyle w:val="OperatorTok"/>
        </w:rPr>
        <w:t xml:space="preserve">:</w:t>
      </w:r>
      <w:r>
        <w:rPr>
          <w:rStyle w:val="StringTok"/>
        </w:rPr>
        <w:t xml:space="preserve"> </w:t>
      </w:r>
      <w:r>
        <w:rPr>
          <w:rStyle w:val="KeywordTok"/>
        </w:rPr>
        <w:t xml:space="preserve">nrow</w:t>
      </w:r>
      <w:r>
        <w:rPr>
          <w:rStyle w:val="NormalTok"/>
        </w:rPr>
        <w:t xml:space="preserve">(res</w:t>
      </w:r>
      <w:r>
        <w:rPr>
          <w:rStyle w:val="OperatorTok"/>
        </w:rPr>
        <w:t xml:space="preserve">$</w:t>
      </w:r>
      <w:r>
        <w:rPr>
          <w:rStyle w:val="NormalTok"/>
        </w:rPr>
        <w:t xml:space="preserve">eig)),</w:t>
      </w:r>
      <w:r>
        <w:rPr>
          <w:rStyle w:val="DataTypeTok"/>
        </w:rPr>
        <w:t xml:space="preserve">las=</w:t>
      </w:r>
      <w:r>
        <w:rPr>
          <w:rStyle w:val="DecValTok"/>
        </w:rPr>
        <w:t xml:space="preserve">2</w:t>
      </w:r>
      <w:r>
        <w:rPr>
          <w:rStyle w:val="NormalTok"/>
        </w:rPr>
        <w:t xml:space="preserve">,</w:t>
      </w:r>
      <w:r>
        <w:rPr>
          <w:rStyle w:val="DataTypeTok"/>
        </w:rPr>
        <w:t xml:space="preserve">cex.axis=</w:t>
      </w:r>
      <w:r>
        <w:rPr>
          <w:rStyle w:val="FloatTok"/>
        </w:rPr>
        <w:t xml:space="preserve">0.7</w:t>
      </w:r>
      <w:r>
        <w:rPr>
          <w:rStyle w:val="NormalTok"/>
        </w:rPr>
        <w:t xml:space="preserve">,</w:t>
      </w:r>
      <w:r>
        <w:rPr>
          <w:rStyle w:val="DataTypeTok"/>
        </w:rPr>
        <w:t xml:space="preserve">cex.lab=</w:t>
      </w:r>
      <w:r>
        <w:rPr>
          <w:rStyle w:val="FloatTok"/>
        </w:rPr>
        <w:t xml:space="preserve">0.8</w:t>
      </w:r>
      <w:r>
        <w:rPr>
          <w:rStyle w:val="NormalTok"/>
        </w:rPr>
        <w:t xml:space="preserve">)</w:t>
      </w:r>
    </w:p>
    <w:p>
      <w:pPr>
        <w:pStyle w:val="CaptionedFigure"/>
      </w:pPr>
      <w:r>
        <w:drawing>
          <wp:inline>
            <wp:extent cx="5334000" cy="2000250"/>
            <wp:effectExtent b="0" l="0" r="0" t="0"/>
            <wp:docPr descr="Valeurs propres" title="" id="1" name="Picture"/>
            <a:graphic>
              <a:graphicData uri="http://schemas.openxmlformats.org/drawingml/2006/picture">
                <pic:pic>
                  <pic:nvPicPr>
                    <pic:cNvPr descr="Rapport-Test-Groupe-2_files/figure-docx/valp-1.png" id="0" name="Picture"/>
                    <pic:cNvPicPr>
                      <a:picLocks noChangeArrowheads="1" noChangeAspect="1"/>
                    </pic:cNvPicPr>
                  </pic:nvPicPr>
                  <pic:blipFill>
                    <a:blip r:embed="rId31"/>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Valeurs propres</w:t>
      </w:r>
    </w:p>
    <w:p>
      <w:pPr>
        <w:pStyle w:val="BodyText"/>
      </w:pPr>
      <w:r>
        <w:rPr>
          <w:b/>
        </w:rPr>
        <w:t xml:space="preserve">Interpretation</w:t>
      </w:r>
      <w:r>
        <w:t xml:space="preserve">: Nous observons que l’axe 1 explique 79.85</w:t>
      </w:r>
      <m:oMath>
        <m:r>
          <m:t>%</m:t>
        </m:r>
      </m:oMath>
      <w:r>
        <w:t xml:space="preserve"> </w:t>
      </w:r>
      <w:r>
        <w:t xml:space="preserve">de l’intertie totale</w:t>
      </w:r>
      <w:r>
        <w:br/>
      </w:r>
      <w:r>
        <w:t xml:space="preserve">……………………………………………………………………………………………………</w:t>
      </w:r>
      <w:r>
        <w:t xml:space="preserve"> </w:t>
      </w:r>
      <w:r>
        <w:t xml:space="preserve">……………………………………………………………………………………………………</w:t>
      </w:r>
    </w:p>
    <w:p>
      <w:pPr>
        <w:pStyle w:val="Heading2"/>
      </w:pPr>
      <w:bookmarkStart w:id="32" w:name="le-cercle-des-corrélations"/>
      <w:r>
        <w:rPr>
          <w:b/>
        </w:rPr>
        <w:t xml:space="preserve">Le cercle des corrélations</w:t>
      </w:r>
      <w:bookmarkEnd w:id="32"/>
    </w:p>
    <w:p>
      <w:pPr>
        <w:pStyle w:val="FirstParagraph"/>
      </w:pPr>
      <w:r>
        <w:rPr>
          <w:b/>
        </w:rPr>
        <w:t xml:space="preserve">Interpretation</w:t>
      </w:r>
      <w:r>
        <w:t xml:space="preserve">: Nous observons que l’axe 1 est expliqué par ……………………………………………….</w:t>
      </w:r>
      <w:r>
        <w:br/>
      </w:r>
      <w:r>
        <w:t xml:space="preserve">……………………………………………………………………………………………………</w:t>
      </w:r>
      <w:r>
        <w:t xml:space="preserve"> </w:t>
      </w:r>
      <w:r>
        <w:t xml:space="preserve">……………………………………………………………………………………………………</w:t>
      </w:r>
    </w:p>
    <w:p>
      <w:pPr>
        <w:pStyle w:val="SourceCode"/>
      </w:pPr>
      <w:r>
        <w:rPr>
          <w:rStyle w:val="KeywordTok"/>
        </w:rPr>
        <w:t xml:space="preserve">plot.PCA</w:t>
      </w:r>
      <w:r>
        <w:rPr>
          <w:rStyle w:val="NormalTok"/>
        </w:rPr>
        <w:t xml:space="preserve">(res, </w:t>
      </w:r>
      <w:r>
        <w:rPr>
          <w:rStyle w:val="DataTypeTok"/>
        </w:rPr>
        <w:t xml:space="preserve">choix=</w:t>
      </w:r>
      <w:r>
        <w:rPr>
          <w:rStyle w:val="StringTok"/>
        </w:rPr>
        <w:t xml:space="preserve">"var"</w:t>
      </w:r>
      <w:r>
        <w:rPr>
          <w:rStyle w:val="NormalTok"/>
        </w:rPr>
        <w:t xml:space="preserve">,</w:t>
      </w:r>
      <w:r>
        <w:rPr>
          <w:rStyle w:val="DataTypeTok"/>
        </w:rPr>
        <w:t xml:space="preserve">cex.axis=</w:t>
      </w:r>
      <w:r>
        <w:rPr>
          <w:rStyle w:val="FloatTok"/>
        </w:rPr>
        <w:t xml:space="preserve">0.7</w:t>
      </w:r>
      <w:r>
        <w:rPr>
          <w:rStyle w:val="NormalTok"/>
        </w:rPr>
        <w:t xml:space="preserve">,</w:t>
      </w:r>
      <w:r>
        <w:rPr>
          <w:rStyle w:val="DataTypeTok"/>
        </w:rPr>
        <w:t xml:space="preserve">cex.lab=</w:t>
      </w:r>
      <w:r>
        <w:rPr>
          <w:rStyle w:val="FloatTok"/>
        </w:rPr>
        <w:t xml:space="preserve">0.8</w:t>
      </w:r>
      <w:r>
        <w:rPr>
          <w:rStyle w:val="NormalTok"/>
        </w:rPr>
        <w:t xml:space="preserve">)</w:t>
      </w:r>
    </w:p>
    <w:p>
      <w:pPr>
        <w:pStyle w:val="CaptionedFigure"/>
      </w:pPr>
      <w:r>
        <w:drawing>
          <wp:inline>
            <wp:extent cx="4620126" cy="4620126"/>
            <wp:effectExtent b="0" l="0" r="0" t="0"/>
            <wp:docPr descr="Cercle des corrélations" title="" id="1" name="Picture"/>
            <a:graphic>
              <a:graphicData uri="http://schemas.openxmlformats.org/drawingml/2006/picture">
                <pic:pic>
                  <pic:nvPicPr>
                    <pic:cNvPr descr="Rapport-Test-Groupe-2_files/figure-docx/indiv-1.png" id="0" name="Picture"/>
                    <pic:cNvPicPr>
                      <a:picLocks noChangeArrowheads="1" noChangeAspect="1"/>
                    </pic:cNvPicPr>
                  </pic:nvPicPr>
                  <pic:blipFill>
                    <a:blip r:embed="rId3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Cercle des corrélations</w:t>
      </w:r>
    </w:p>
    <w:p>
      <w:pPr>
        <w:pStyle w:val="Heading2"/>
      </w:pPr>
      <w:bookmarkStart w:id="34" w:name="le-nuage-des-individus"/>
      <w:r>
        <w:rPr>
          <w:b/>
        </w:rPr>
        <w:t xml:space="preserve">Le nuage des individus</w:t>
      </w:r>
      <w:bookmarkEnd w:id="34"/>
    </w:p>
    <w:p>
      <w:pPr>
        <w:pStyle w:val="SourceCode"/>
      </w:pPr>
      <w:r>
        <w:rPr>
          <w:rStyle w:val="KeywordTok"/>
        </w:rPr>
        <w:t xml:space="preserve">plot.PCA</w:t>
      </w:r>
      <w:r>
        <w:rPr>
          <w:rStyle w:val="NormalTok"/>
        </w:rPr>
        <w:t xml:space="preserve">(res, </w:t>
      </w:r>
      <w:r>
        <w:rPr>
          <w:rStyle w:val="DataTypeTok"/>
        </w:rPr>
        <w:t xml:space="preserve">choix=</w:t>
      </w:r>
      <w:r>
        <w:rPr>
          <w:rStyle w:val="StringTok"/>
        </w:rPr>
        <w:t xml:space="preserve">"ind"</w:t>
      </w:r>
      <w:r>
        <w:rPr>
          <w:rStyle w:val="NormalTok"/>
        </w:rPr>
        <w:t xml:space="preserve">, </w:t>
      </w:r>
      <w:r>
        <w:rPr>
          <w:rStyle w:val="DataTypeTok"/>
        </w:rPr>
        <w:t xml:space="preserve">habillage=</w:t>
      </w:r>
      <w:r>
        <w:rPr>
          <w:rStyle w:val="DecValTok"/>
        </w:rPr>
        <w:t xml:space="preserve">17</w:t>
      </w:r>
      <w:r>
        <w:rPr>
          <w:rStyle w:val="NormalTok"/>
        </w:rPr>
        <w:t xml:space="preserve">,</w:t>
      </w:r>
      <w:r>
        <w:rPr>
          <w:rStyle w:val="DataTypeTok"/>
        </w:rPr>
        <w:t xml:space="preserve">cex.axis=</w:t>
      </w:r>
      <w:r>
        <w:rPr>
          <w:rStyle w:val="FloatTok"/>
        </w:rPr>
        <w:t xml:space="preserve">0.7</w:t>
      </w:r>
      <w:r>
        <w:rPr>
          <w:rStyle w:val="NormalTok"/>
        </w:rPr>
        <w:t xml:space="preserve">,</w:t>
      </w:r>
      <w:r>
        <w:rPr>
          <w:rStyle w:val="DataTypeTok"/>
        </w:rPr>
        <w:t xml:space="preserve">cex.lab=</w:t>
      </w:r>
      <w:r>
        <w:rPr>
          <w:rStyle w:val="FloatTok"/>
        </w:rPr>
        <w:t xml:space="preserve">0.8</w:t>
      </w:r>
      <w:r>
        <w:rPr>
          <w:rStyle w:val="NormalTok"/>
        </w:rPr>
        <w:t xml:space="preserve">)</w:t>
      </w:r>
    </w:p>
    <w:p>
      <w:pPr>
        <w:pStyle w:val="CaptionedFigure"/>
      </w:pPr>
      <w:r>
        <w:drawing>
          <wp:inline>
            <wp:extent cx="4620126" cy="4620126"/>
            <wp:effectExtent b="0" l="0" r="0" t="0"/>
            <wp:docPr descr="Nuage des individus" title="" id="1" name="Picture"/>
            <a:graphic>
              <a:graphicData uri="http://schemas.openxmlformats.org/drawingml/2006/picture">
                <pic:pic>
                  <pic:nvPicPr>
                    <pic:cNvPr descr="Rapport-Test-Groupe-2_files/figure-docx/circle-1.png" id="0" name="Picture"/>
                    <pic:cNvPicPr>
                      <a:picLocks noChangeArrowheads="1" noChangeAspect="1"/>
                    </pic:cNvPicPr>
                  </pic:nvPicPr>
                  <pic:blipFill>
                    <a:blip r:embed="rId3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Nuage des individus</w:t>
      </w:r>
    </w:p>
    <w:p>
      <w:pPr>
        <w:pStyle w:val="BodyText"/>
      </w:pPr>
      <w:r>
        <w:rPr>
          <w:b/>
        </w:rPr>
        <w:t xml:space="preserve">Interpretation</w:t>
      </w:r>
      <w:r>
        <w:t xml:space="preserve">: Nous observons que les villes du nord ouest se caractérisent par</w:t>
      </w:r>
      <w:r>
        <w:br/>
      </w:r>
      <w:r>
        <w:t xml:space="preserve">……………………………………………………………………………………………………</w:t>
      </w:r>
      <w:r>
        <w:t xml:space="preserve"> </w:t>
      </w:r>
      <w:r>
        <w:t xml:space="preserve">……………………………………………………………………………………………………</w:t>
      </w:r>
      <w:r>
        <w:t xml:space="preserve"> </w:t>
      </w:r>
      <w:r>
        <w:t xml:space="preserve">……………………………………………………………………………………………………</w:t>
      </w:r>
    </w:p>
    <w:p>
      <w:pPr>
        <w:pStyle w:val="BodyText"/>
      </w:pPr>
      <w:r>
        <w:t xml:space="preserve"> </w:t>
      </w:r>
    </w:p>
    <w:p>
      <w:pPr>
        <w:pStyle w:val="Heading2"/>
      </w:pPr>
      <w:bookmarkStart w:id="36" w:name="conclusions"/>
      <w:r>
        <w:rPr>
          <w:b/>
        </w:rPr>
        <w:t xml:space="preserve">Conclusions</w:t>
      </w:r>
      <w:r>
        <w:rPr>
          <w:b/>
        </w:rPr>
        <w:t xml:space="preserve"> </w:t>
      </w:r>
      <w:bookmarkEnd w:id="36"/>
    </w:p>
    <w:p>
      <w:pPr>
        <w:pStyle w:val="FirstParagraph"/>
      </w:pPr>
      <w:r>
        <w:t xml:space="preserve">Les variations mensuelles des température semblent être liées aux différents climats existants en France et plus largement en Europe</w:t>
      </w:r>
      <w:r>
        <w:t xml:space="preserve"> </w:t>
      </w:r>
      <w:r>
        <w:t xml:space="preserve">(Rebetez et al., 2006)</w:t>
      </w:r>
      <w:r>
        <w:t xml:space="preserve">. Néanmoins la France est soumise à des changements climatiques</w:t>
      </w:r>
      <w:r>
        <w:t xml:space="preserve"> </w:t>
      </w:r>
      <w:r>
        <w:t xml:space="preserve">(passés, ex : Moisselin et al., 2002 ; et présents, ex : Lespinas et al., 2010)</w:t>
      </w:r>
      <w:r>
        <w:t xml:space="preserve">. Ceci pourrait fortement impacter les activités agricoles notament la viticulture</w:t>
      </w:r>
      <w:r>
        <w:t xml:space="preserve"> </w:t>
      </w:r>
      <w:r>
        <w:t xml:space="preserve">Cook, Wolkovich (2016)</w:t>
      </w:r>
      <w:r>
        <w:t xml:space="preserve"> </w:t>
      </w:r>
      <w:r>
        <w:t xml:space="preserve">même si</w:t>
      </w:r>
      <w:r>
        <w:t xml:space="preserve"> </w:t>
      </w:r>
      <w:r>
        <w:t xml:space="preserve">Van Leeuwen et al. (2013)</w:t>
      </w:r>
      <w:r>
        <w:t xml:space="preserve"> </w:t>
      </w:r>
      <w:r>
        <w:t xml:space="preserve">suggère que ces changements pourraient ne pas être aussi marqués que prévu.</w:t>
      </w:r>
      <w:r>
        <w:t xml:space="preserve"> </w:t>
      </w:r>
      <w:r>
        <w:t xml:space="preserve">…………………………………………………………………</w:t>
      </w:r>
    </w:p>
    <w:p>
      <w:pPr>
        <w:pStyle w:val="BodyText"/>
      </w:pPr>
      <w:r>
        <w:t xml:space="preserve">…………………………………………………………………</w:t>
      </w:r>
    </w:p>
    <w:p>
      <w:pPr>
        <w:pStyle w:val="Heading1"/>
      </w:pPr>
      <w:bookmarkStart w:id="37" w:name="références"/>
      <w:r>
        <w:rPr>
          <w:b/>
        </w:rPr>
        <w:t xml:space="preserve">Références</w:t>
      </w:r>
      <w:bookmarkEnd w:id="37"/>
    </w:p>
    <w:p>
      <w:pPr>
        <w:pStyle w:val="FirstParagraph"/>
      </w:pPr>
      <w:r>
        <w:rPr>
          <w:i/>
        </w:rPr>
        <w:t xml:space="preserve">Liens</w:t>
      </w:r>
    </w:p>
    <w:p>
      <w:pPr>
        <w:pStyle w:val="BodyText"/>
      </w:pPr>
      <w:hyperlink r:id="rId38">
        <w:r>
          <w:rPr>
            <w:rStyle w:val="Hyperlink"/>
          </w:rPr>
          <w:t xml:space="preserve">http://factominer.free.fr/course/donnees/AnaDo_JeuDonnees_TemperatFrance.csv</w:t>
        </w:r>
      </w:hyperlink>
    </w:p>
    <w:p>
      <w:pPr>
        <w:pStyle w:val="BodyText"/>
      </w:pPr>
      <w:hyperlink r:id="rId22">
        <w:r>
          <w:rPr>
            <w:rStyle w:val="Hyperlink"/>
          </w:rPr>
          <w:t xml:space="preserve">https://husson.github.io/data.html</w:t>
        </w:r>
      </w:hyperlink>
    </w:p>
    <w:p>
      <w:pPr>
        <w:pStyle w:val="BodyText"/>
      </w:pPr>
      <w:r>
        <w:t xml:space="preserve"> </w:t>
      </w:r>
    </w:p>
    <w:p>
      <w:pPr>
        <w:pStyle w:val="BodyText"/>
      </w:pPr>
      <w:r>
        <w:rPr>
          <w:i/>
        </w:rPr>
        <w:t xml:space="preserve">Bibliographie</w:t>
      </w:r>
    </w:p>
    <w:bookmarkStart w:id="44" w:name="refs"/>
    <w:bookmarkStart w:id="39" w:name="ref-cook2016climate"/>
    <w:p>
      <w:pPr>
        <w:pStyle w:val="Bibliography"/>
      </w:pPr>
      <w:r>
        <w:t xml:space="preserve">COOK, Benjamin I et WOLKOVICH, Elizabeth M, 2016. Climate change decouples drought from early wine grape harvests in France. In :</w:t>
      </w:r>
      <w:r>
        <w:t xml:space="preserve"> </w:t>
      </w:r>
      <w:r>
        <w:rPr>
          <w:i/>
        </w:rPr>
        <w:t xml:space="preserve">Nature Climate Change</w:t>
      </w:r>
      <w:r>
        <w:t xml:space="preserve">. 2016. Vol. 6, n° 7, p. 715.</w:t>
      </w:r>
      <w:r>
        <w:t xml:space="preserve"> </w:t>
      </w:r>
    </w:p>
    <w:bookmarkEnd w:id="39"/>
    <w:bookmarkStart w:id="40" w:name="ref-lespinas2010impact"/>
    <w:p>
      <w:pPr>
        <w:pStyle w:val="Bibliography"/>
      </w:pPr>
      <w:r>
        <w:t xml:space="preserve">LESPINAS, Franck, LUDWIG, Wolfgang et HEUSSNER, Serge, 2010. Impact of recent climate change on the hydrology of coastal Mediterranean rivers in Southern France. In :</w:t>
      </w:r>
      <w:r>
        <w:t xml:space="preserve"> </w:t>
      </w:r>
      <w:r>
        <w:rPr>
          <w:i/>
        </w:rPr>
        <w:t xml:space="preserve">Climatic Change</w:t>
      </w:r>
      <w:r>
        <w:t xml:space="preserve">. 2010. Vol. 99, n° 3-4, p. 425‑456.</w:t>
      </w:r>
      <w:r>
        <w:t xml:space="preserve"> </w:t>
      </w:r>
    </w:p>
    <w:bookmarkEnd w:id="40"/>
    <w:bookmarkStart w:id="41" w:name="ref-moisselin2002changements"/>
    <w:p>
      <w:pPr>
        <w:pStyle w:val="Bibliography"/>
      </w:pPr>
      <w:r>
        <w:t xml:space="preserve">MOISSELIN, Jean-Marc, SCHNEIDER, Michel et CANELLAS, Claire, 2002. Les changements climatiques en France au XXè siècle. Etude des longues séries homogénéisées de données de température et de précipitations. In :</w:t>
      </w:r>
      <w:r>
        <w:t xml:space="preserve"> </w:t>
      </w:r>
      <w:r>
        <w:rPr>
          <w:i/>
        </w:rPr>
        <w:t xml:space="preserve">La météorologie</w:t>
      </w:r>
      <w:r>
        <w:t xml:space="preserve">. 2002.</w:t>
      </w:r>
      <w:r>
        <w:t xml:space="preserve"> </w:t>
      </w:r>
    </w:p>
    <w:bookmarkEnd w:id="41"/>
    <w:bookmarkStart w:id="42" w:name="ref-rebetez2006heat"/>
    <w:p>
      <w:pPr>
        <w:pStyle w:val="Bibliography"/>
      </w:pPr>
      <w:r>
        <w:t xml:space="preserve">REBETEZ, Martine, MAYER, Helmut, DUPONT, Olivier, SCHINDLER, Dirk, GARTNER, Karl, KROPP, Jürgen P et MENZEL, Anette, 2006. Heat and drought 2003 in Europe: a climate synthesis. In :</w:t>
      </w:r>
      <w:r>
        <w:t xml:space="preserve"> </w:t>
      </w:r>
      <w:r>
        <w:rPr>
          <w:i/>
        </w:rPr>
        <w:t xml:space="preserve">Annals of Forest Science</w:t>
      </w:r>
      <w:r>
        <w:t xml:space="preserve">. 2006. Vol. 63, n° 6, p. 569‑577.</w:t>
      </w:r>
      <w:r>
        <w:t xml:space="preserve"> </w:t>
      </w:r>
    </w:p>
    <w:bookmarkEnd w:id="42"/>
    <w:bookmarkStart w:id="43" w:name="ref-van2013climate"/>
    <w:p>
      <w:pPr>
        <w:pStyle w:val="Bibliography"/>
      </w:pPr>
      <w:r>
        <w:t xml:space="preserve">VAN LEEUWEN, Cornelis, SCHULTZ, Hans R, CORTAZAR-ATAURI, Iñaki Garcia de, DUCHÊNE, Eric, OLLAT, Nathalie, PIERI, Philippe, BOIS, Benjamin, GOUTOULY, Jean-Pascal, QUÉNOL, Hervé, TOUZARD, Jean-Marc et OTHERS, 2013. Why climate change will not dramatically decrease viticultural suitability in main wine-producing areas by 2050. In :</w:t>
      </w:r>
      <w:r>
        <w:t xml:space="preserve"> </w:t>
      </w:r>
      <w:r>
        <w:rPr>
          <w:i/>
        </w:rPr>
        <w:t xml:space="preserve">Proceedings of the National Academy of Sciences</w:t>
      </w:r>
      <w:r>
        <w:t xml:space="preserve">. 2013. Vol. 110, n° 33, p. E3051‑E3052.</w:t>
      </w:r>
      <w:r>
        <w:t xml:space="preserve"> </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hyperlink" Id="rId38" Target="http://factominer.free.fr/course/donnees/AnaDo_JeuDonnees_TemperatFrance.csv" TargetMode="External" /><Relationship Type="http://schemas.openxmlformats.org/officeDocument/2006/relationships/hyperlink" Id="rId22" Target="https://husson.github.io/data.html" TargetMode="External" /></Relationships>
</file>

<file path=word/_rels/footnotes.xml.rels><?xml version="1.0" encoding="UTF-8"?>
<Relationships xmlns="http://schemas.openxmlformats.org/package/2006/relationships"><Relationship Type="http://schemas.openxmlformats.org/officeDocument/2006/relationships/hyperlink" Id="rId38" Target="http://factominer.free.fr/course/donnees/AnaDo_JeuDonnees_TemperatFrance.csv" TargetMode="External" /><Relationship Type="http://schemas.openxmlformats.org/officeDocument/2006/relationships/hyperlink" Id="rId22" Target="https://husson.github.io/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Compilation de données : R Markdown &amp; GitHub</dc:title>
  <dc:creator>Groupe 2 : Louise ARSAC, Zélie FROMENT, Charlène LAROCHE, Paul SERVAIN, Axel FALIGOT-GIRARDELLI, Juliette MAYER</dc:creator>
  <cp:keywords/>
  <dcterms:created xsi:type="dcterms:W3CDTF">2020-04-29T08:53:17Z</dcterms:created>
  <dcterms:modified xsi:type="dcterms:W3CDTF">2020-04-29T08:53:17Z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biblio2.bib</vt:lpwstr>
  </property>
  <property fmtid="{D5CDD505-2E9C-101B-9397-08002B2CF9AE}" pid="3" name="csl">
    <vt:lpwstr>iso690-author-date-fr-no-abstract.csl</vt:lpwstr>
  </property>
  <property fmtid="{D5CDD505-2E9C-101B-9397-08002B2CF9AE}" pid="4" name="date">
    <vt:lpwstr>29/04/20</vt:lpwstr>
  </property>
  <property fmtid="{D5CDD505-2E9C-101B-9397-08002B2CF9AE}" pid="5" name="output">
    <vt:lpwstr/>
  </property>
</Properties>
</file>