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</w:pPr>
      <w:r>
        <w:rPr>
          <w:rFonts w:ascii="Microsoft YaHei" w:hAnsi="Microsoft YaHei" w:eastAsia="微软雅黑"/>
          <w:b/>
          <w:color w:val="1F2937"/>
          <w:sz w:val="40"/>
        </w:rPr>
        <w:t>A 技术附件（设备、共享入口与 A→C 接线）</w:t>
      </w:r>
    </w:p>
    <w:p>
      <w:pPr>
        <w:widowControl/>
        <w:spacing w:after="120" w:line="288" w:lineRule="auto"/>
      </w:pPr>
      <w:r>
        <w:rPr>
          <w:rFonts w:ascii="Microsoft YaHei" w:hAnsi="Microsoft YaHei" w:eastAsia="微软雅黑"/>
          <w:b w:val="0"/>
          <w:color w:val="1F2937"/>
          <w:sz w:val="20"/>
        </w:rPr>
        <w:t>M03 候选章节，供 B 直接汇编设计文档。软件来源固定 main0e 0e508d147517f81dfe2b9245c45c0c0e30076592（PR82/88 已合并），不是后来 main，也不代表完整 E1、两通知实收、第二机或 M01—M05 已签收。本文只陈述真实已验证范围，未完成项不写成通过；C/B 证据明确归属，不代三方签收。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1F2937"/>
          <w:sz w:val="30"/>
        </w:rPr>
        <w:t>一、范围与非物理试验声明</w:t>
      </w:r>
    </w:p>
    <w:p>
      <w:pPr>
        <w:widowControl/>
        <w:spacing w:after="120" w:line="288" w:lineRule="auto"/>
      </w:pPr>
      <w:r>
        <w:rPr>
          <w:rFonts w:ascii="Microsoft YaHei" w:hAnsi="Microsoft YaHei" w:eastAsia="微软雅黑"/>
          <w:b w:val="0"/>
          <w:color w:val="1F2937"/>
          <w:sz w:val="22"/>
        </w:rPr>
        <w:t>系统面向两座苹果冷库、三批同品种苹果，软件模拟七个测区，每区一个温度采集身份与一个制冷执行身份，共十四个逻辑设备。主要操作包括：注册并绑定设备、查看在线状态、持续查看原始/清洗数据、查询同筛选历史与 CSV、下发制冷命令、核对设备执行 ACK 与后续温度、处置异常并保留追溯。通知须 SMTP 与飞书手机端两个独立渠道授权实收，服务接受不等于终端实收。</w:t>
      </w:r>
    </w:p>
    <w:p>
      <w:pPr>
        <w:widowControl/>
        <w:spacing w:after="120" w:line="288" w:lineRule="auto"/>
      </w:pPr>
      <w:r>
        <w:rPr>
          <w:rFonts w:ascii="Microsoft YaHei" w:hAnsi="Microsoft YaHei" w:eastAsia="微软雅黑"/>
          <w:b w:val="0"/>
          <w:color w:val="1F2937"/>
          <w:sz w:val="22"/>
        </w:rPr>
        <w:t>本项目的温度与制冷数据来自软件模拟，不是实物果品实验；阈值异常不宣称为真实腐败概率。算法是可选加分项，本附件不涉及。项目不要求采购硬件或付费服务器，交付用软件模拟与隔离容器验证。所有涉及“已通过”的表述只对应下方列出的候选与分段证据，不与不同版本测试数相加，也不把隔离回归写成业务现场验收。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1F2937"/>
          <w:sz w:val="30"/>
        </w:rPr>
        <w:t>二、部署与模块分层</w:t>
      </w:r>
    </w:p>
    <w:p>
      <w:pPr>
        <w:pStyle w:val="ListBullet"/>
        <w:widowControl/>
        <w:spacing w:after="120" w:line="288" w:lineRule="auto"/>
      </w:pPr>
      <w:r>
        <w:rPr>
          <w:rFonts w:ascii="Microsoft YaHei" w:hAnsi="Microsoft YaHei" w:eastAsia="微软雅黑"/>
          <w:b w:val="0"/>
          <w:color w:val="1F2937"/>
          <w:sz w:val="22"/>
        </w:rPr>
        <w:t>展示层：React/TypeScript/Vite，公共认证与导航，设备、控制、B 告警、C 数据页面。</w:t>
      </w:r>
    </w:p>
    <w:p>
      <w:pPr>
        <w:pStyle w:val="ListBullet"/>
        <w:widowControl/>
        <w:spacing w:after="120" w:line="288" w:lineRule="auto"/>
      </w:pPr>
      <w:r>
        <w:rPr>
          <w:rFonts w:ascii="Microsoft YaHei" w:hAnsi="Microsoft YaHei" w:eastAsia="微软雅黑"/>
          <w:b w:val="0"/>
          <w:color w:val="1F2937"/>
          <w:sz w:val="22"/>
        </w:rPr>
        <w:t>HTTP 层：FastAPI。backend/app/main.py 仅在总入口加一次 settings.API_V1_STR，backend/app/api/main.py 聚合子路由，不在 alerts 聚合器上再加 /api/v1；设备绑定、控制和遥测子路由复用公共登录权限。</w:t>
      </w:r>
    </w:p>
    <w:p>
      <w:pPr>
        <w:pStyle w:val="ListBullet"/>
        <w:widowControl/>
        <w:spacing w:after="120" w:line="288" w:lineRule="auto"/>
      </w:pPr>
      <w:r>
        <w:rPr>
          <w:rFonts w:ascii="Microsoft YaHei" w:hAnsi="Microsoft YaHei" w:eastAsia="微软雅黑"/>
          <w:b w:val="0"/>
          <w:color w:val="1F2937"/>
          <w:sz w:val="22"/>
        </w:rPr>
        <w:t>感知/执行层：simulator_runtime.py 与 simulator_fleet.py 七测区监督器；每设备独立身份与 MQTT ACL，逐测区 SQLite 只保存模拟器本地执行状态，不是服务器业务数据库。</w:t>
      </w:r>
    </w:p>
    <w:p>
      <w:pPr>
        <w:pStyle w:val="ListBullet"/>
        <w:widowControl/>
        <w:spacing w:after="120" w:line="288" w:lineRule="auto"/>
      </w:pPr>
      <w:r>
        <w:rPr>
          <w:rFonts w:ascii="Microsoft YaHei" w:hAnsi="Microsoft YaHei" w:eastAsia="微软雅黑"/>
          <w:b w:val="0"/>
          <w:color w:val="1F2937"/>
          <w:sz w:val="22"/>
        </w:rPr>
        <w:t>A 服务层：设备注册、心跳与在线离线、控制事务及回执、MQTT 接纳与持久收件队列、有界租约与重试、A→B 设备事件投递。</w:t>
      </w:r>
    </w:p>
    <w:p>
      <w:pPr>
        <w:pStyle w:val="ListBullet"/>
        <w:widowControl/>
        <w:spacing w:after="120" w:line="288" w:lineRule="auto"/>
      </w:pPr>
      <w:r>
        <w:rPr>
          <w:rFonts w:ascii="Microsoft YaHei" w:hAnsi="Microsoft YaHei" w:eastAsia="微软雅黑"/>
          <w:b w:val="0"/>
          <w:color w:val="1F2937"/>
          <w:sz w:val="22"/>
        </w:rPr>
        <w:t>B 服务层：冷库、批次、版本化规则、异常事件、状态变化与通知 attempt。</w:t>
      </w:r>
    </w:p>
    <w:p>
      <w:pPr>
        <w:pStyle w:val="ListBullet"/>
        <w:widowControl/>
        <w:spacing w:after="120" w:line="288" w:lineRule="auto"/>
      </w:pPr>
      <w:r>
        <w:rPr>
          <w:rFonts w:ascii="Microsoft YaHei" w:hAnsi="Microsoft YaHei" w:eastAsia="微软雅黑"/>
          <w:b w:val="0"/>
          <w:color w:val="1F2937"/>
          <w:sz w:val="22"/>
        </w:rPr>
        <w:t>C 服务层：观测 raw 与质量、历史、固定快照分页与 CSV、评价、outbox 与恢复进度。</w:t>
      </w:r>
    </w:p>
    <w:p>
      <w:pPr>
        <w:pStyle w:val="ListBullet"/>
        <w:widowControl/>
        <w:spacing w:after="120" w:line="288" w:lineRule="auto"/>
      </w:pPr>
      <w:r>
        <w:rPr>
          <w:rFonts w:ascii="Microsoft YaHei" w:hAnsi="Microsoft YaHei" w:eastAsia="微软雅黑"/>
          <w:b w:val="0"/>
          <w:color w:val="1F2937"/>
          <w:sz w:val="22"/>
        </w:rPr>
        <w:t>存储层：PostgreSQL 保存设备/控制/A 队列与 B/C 业务；Mosquitto 做设备消息路由。</w:t>
      </w:r>
    </w:p>
    <w:p>
      <w:pPr>
        <w:widowControl/>
        <w:spacing w:after="120" w:line="288" w:lineRule="auto"/>
      </w:pPr>
      <w:r>
        <w:rPr>
          <w:rFonts w:ascii="Microsoft YaHei" w:hAnsi="Microsoft YaHei" w:eastAsia="微软雅黑"/>
          <w:b w:val="0"/>
          <w:color w:val="1F2937"/>
          <w:sz w:val="22"/>
        </w:rPr>
        <w:t>进程启动不等于全部 worker 已运行；容器、进程与数据库需分别验证，不能只靠网页可打开验收。隔离验证在 Windows 上 Docker 容器内进行：Python 3.14.8、PostgreSQL 18、固定摘要Mosquitto，随机专属内部网络与 tmpfs 数据库；不修改宿主 Python，不发布 PG/MQTT 宿主端口。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1F2937"/>
          <w:sz w:val="30"/>
        </w:rPr>
        <w:t>三、数据、控制与恢复路径</w:t>
      </w:r>
    </w:p>
    <w:p>
      <w:pPr>
        <w:widowControl/>
        <w:spacing w:after="120" w:line="288" w:lineRule="auto"/>
      </w:pPr>
      <w:r>
        <w:rPr>
          <w:rFonts w:ascii="Microsoft YaHei" w:hAnsi="Microsoft YaHei" w:eastAsia="微软雅黑"/>
          <w:b w:val="0"/>
          <w:color w:val="1F2937"/>
          <w:sz w:val="22"/>
        </w:rPr>
        <w:t>遥测链：设备温度消息 → A 校验身份/绑定并持久接纳 → C 同事务保存 raw/质量/观测 → 历史页面与同快照 CSV → 调用方选择 B 生效历史规则 → C 门禁候选与持久 outbox → B 摄取接口接受、来源摘要回读与追溯 → 已提交事件通知派发 → SMTP 与飞书终端分别实收（末两步仍未签收）。同筛选 CSV 与页面/历史集合按完整 ID 对拍，不是只比条数或 Mock 响应。</w:t>
      </w:r>
    </w:p>
    <w:p>
      <w:pPr>
        <w:widowControl/>
        <w:spacing w:after="120" w:line="288" w:lineRule="auto"/>
      </w:pPr>
      <w:r>
        <w:rPr>
          <w:rFonts w:ascii="Microsoft YaHei" w:hAnsi="Microsoft YaHei" w:eastAsia="微软雅黑"/>
          <w:b w:val="0"/>
          <w:color w:val="1F2937"/>
          <w:sz w:val="22"/>
        </w:rPr>
        <w:t>控制链：登录用户下发 → 持久命令/尝试 → MQTT 执行设备 → 设备事务保存执行结果并返回原ACK → 服务端回执 → 后续温度采样反映制冷效果。仅创建命令、MQTT publish 成功或页面显示“发送”都不能写成已执行；设备 ACK 之后有新的温度数据才称执行闭环。同版十四设备为两库三批、14 在线、7 采集流、7 执行器 ACK 后降温、14 离线恢复追溯、重启不重发；其中多批高温候选经鉴权 ASGI HTTP 写入 B 并回读批次/规则版本匹配，ASGI 不是 TCP。控制实测温度下降（如 10.003187 → 9.851915 °C）是短时软件仿真，只证明 ACK 后数据变化，不是实物制冷或已降到恢复阈值。</w:t>
      </w:r>
    </w:p>
    <w:p>
      <w:pPr>
        <w:widowControl/>
        <w:spacing w:after="120" w:line="288" w:lineRule="auto"/>
      </w:pPr>
      <w:r>
        <w:rPr>
          <w:rFonts w:ascii="Microsoft YaHei" w:hAnsi="Microsoft YaHei" w:eastAsia="微软雅黑"/>
          <w:b w:val="0"/>
          <w:color w:val="1F2937"/>
          <w:sz w:val="22"/>
        </w:rPr>
        <w:t>恢复路径（main0e 受保护恢复后台发送候选）：RecoveryDeliveryWorker 轮转发现每页最多14 条到期恢复，在已核对设备/绑定/epoch 范围内，由 C 在同一 Connection/事务中锁设备、重验完整前沿、保存证据并 CAS 领取；外层提交失败绝不传出临时 claim，提交成功且连接已释放后才调用 C 的已领取发送口，该口重新确认当前租约、查 B 同来源、必要时 POST、核对原异常已 resolved 再作 fenced 回执。独立 TCP 进程实际领取并回读原异常 resolved，重启一次不重复投递、原正文/hash 不变、attempt=1；迟到更正由独立进程完成 B 双 ID 追溯。此角色显式选择 deliver-recovery 并提供 --confirm-recovery-contract 才启动，不发送 SMTP/飞书。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1F2937"/>
          <w:sz w:val="30"/>
        </w:rPr>
        <w:t>四、事务、权限与追溯</w:t>
      </w:r>
    </w:p>
    <w:p>
      <w:pPr>
        <w:widowControl/>
        <w:spacing w:after="120" w:line="288" w:lineRule="auto"/>
      </w:pPr>
      <w:r>
        <w:rPr>
          <w:rFonts w:ascii="Microsoft YaHei" w:hAnsi="Microsoft YaHei" w:eastAsia="微软雅黑"/>
          <w:b w:val="0"/>
          <w:color w:val="1F2937"/>
          <w:sz w:val="22"/>
        </w:rPr>
        <w:t>A 提供的 begin_evidence_write 要求 C 使用同一调用方 Connection 在写前取得同设备门禁、写后保存冻结戳；没有覆盖所有写入口就不能启用自动恢复。网络派发不放在持数据库锁的事务内。A 保留原异常行锁、锁后重读、单调状态时间、事务失败回滚与 HTTP 503+Retry-After。设备采用逐设备账户/ACL，生产默认 TLS；隔离证明的明文 Broker 只在随机内部网络。</w:t>
      </w:r>
    </w:p>
    <w:p>
      <w:pPr>
        <w:widowControl/>
        <w:spacing w:after="120" w:line="288" w:lineRule="auto"/>
      </w:pPr>
      <w:r>
        <w:rPr>
          <w:rFonts w:ascii="Microsoft YaHei" w:hAnsi="Microsoft YaHei" w:eastAsia="微软雅黑"/>
          <w:b w:val="0"/>
          <w:color w:val="1F2937"/>
          <w:sz w:val="22"/>
        </w:rPr>
        <w:t>登录权限、摄取权限、设备身份与通知收件授权分别验证，不互相替代。异常恢复要求完整可信窗口、关联原异常、重放/并发安全与晚到证据处理；不完整或停机缺口不能判正常，恢复关闭异常也不删除原始超温与历史暴露。已有 attempt 的冻结恢复遇到新前沿时 C 仍保守 held，不重写证据；本轮未证明所有延迟/新接收交错都能自动收敛，held 状态不写成恢复成功。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1F2937"/>
          <w:sz w:val="30"/>
        </w:rPr>
        <w:t>五、数据库与 ER 来源</w:t>
      </w:r>
    </w:p>
    <w:p>
      <w:pPr>
        <w:widowControl/>
        <w:spacing w:after="120" w:line="288" w:lineRule="auto"/>
      </w:pPr>
      <w:r>
        <w:rPr>
          <w:rFonts w:ascii="Microsoft YaHei" w:hAnsi="Microsoft YaHei" w:eastAsia="微软雅黑"/>
          <w:b w:val="0"/>
          <w:color w:val="1F2937"/>
          <w:sz w:val="22"/>
        </w:rPr>
        <w:t>共同源码唯一迁移链为 A03→B01→A04→A05→C01，C01 是唯一 head，不是平行建表。在专属空库实际升级并通过 model check 后，只读反射得到 33 张表；本附件不做第二次反射，直接引用docs/submission/design/ 已核对的图件与清单，33 表反射比较显示 changed_table_definitions为空（无 schema 变化）。三张核心 ER 图只展示 19 个核心实体、17 条已逐项与实际数据库外键核对的边，完整字段见数据字典 docs/submission/design/DATA-DICTIONARY.md，边见docs/submission/design/er-edges.json。</w:t>
      </w:r>
    </w:p>
    <w:p>
      <w:pPr>
        <w:widowControl/>
        <w:spacing w:after="120" w:line="288" w:lineRule="auto"/>
      </w:pPr>
      <w:r>
        <w:rPr>
          <w:rFonts w:ascii="Microsoft YaHei" w:hAnsi="Microsoft YaHei" w:eastAsia="微软雅黑"/>
          <w:b w:val="0"/>
          <w:color w:val="1F2937"/>
          <w:sz w:val="22"/>
        </w:rPr>
        <w:t>关键关系：心跳/冲突/在线事件和 iot_command 通过外键引用 iot_device，命令设备外键删除策略为 RESTRICT；iot_command_attempt/iot_command_receipt 引用 iot_command，删除策略为 CASCADE；alerts_warehouse → alerts_batch → alerts_batch_rule_snapshot；alerts_event → alerts_status_transition/alerts_notification_attempt；C 质量、接收/评价、outbox 与快照成员按边清单中的外键关联到观测；接收重用审计行关联原接收记录。iot_device.warehouse_id、C 观测的设备/冷库 UUID、outbox 与 B 来源等属业务逻辑引用而非数据库外键，不按字段同名擅自补线。这些表由三人各自模块共建，33 表并非全为 A 开发。图见docs/submission/design/tikz_architecture.png、tikz_er_a.png、tikz_er_b.png、tikz_er_c.png，均为实际编译渲染；最终冻结版若有模式变更须重新反射与出图，不能只替换SHA 标签。</w:t>
      </w:r>
    </w:p>
    <w:p>
      <w:pPr>
        <w:pStyle w:val="Heading2"/>
        <w:keepNext/>
      </w:pPr>
      <w:r>
        <w:rPr>
          <w:rFonts w:ascii="Microsoft YaHei" w:hAnsi="Microsoft YaHei" w:eastAsia="微软雅黑"/>
          <w:b/>
          <w:color w:val="1F2937"/>
          <w:sz w:val="30"/>
        </w:rPr>
        <w:t>六、已实测与仍未验收</w:t>
      </w:r>
    </w:p>
    <w:p>
      <w:pPr>
        <w:widowControl/>
        <w:spacing w:after="120" w:line="288" w:lineRule="auto"/>
      </w:pPr>
      <w:r>
        <w:rPr>
          <w:rFonts w:ascii="Microsoft YaHei" w:hAnsi="Microsoft YaHei" w:eastAsia="微软雅黑"/>
          <w:b w:val="0"/>
          <w:color w:val="1F2937"/>
          <w:sz w:val="22"/>
        </w:rPr>
        <w:t>结论按验证层级区分，不同 SHA 分别说明，不加总：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175"/>
        <w:gridCol w:w="4195"/>
      </w:tblGrid>
      <w:tr>
        <w:trPr>
          <w:cantSplit/>
          <w:tblHeader/>
        </w:trPr>
        <w:tc>
          <w:tcPr>
            <w:tcW w:type="dxa" w:w="1701"/>
          </w:tcPr>
          <w:p>
            <w:pPr>
              <w:spacing w:after="60" w:line="264" w:lineRule="auto"/>
            </w:pPr>
            <w:r>
              <w:rPr>
                <w:rFonts w:ascii="Microsoft YaHei" w:hAnsi="Microsoft YaHei" w:eastAsia="微软雅黑"/>
                <w:b/>
                <w:color w:val="1F2937"/>
                <w:sz w:val="19"/>
              </w:rPr>
              <w:t>验证项</w:t>
            </w:r>
          </w:p>
        </w:tc>
        <w:tc>
          <w:tcPr>
            <w:tcW w:type="dxa" w:w="3175"/>
          </w:tcPr>
          <w:p>
            <w:pPr>
              <w:spacing w:after="60" w:line="264" w:lineRule="auto"/>
            </w:pPr>
            <w:r>
              <w:rPr>
                <w:rFonts w:ascii="Microsoft YaHei" w:hAnsi="Microsoft YaHei" w:eastAsia="微软雅黑"/>
                <w:b/>
                <w:color w:val="1F2937"/>
                <w:sz w:val="19"/>
              </w:rPr>
              <w:t>实际结果</w:t>
            </w:r>
          </w:p>
        </w:tc>
        <w:tc>
          <w:tcPr>
            <w:tcW w:type="dxa" w:w="4195"/>
          </w:tcPr>
          <w:p>
            <w:pPr>
              <w:spacing w:after="60" w:line="264" w:lineRule="auto"/>
            </w:pPr>
            <w:r>
              <w:rPr>
                <w:rFonts w:ascii="Microsoft YaHei" w:hAnsi="Microsoft YaHei" w:eastAsia="微软雅黑"/>
                <w:b/>
                <w:color w:val="1F2937"/>
                <w:sz w:val="19"/>
              </w:rPr>
              <w:t>证据与边界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line="264" w:lineRule="auto"/>
            </w:pPr>
            <w:r>
              <w:rPr>
                <w:rFonts w:ascii="Microsoft YaHei" w:hAnsi="Microsoft YaHei" w:eastAsia="微软雅黑"/>
                <w:b w:val="0"/>
                <w:color w:val="1F2937"/>
                <w:sz w:val="19"/>
              </w:rPr>
              <w:t>后端回归</w:t>
            </w:r>
          </w:p>
        </w:tc>
        <w:tc>
          <w:tcPr>
            <w:tcW w:type="dxa" w:w="3175"/>
          </w:tcPr>
          <w:p>
            <w:pPr>
              <w:spacing w:after="60" w:line="264" w:lineRule="auto"/>
            </w:pPr>
            <w:r>
              <w:rPr>
                <w:rFonts w:ascii="Microsoft YaHei" w:hAnsi="Microsoft YaHei" w:eastAsia="微软雅黑"/>
                <w:b w:val="0"/>
                <w:color w:val="1F2937"/>
                <w:sz w:val="19"/>
              </w:rPr>
              <w:t>本地 1446 passed / 0 skipped / 91%；适用云端 1444 / 2 分别列</w:t>
            </w:r>
          </w:p>
        </w:tc>
        <w:tc>
          <w:tcPr>
            <w:tcW w:type="dxa" w:w="4195"/>
          </w:tcPr>
          <w:p>
            <w:pPr>
              <w:spacing w:after="60" w:line="264" w:lineRule="auto"/>
            </w:pPr>
            <w:r>
              <w:rPr>
                <w:rFonts w:ascii="Microsoft YaHei" w:hAnsi="Microsoft YaHei" w:eastAsia="微软雅黑"/>
                <w:b w:val="0"/>
                <w:color w:val="1F2937"/>
                <w:sz w:val="19"/>
              </w:rPr>
              <w:t>work/a01-tests-20261026222407-79444/pytest.xml；XML 汇总 tests=1755 含 subTests，不当新增用例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line="264" w:lineRule="auto"/>
            </w:pPr>
            <w:r>
              <w:rPr>
                <w:rFonts w:ascii="Microsoft YaHei" w:hAnsi="Microsoft YaHei" w:eastAsia="微软雅黑"/>
                <w:b w:val="0"/>
                <w:color w:val="1F2937"/>
                <w:sz w:val="19"/>
              </w:rPr>
              <w:t>受保护恢复后台 TCP</w:t>
            </w:r>
          </w:p>
        </w:tc>
        <w:tc>
          <w:tcPr>
            <w:tcW w:type="dxa" w:w="3175"/>
          </w:tcPr>
          <w:p>
            <w:pPr>
              <w:spacing w:after="60" w:line="264" w:lineRule="auto"/>
            </w:pPr>
            <w:r>
              <w:rPr>
                <w:rFonts w:ascii="Microsoft YaHei" w:hAnsi="Microsoft YaHei" w:eastAsia="微软雅黑"/>
                <w:b w:val="0"/>
                <w:color w:val="1F2937"/>
                <w:sz w:val="19"/>
              </w:rPr>
              <w:t>独立进程 CAS 领取并回读原异常 resolved，重启不重发、attempt=1</w:t>
            </w:r>
          </w:p>
        </w:tc>
        <w:tc>
          <w:tcPr>
            <w:tcW w:type="dxa" w:w="4195"/>
          </w:tcPr>
          <w:p>
            <w:pPr>
              <w:spacing w:after="60" w:line="264" w:lineRule="auto"/>
            </w:pPr>
            <w:r>
              <w:rPr>
                <w:rFonts w:ascii="Microsoft YaHei" w:hAnsi="Microsoft YaHei" w:eastAsia="微软雅黑"/>
                <w:b w:val="0"/>
                <w:color w:val="1F2937"/>
                <w:sz w:val="19"/>
              </w:rPr>
              <w:t>work/gated-a9aed80a7c84448d89612ba511419db9/runtime-composition.json，source_revision 1c85ae2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line="264" w:lineRule="auto"/>
            </w:pPr>
            <w:r>
              <w:rPr>
                <w:rFonts w:ascii="Microsoft YaHei" w:hAnsi="Microsoft YaHei" w:eastAsia="微软雅黑"/>
                <w:b w:val="0"/>
                <w:color w:val="1F2937"/>
                <w:sz w:val="19"/>
              </w:rPr>
              <w:t>同版十四设备分段</w:t>
            </w:r>
          </w:p>
        </w:tc>
        <w:tc>
          <w:tcPr>
            <w:tcW w:type="dxa" w:w="3175"/>
          </w:tcPr>
          <w:p>
            <w:pPr>
              <w:spacing w:after="60" w:line="264" w:lineRule="auto"/>
            </w:pPr>
            <w:r>
              <w:rPr>
                <w:rFonts w:ascii="Microsoft YaHei" w:hAnsi="Microsoft YaHei" w:eastAsia="微软雅黑"/>
                <w:b w:val="0"/>
                <w:color w:val="1F2937"/>
                <w:sz w:val="19"/>
              </w:rPr>
              <w:t>两库三批、14 在线、7 采集流、7 执行器 ACK 后降温、14 离线恢复、重启不重发、同快照 CSV 对拍</w:t>
            </w:r>
          </w:p>
        </w:tc>
        <w:tc>
          <w:tcPr>
            <w:tcW w:type="dxa" w:w="4195"/>
          </w:tcPr>
          <w:p>
            <w:pPr>
              <w:spacing w:after="60" w:line="264" w:lineRule="auto"/>
            </w:pPr>
            <w:r>
              <w:rPr>
                <w:rFonts w:ascii="Microsoft YaHei" w:hAnsi="Microsoft YaHei" w:eastAsia="微软雅黑"/>
                <w:b w:val="0"/>
                <w:color w:val="1F2937"/>
                <w:sz w:val="19"/>
              </w:rPr>
              <w:t>work/gated-fleet-7cc435cc846e4b25935d311fa624ca8d/gated-fleet.json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line="264" w:lineRule="auto"/>
            </w:pPr>
            <w:r>
              <w:rPr>
                <w:rFonts w:ascii="Microsoft YaHei" w:hAnsi="Microsoft YaHei" w:eastAsia="微软雅黑"/>
                <w:b w:val="0"/>
                <w:color w:val="1F2937"/>
                <w:sz w:val="19"/>
              </w:rPr>
              <w:t>应用镜像归档</w:t>
            </w:r>
          </w:p>
        </w:tc>
        <w:tc>
          <w:tcPr>
            <w:tcW w:type="dxa" w:w="3175"/>
          </w:tcPr>
          <w:p>
            <w:pPr>
              <w:spacing w:after="60" w:line="264" w:lineRule="auto"/>
            </w:pPr>
            <w:r>
              <w:rPr>
                <w:rFonts w:ascii="Microsoft YaHei" w:hAnsi="Microsoft YaHei" w:eastAsia="微软雅黑"/>
                <w:b w:val="0"/>
                <w:color w:val="1F2937"/>
                <w:sz w:val="19"/>
              </w:rPr>
              <w:t>540475904 字节，sha256 f7a5e3d5…bc0b806；默认 CMD 真实 HTTP 健康/登录/注册/重复拒绝/详情通过</w:t>
            </w:r>
          </w:p>
        </w:tc>
        <w:tc>
          <w:tcPr>
            <w:tcW w:type="dxa" w:w="4195"/>
          </w:tcPr>
          <w:p>
            <w:pPr>
              <w:spacing w:after="60" w:line="264" w:lineRule="auto"/>
            </w:pPr>
            <w:r>
              <w:rPr>
                <w:rFonts w:ascii="Microsoft YaHei" w:hAnsi="Microsoft YaHei" w:eastAsia="微软雅黑"/>
                <w:b w:val="0"/>
                <w:color w:val="1F2937"/>
                <w:sz w:val="19"/>
              </w:rPr>
              <w:t>work/image-archive-20261026231221-351a4765a356/image-archive.json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 w:line="264" w:lineRule="auto"/>
            </w:pPr>
            <w:r>
              <w:rPr>
                <w:rFonts w:ascii="Microsoft YaHei" w:hAnsi="Microsoft YaHei" w:eastAsia="微软雅黑"/>
                <w:b w:val="0"/>
                <w:color w:val="1F2937"/>
                <w:sz w:val="19"/>
              </w:rPr>
              <w:t>33 表反射</w:t>
            </w:r>
          </w:p>
        </w:tc>
        <w:tc>
          <w:tcPr>
            <w:tcW w:type="dxa" w:w="3175"/>
          </w:tcPr>
          <w:p>
            <w:pPr>
              <w:spacing w:after="60" w:line="264" w:lineRule="auto"/>
            </w:pPr>
            <w:r>
              <w:rPr>
                <w:rFonts w:ascii="Microsoft YaHei" w:hAnsi="Microsoft YaHei" w:eastAsia="微软雅黑"/>
                <w:b w:val="0"/>
                <w:color w:val="1F2937"/>
                <w:sz w:val="19"/>
              </w:rPr>
              <w:t>无 schema 变化</w:t>
            </w:r>
          </w:p>
        </w:tc>
        <w:tc>
          <w:tcPr>
            <w:tcW w:type="dxa" w:w="4195"/>
          </w:tcPr>
          <w:p>
            <w:pPr>
              <w:spacing w:after="60" w:line="264" w:lineRule="auto"/>
            </w:pPr>
            <w:r>
              <w:rPr>
                <w:rFonts w:ascii="Microsoft YaHei" w:hAnsi="Microsoft YaHei" w:eastAsia="微软雅黑"/>
                <w:b w:val="0"/>
                <w:color w:val="1F2937"/>
                <w:sz w:val="19"/>
              </w:rPr>
              <w:t>work/notify-subset-c97d15c346fa49f2b2d845a49ec2425c/design-schema-comparison.json</w:t>
            </w:r>
          </w:p>
        </w:tc>
      </w:tr>
    </w:tbl>
    <w:p>
      <w:pPr>
        <w:widowControl/>
        <w:spacing w:after="120" w:line="288" w:lineRule="auto"/>
      </w:pPr>
      <w:r>
        <w:rPr>
          <w:rFonts w:ascii="Microsoft YaHei" w:hAnsi="Microsoft YaHei" w:eastAsia="微软雅黑"/>
          <w:b w:val="0"/>
          <w:color w:val="1F2937"/>
          <w:sz w:val="22"/>
        </w:rPr>
        <w:t>仍未验收（不写成通过）：SMTP 与飞书手机端两渠道授权实收、同一冻结版本完整 E1、最终同版第二机复现、已证恢复/多批分段的同版联合验收、M01—M05 汇编与实际参赛投递。受控规则切换（测试专用 1°C 阈值）是工程验证，不是果品温度真实升高；notifications_sent=0、complete_e1=false。文档与代码编写使用了辅助工具，按赛事要求如实披露，不把辅助过程写成纯人工开发经历。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