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FA6F5E">
      <w:pPr>
        <w:jc w:val="cente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Assignment4</w:t>
      </w:r>
    </w:p>
    <w:p w14:paraId="47CB0132">
      <w:pPr>
        <w:numPr>
          <w:ilvl w:val="0"/>
          <w:numId w:val="1"/>
        </w:numPr>
        <w:rPr>
          <w:rFonts w:hint="default" w:ascii="Times New Roman" w:hAnsi="Times New Roman" w:eastAsia="Segoe UI" w:cs="Times New Roman"/>
          <w:i w:val="0"/>
          <w:iCs w:val="0"/>
          <w:caps w:val="0"/>
          <w:color w:val="0F1115"/>
          <w:spacing w:val="0"/>
          <w:sz w:val="21"/>
          <w:szCs w:val="21"/>
          <w:shd w:val="clear" w:fill="FFFFFF"/>
        </w:rPr>
      </w:pPr>
      <w:r>
        <w:rPr>
          <w:rFonts w:hint="default" w:ascii="Times New Roman" w:hAnsi="Times New Roman" w:eastAsia="Segoe UI" w:cs="Times New Roman"/>
          <w:i w:val="0"/>
          <w:iCs w:val="0"/>
          <w:caps w:val="0"/>
          <w:color w:val="0F1115"/>
          <w:spacing w:val="0"/>
          <w:sz w:val="21"/>
          <w:szCs w:val="21"/>
          <w:shd w:val="clear" w:fill="FFFFFF"/>
        </w:rPr>
        <w:t>Serverless computing primarily aims to solve the operational overhead and resource inefficiency inherent in managing traditional microservices on Kubernetes by abstracting away the underlying infrastructure and server management, enabling a true pay-per-use model where resources are allocated dynamically only when code is executing. A clear advantage for serverless is in event-driven, bursty workloads like an image processing service triggered by file uploads, where it can scale from zero to handle massive traffic spikes and scale back to zero to incur no cost during idle periods; however, for a high-throughput, consistently busy API backend, serverless may be a poor fit due to potential cold-start latency and higher cumulative cost compared to maintaining a set of always-on replicas in a Kubernetes deployment.</w:t>
      </w:r>
    </w:p>
    <w:p w14:paraId="119740A7">
      <w:pPr>
        <w:numPr>
          <w:numId w:val="0"/>
        </w:numPr>
        <w:rPr>
          <w:rFonts w:hint="default" w:ascii="Times New Roman" w:hAnsi="Times New Roman" w:eastAsia="Segoe UI" w:cs="Times New Roman"/>
          <w:i w:val="0"/>
          <w:iCs w:val="0"/>
          <w:caps w:val="0"/>
          <w:color w:val="0F1115"/>
          <w:spacing w:val="0"/>
          <w:sz w:val="21"/>
          <w:szCs w:val="21"/>
          <w:shd w:val="clear" w:fill="FFFFFF"/>
        </w:rPr>
      </w:pPr>
    </w:p>
    <w:p w14:paraId="1E89A390">
      <w:pPr>
        <w:numPr>
          <w:ilvl w:val="0"/>
          <w:numId w:val="1"/>
        </w:numPr>
        <w:rPr>
          <w:rFonts w:hint="default" w:ascii="Times New Roman" w:hAnsi="Times New Roman" w:eastAsia="Segoe UI" w:cs="Times New Roman"/>
          <w:i w:val="0"/>
          <w:iCs w:val="0"/>
          <w:caps w:val="0"/>
          <w:color w:val="0F1115"/>
          <w:spacing w:val="0"/>
          <w:sz w:val="21"/>
          <w:szCs w:val="21"/>
          <w:shd w:val="clear" w:fill="FFFFFF"/>
          <w:lang w:val="en-US" w:eastAsia="zh-CN"/>
        </w:rPr>
      </w:pPr>
      <w:r>
        <w:rPr>
          <w:rFonts w:hint="default" w:ascii="Times New Roman" w:hAnsi="Times New Roman" w:eastAsia="Segoe UI" w:cs="Times New Roman"/>
          <w:i w:val="0"/>
          <w:iCs w:val="0"/>
          <w:caps w:val="0"/>
          <w:color w:val="0F1115"/>
          <w:spacing w:val="0"/>
          <w:sz w:val="21"/>
          <w:szCs w:val="21"/>
          <w:shd w:val="clear" w:fill="FFFFFF"/>
          <w:lang w:val="en-US" w:eastAsia="zh-CN"/>
        </w:rPr>
        <w:t>A service mesh like Istio provides significant advantages over basic Kubernetes networking by introducing a dedicated data and control plane that delivers sophisticated traffic management, enhanced resilience, and deep observability at the application layer (L7). While Kubernetes offers fundamental service discovery and round-robin load balancing, Istio enables fine-grained control for canary deployments, automatic retries with budgets, circuit breaking to prevent cascading failures, and detailed telemetry for all service-to-service communication, all without requiring changes to the application code itself.</w:t>
      </w:r>
    </w:p>
    <w:p w14:paraId="14A367FD">
      <w:pPr>
        <w:numPr>
          <w:numId w:val="0"/>
        </w:numPr>
        <w:rPr>
          <w:rFonts w:hint="default" w:ascii="Times New Roman" w:hAnsi="Times New Roman" w:eastAsia="Segoe UI" w:cs="Times New Roman"/>
          <w:i w:val="0"/>
          <w:iCs w:val="0"/>
          <w:caps w:val="0"/>
          <w:color w:val="0F1115"/>
          <w:spacing w:val="0"/>
          <w:sz w:val="21"/>
          <w:szCs w:val="21"/>
          <w:shd w:val="clear" w:fill="FFFFFF"/>
          <w:lang w:val="en-US" w:eastAsia="zh-CN"/>
        </w:rPr>
      </w:pPr>
    </w:p>
    <w:p w14:paraId="6A1FBA08">
      <w:pPr>
        <w:numPr>
          <w:ilvl w:val="0"/>
          <w:numId w:val="1"/>
        </w:numPr>
        <w:rPr>
          <w:rFonts w:hint="default" w:ascii="Times New Roman" w:hAnsi="Times New Roman" w:eastAsia="Segoe UI" w:cs="Times New Roman"/>
          <w:i w:val="0"/>
          <w:iCs w:val="0"/>
          <w:caps w:val="0"/>
          <w:color w:val="0F1115"/>
          <w:spacing w:val="0"/>
          <w:sz w:val="21"/>
          <w:szCs w:val="21"/>
          <w:shd w:val="clear" w:fill="FFFFFF"/>
          <w:lang w:val="en-US" w:eastAsia="zh-CN"/>
        </w:rPr>
      </w:pPr>
      <w:r>
        <w:rPr>
          <w:rFonts w:hint="default" w:ascii="Times New Roman" w:hAnsi="Times New Roman" w:eastAsia="Segoe UI" w:cs="Times New Roman"/>
          <w:i w:val="0"/>
          <w:iCs w:val="0"/>
          <w:caps w:val="0"/>
          <w:color w:val="0F1115"/>
          <w:spacing w:val="0"/>
          <w:sz w:val="21"/>
          <w:szCs w:val="21"/>
          <w:shd w:val="clear" w:fill="FFFFFF"/>
          <w:lang w:val="en-US" w:eastAsia="zh-CN"/>
        </w:rPr>
        <w:t>A sidecar proxy, such as Envoy in Istio, is a companion container deployed alongside the application container within the same Kubernetes Pod, and it functions by intercepting and managing all inbound and outbound network traffic for the application. It is a fundamental component of the service mesh data plane because it decouples complex networking logic like service discovery, load balancing, TLS encryption, and observability data collection from the application, allowing developers to focus on business logic while enabling operators to enforce consistent policies for security, reliability, and traffic control across all services uniformly.</w:t>
      </w:r>
    </w:p>
    <w:p w14:paraId="4B45F549">
      <w:pPr>
        <w:numPr>
          <w:numId w:val="0"/>
        </w:numPr>
        <w:rPr>
          <w:rFonts w:hint="default" w:ascii="Times New Roman" w:hAnsi="Times New Roman" w:eastAsia="Segoe UI" w:cs="Times New Roman"/>
          <w:i w:val="0"/>
          <w:iCs w:val="0"/>
          <w:caps w:val="0"/>
          <w:color w:val="0F1115"/>
          <w:spacing w:val="0"/>
          <w:sz w:val="21"/>
          <w:szCs w:val="21"/>
          <w:shd w:val="clear" w:fill="FFFFFF"/>
          <w:lang w:val="en-US" w:eastAsia="zh-CN"/>
        </w:rPr>
      </w:pPr>
    </w:p>
    <w:p w14:paraId="39776EC7">
      <w:pPr>
        <w:numPr>
          <w:ilvl w:val="0"/>
          <w:numId w:val="1"/>
        </w:numPr>
        <w:rPr>
          <w:rFonts w:hint="default" w:ascii="Times New Roman" w:hAnsi="Times New Roman" w:eastAsia="Segoe UI" w:cs="Times New Roman"/>
          <w:i w:val="0"/>
          <w:iCs w:val="0"/>
          <w:caps w:val="0"/>
          <w:color w:val="0F1115"/>
          <w:spacing w:val="0"/>
          <w:sz w:val="21"/>
          <w:szCs w:val="21"/>
          <w:shd w:val="clear" w:fill="FFFFFF"/>
          <w:lang w:val="en-US" w:eastAsia="zh-CN"/>
        </w:rPr>
      </w:pPr>
      <w:r>
        <w:rPr>
          <w:rFonts w:hint="default" w:ascii="Times New Roman" w:hAnsi="Times New Roman" w:eastAsia="Segoe UI" w:cs="Times New Roman"/>
          <w:i w:val="0"/>
          <w:iCs w:val="0"/>
          <w:caps w:val="0"/>
          <w:color w:val="0F1115"/>
          <w:spacing w:val="0"/>
          <w:sz w:val="21"/>
          <w:szCs w:val="21"/>
          <w:shd w:val="clear" w:fill="FFFFFF"/>
          <w:lang w:val="en-US" w:eastAsia="zh-CN"/>
        </w:rPr>
        <w:t xml:space="preserve">Istio provides a rich set of traffic management features </w:t>
      </w:r>
      <w:r>
        <w:rPr>
          <w:rFonts w:hint="eastAsia" w:ascii="Times New Roman" w:hAnsi="Times New Roman" w:eastAsia="Segoe UI" w:cs="Times New Roman"/>
          <w:i w:val="0"/>
          <w:iCs w:val="0"/>
          <w:caps w:val="0"/>
          <w:color w:val="0F1115"/>
          <w:spacing w:val="0"/>
          <w:sz w:val="21"/>
          <w:szCs w:val="21"/>
          <w:shd w:val="clear" w:fill="FFFFFF"/>
          <w:lang w:val="en-US" w:eastAsia="zh-CN"/>
        </w:rPr>
        <w:t>like A/B testing with traffic routing and rate limiting with traffic shaping</w:t>
      </w:r>
      <w:r>
        <w:rPr>
          <w:rFonts w:hint="default" w:ascii="Times New Roman" w:hAnsi="Times New Roman" w:eastAsia="Segoe UI" w:cs="Times New Roman"/>
          <w:i w:val="0"/>
          <w:iCs w:val="0"/>
          <w:caps w:val="0"/>
          <w:color w:val="0F1115"/>
          <w:spacing w:val="0"/>
          <w:sz w:val="21"/>
          <w:szCs w:val="21"/>
          <w:shd w:val="clear" w:fill="FFFFFF"/>
          <w:lang w:val="en-US" w:eastAsia="zh-CN"/>
        </w:rPr>
        <w:t>. For instance, weighted traffic routing</w:t>
      </w:r>
      <w:r>
        <w:rPr>
          <w:rFonts w:hint="eastAsia" w:ascii="Times New Roman" w:hAnsi="Times New Roman" w:eastAsia="Segoe UI" w:cs="Times New Roman"/>
          <w:i w:val="0"/>
          <w:iCs w:val="0"/>
          <w:caps w:val="0"/>
          <w:color w:val="0F1115"/>
          <w:spacing w:val="0"/>
          <w:sz w:val="21"/>
          <w:szCs w:val="21"/>
          <w:shd w:val="clear" w:fill="FFFFFF"/>
          <w:lang w:val="en-US" w:eastAsia="zh-CN"/>
        </w:rPr>
        <w:t xml:space="preserve"> feature</w:t>
      </w:r>
      <w:r>
        <w:rPr>
          <w:rFonts w:hint="default" w:ascii="Times New Roman" w:hAnsi="Times New Roman" w:eastAsia="Segoe UI" w:cs="Times New Roman"/>
          <w:i w:val="0"/>
          <w:iCs w:val="0"/>
          <w:caps w:val="0"/>
          <w:color w:val="0F1115"/>
          <w:spacing w:val="0"/>
          <w:sz w:val="21"/>
          <w:szCs w:val="21"/>
          <w:shd w:val="clear" w:fill="FFFFFF"/>
          <w:lang w:val="en-US" w:eastAsia="zh-CN"/>
        </w:rPr>
        <w:t xml:space="preserve"> allows for safe canary releases by gradually shifting a small percentage of user traffic to a new service version, minimizing the impact of potential bugs, while </w:t>
      </w:r>
      <w:r>
        <w:rPr>
          <w:rFonts w:hint="eastAsia" w:ascii="Times New Roman" w:hAnsi="Times New Roman" w:eastAsia="Segoe UI" w:cs="Times New Roman"/>
          <w:i w:val="0"/>
          <w:iCs w:val="0"/>
          <w:caps w:val="0"/>
          <w:color w:val="0F1115"/>
          <w:spacing w:val="0"/>
          <w:sz w:val="21"/>
          <w:szCs w:val="21"/>
          <w:shd w:val="clear" w:fill="FFFFFF"/>
          <w:lang w:val="en-US" w:eastAsia="zh-CN"/>
        </w:rPr>
        <w:t>rate limiting with traffic shaping feature</w:t>
      </w:r>
      <w:r>
        <w:rPr>
          <w:rFonts w:hint="default" w:ascii="Times New Roman" w:hAnsi="Times New Roman" w:eastAsia="Segoe UI" w:cs="Times New Roman"/>
          <w:i w:val="0"/>
          <w:iCs w:val="0"/>
          <w:caps w:val="0"/>
          <w:color w:val="0F1115"/>
          <w:spacing w:val="0"/>
          <w:sz w:val="21"/>
          <w:szCs w:val="21"/>
          <w:shd w:val="clear" w:fill="FFFFFF"/>
          <w:lang w:val="en-US" w:eastAsia="zh-CN"/>
        </w:rPr>
        <w:t xml:space="preserve"> limits the number of requests per second to a backend service, preventing it from being overwhelmed by sudden traffic spikes and ensuring stable service availability.</w:t>
      </w:r>
    </w:p>
    <w:p w14:paraId="7D7D1C49">
      <w:pPr>
        <w:numPr>
          <w:numId w:val="0"/>
        </w:numPr>
        <w:rPr>
          <w:rFonts w:hint="default" w:ascii="Times New Roman" w:hAnsi="Times New Roman" w:eastAsia="Segoe UI" w:cs="Times New Roman"/>
          <w:i w:val="0"/>
          <w:iCs w:val="0"/>
          <w:caps w:val="0"/>
          <w:color w:val="0F1115"/>
          <w:spacing w:val="0"/>
          <w:sz w:val="21"/>
          <w:szCs w:val="21"/>
          <w:shd w:val="clear" w:fill="FFFFFF"/>
          <w:lang w:val="en-US" w:eastAsia="zh-CN"/>
        </w:rPr>
      </w:pPr>
    </w:p>
    <w:p w14:paraId="41F27CAA">
      <w:pPr>
        <w:numPr>
          <w:ilvl w:val="0"/>
          <w:numId w:val="1"/>
        </w:numPr>
        <w:rPr>
          <w:rFonts w:hint="default" w:ascii="Times New Roman" w:hAnsi="Times New Roman" w:eastAsia="Segoe UI" w:cs="Times New Roman"/>
          <w:i w:val="0"/>
          <w:iCs w:val="0"/>
          <w:caps w:val="0"/>
          <w:color w:val="0F1115"/>
          <w:spacing w:val="0"/>
          <w:sz w:val="21"/>
          <w:szCs w:val="21"/>
          <w:shd w:val="clear" w:fill="FFFFFF"/>
          <w:lang w:val="en-US" w:eastAsia="zh-CN"/>
        </w:rPr>
      </w:pPr>
      <w:r>
        <w:rPr>
          <w:rFonts w:hint="default" w:ascii="Times New Roman" w:hAnsi="Times New Roman" w:eastAsia="Segoe UI" w:cs="Times New Roman"/>
          <w:i w:val="0"/>
          <w:iCs w:val="0"/>
          <w:caps w:val="0"/>
          <w:color w:val="0F1115"/>
          <w:spacing w:val="0"/>
          <w:sz w:val="21"/>
          <w:szCs w:val="21"/>
          <w:shd w:val="clear" w:fill="FFFFFF"/>
          <w:lang w:val="en-US" w:eastAsia="zh-CN"/>
        </w:rPr>
        <w:t>Knative Serving enables powerful autoscaling for applications by building on and extending Kubernetes' Horizontal Pod Autoscaler with a request-driven metric and a unique component called the Activator. Scaling up is triggered when incoming requests exceed a predefined concurrency target per pod, or when a request arrives for a service that has been scaled down to zero pods, initiating a "cold start" where the Activator buffers the request while instructing the system to launch a new pod; scaling down occurs proactively as request volume decreases, ultimately scaling pods to zero after a configurable period of inactivity to conserve resources.</w:t>
      </w:r>
    </w:p>
    <w:p w14:paraId="3D899F35">
      <w:pPr>
        <w:numPr>
          <w:numId w:val="0"/>
        </w:numPr>
        <w:rPr>
          <w:rFonts w:hint="default" w:ascii="Times New Roman" w:hAnsi="Times New Roman" w:eastAsia="Segoe UI" w:cs="Times New Roman"/>
          <w:i w:val="0"/>
          <w:iCs w:val="0"/>
          <w:caps w:val="0"/>
          <w:color w:val="0F1115"/>
          <w:spacing w:val="0"/>
          <w:sz w:val="21"/>
          <w:szCs w:val="21"/>
          <w:shd w:val="clear" w:fill="FFFFFF"/>
          <w:lang w:val="en-US" w:eastAsia="zh-CN"/>
        </w:rPr>
      </w:pPr>
    </w:p>
    <w:p w14:paraId="5FEC70B2">
      <w:pPr>
        <w:numPr>
          <w:ilvl w:val="0"/>
          <w:numId w:val="1"/>
        </w:numPr>
        <w:rPr>
          <w:rFonts w:hint="default" w:ascii="Times New Roman" w:hAnsi="Times New Roman" w:eastAsia="Segoe UI" w:cs="Times New Roman"/>
          <w:i w:val="0"/>
          <w:iCs w:val="0"/>
          <w:caps w:val="0"/>
          <w:color w:val="0F1115"/>
          <w:spacing w:val="0"/>
          <w:sz w:val="21"/>
          <w:szCs w:val="21"/>
          <w:shd w:val="clear" w:fill="FFFFFF"/>
          <w:lang w:val="en-US" w:eastAsia="zh-CN"/>
        </w:rPr>
      </w:pPr>
      <w:r>
        <w:rPr>
          <w:rFonts w:hint="default" w:ascii="Times New Roman" w:hAnsi="Times New Roman" w:eastAsia="Segoe UI" w:cs="Times New Roman"/>
          <w:i w:val="0"/>
          <w:iCs w:val="0"/>
          <w:caps w:val="0"/>
          <w:color w:val="0F1115"/>
          <w:spacing w:val="0"/>
          <w:sz w:val="21"/>
          <w:szCs w:val="21"/>
          <w:shd w:val="clear" w:fill="FFFFFF"/>
          <w:lang w:val="en-US" w:eastAsia="zh-CN"/>
        </w:rPr>
        <w:t>The role of Knative Eventing is to provide the APIs and components for routing and delivering events from various producers to consumers, thereby enabling and supporting event-driven architectures. It achieves this by abstracting away the specifics of event sources and sinks through a broker and trigger model, where events are sent to a central broker, and consumers can declaratively subscribe to events of interest using filters, allowing for a loosely coupled, flexible, and reliable system that seamlessly connects Knative services to a wide variety of event sources like Kafka, cloud pub/sub, or HTTP endpoints.</w:t>
      </w:r>
    </w:p>
    <w:p w14:paraId="12FD1E04">
      <w:pPr>
        <w:numPr>
          <w:numId w:val="0"/>
        </w:numPr>
        <w:rPr>
          <w:rFonts w:hint="default" w:ascii="Times New Roman" w:hAnsi="Times New Roman" w:eastAsia="Segoe UI" w:cs="Times New Roman"/>
          <w:i w:val="0"/>
          <w:iCs w:val="0"/>
          <w:caps w:val="0"/>
          <w:color w:val="0F1115"/>
          <w:spacing w:val="0"/>
          <w:sz w:val="21"/>
          <w:szCs w:val="21"/>
          <w:shd w:val="clear" w:fill="FFFFFF"/>
          <w:lang w:val="en-US" w:eastAsia="zh-CN"/>
        </w:rPr>
      </w:pPr>
    </w:p>
    <w:p w14:paraId="4AAA7818">
      <w:pPr>
        <w:numPr>
          <w:ilvl w:val="0"/>
          <w:numId w:val="1"/>
        </w:numPr>
        <w:rPr>
          <w:rFonts w:hint="default" w:ascii="Times New Roman" w:hAnsi="Times New Roman" w:eastAsia="Segoe UI" w:cs="Times New Roman"/>
          <w:i w:val="0"/>
          <w:iCs w:val="0"/>
          <w:caps w:val="0"/>
          <w:color w:val="0F1115"/>
          <w:spacing w:val="0"/>
          <w:sz w:val="21"/>
          <w:szCs w:val="21"/>
          <w:shd w:val="clear" w:fill="FFFFFF"/>
          <w:lang w:val="en-US" w:eastAsia="zh-CN"/>
        </w:rPr>
      </w:pPr>
      <w:r>
        <w:rPr>
          <w:rFonts w:hint="default" w:ascii="Times New Roman" w:hAnsi="Times New Roman" w:eastAsia="Segoe UI" w:cs="Times New Roman"/>
          <w:i w:val="0"/>
          <w:iCs w:val="0"/>
          <w:caps w:val="0"/>
          <w:color w:val="0F1115"/>
          <w:spacing w:val="0"/>
          <w:sz w:val="21"/>
          <w:szCs w:val="21"/>
          <w:shd w:val="clear" w:fill="FFFFFF"/>
          <w:lang w:val="en-US" w:eastAsia="zh-CN"/>
        </w:rPr>
        <w:t>Knative leverages Kubernetes primitives to deliver a serverless experience by creating a higher-level abstraction that automatically manages underlying resources like Deployments, Services, and the Horizontal Pod Autoscaler (HPA) on behalf of the developer. When a developer defines a Knative Service, the Knative controller automatically generates and manages the corresponding Kubernetes Deployments, Services, and configures an HPA that uses request concurrency metrics for scaling; this abstraction benefits developers by freeing them from writing and maintaining complex YAML for these objects, allowing them to focus solely on their application code and configuration.</w:t>
      </w:r>
    </w:p>
    <w:p w14:paraId="37F098D1">
      <w:pPr>
        <w:numPr>
          <w:numId w:val="0"/>
        </w:numPr>
        <w:rPr>
          <w:rFonts w:hint="default" w:ascii="Times New Roman" w:hAnsi="Times New Roman" w:eastAsia="Segoe UI" w:cs="Times New Roman"/>
          <w:i w:val="0"/>
          <w:iCs w:val="0"/>
          <w:caps w:val="0"/>
          <w:color w:val="0F1115"/>
          <w:spacing w:val="0"/>
          <w:sz w:val="21"/>
          <w:szCs w:val="21"/>
          <w:shd w:val="clear" w:fill="FFFFFF"/>
          <w:lang w:val="en-US" w:eastAsia="zh-CN"/>
        </w:rPr>
      </w:pPr>
    </w:p>
    <w:p w14:paraId="55BF0FE5">
      <w:pPr>
        <w:numPr>
          <w:ilvl w:val="0"/>
          <w:numId w:val="1"/>
        </w:numPr>
        <w:rPr>
          <w:rFonts w:hint="default" w:ascii="Times New Roman" w:hAnsi="Times New Roman" w:eastAsia="Segoe UI" w:cs="Times New Roman"/>
          <w:i w:val="0"/>
          <w:iCs w:val="0"/>
          <w:caps w:val="0"/>
          <w:color w:val="0F1115"/>
          <w:spacing w:val="0"/>
          <w:sz w:val="21"/>
          <w:szCs w:val="21"/>
          <w:shd w:val="clear" w:fill="FFFFFF"/>
          <w:lang w:val="en-US" w:eastAsia="zh-CN"/>
        </w:rPr>
      </w:pPr>
      <w:r>
        <w:rPr>
          <w:rFonts w:hint="default" w:ascii="Times New Roman" w:hAnsi="Times New Roman" w:eastAsia="Segoe UI" w:cs="Times New Roman"/>
          <w:i w:val="0"/>
          <w:iCs w:val="0"/>
          <w:caps w:val="0"/>
          <w:color w:val="0F1115"/>
          <w:spacing w:val="0"/>
          <w:sz w:val="21"/>
          <w:szCs w:val="21"/>
          <w:shd w:val="clear" w:fill="FFFFFF"/>
          <w:lang w:val="en-US" w:eastAsia="zh-CN"/>
        </w:rPr>
        <w:t>In KServe, the main function of an InferenceService custom resource is to provide a unified, high-level abstraction that greatly simplifies the deployment and serving of machine learning models across diverse frameworks and hardware. It encapsulates all the necessary configuration—such as the model framework, storage location, resource requirements, and scaling policies—into a single declarative specification, which then leverages Knative for serverless scaling and Istio for traffic management, offering a consistent and production-ready inference endpoint without the developer needing to manually wire together underlying Kubernetes components.</w:t>
      </w:r>
    </w:p>
    <w:p w14:paraId="53FBD80B">
      <w:pPr>
        <w:numPr>
          <w:numId w:val="0"/>
        </w:numPr>
        <w:rPr>
          <w:rFonts w:hint="default" w:ascii="Times New Roman" w:hAnsi="Times New Roman" w:eastAsia="Segoe UI" w:cs="Times New Roman"/>
          <w:i w:val="0"/>
          <w:iCs w:val="0"/>
          <w:caps w:val="0"/>
          <w:color w:val="0F1115"/>
          <w:spacing w:val="0"/>
          <w:sz w:val="21"/>
          <w:szCs w:val="21"/>
          <w:shd w:val="clear" w:fill="FFFFFF"/>
          <w:lang w:val="en-US" w:eastAsia="zh-CN"/>
        </w:rPr>
      </w:pPr>
    </w:p>
    <w:p w14:paraId="102640DC">
      <w:pPr>
        <w:numPr>
          <w:ilvl w:val="0"/>
          <w:numId w:val="1"/>
        </w:numPr>
        <w:rPr>
          <w:rFonts w:hint="default" w:ascii="Times New Roman" w:hAnsi="Times New Roman" w:eastAsia="Segoe UI" w:cs="Times New Roman"/>
          <w:i w:val="0"/>
          <w:iCs w:val="0"/>
          <w:caps w:val="0"/>
          <w:color w:val="0F1115"/>
          <w:spacing w:val="0"/>
          <w:sz w:val="21"/>
          <w:szCs w:val="21"/>
          <w:shd w:val="clear" w:fill="FFFFFF"/>
          <w:lang w:val="en-US" w:eastAsia="zh-CN"/>
        </w:rPr>
      </w:pPr>
      <w:r>
        <w:rPr>
          <w:rFonts w:hint="default" w:ascii="Times New Roman" w:hAnsi="Times New Roman" w:eastAsia="Segoe UI" w:cs="Times New Roman"/>
          <w:i w:val="0"/>
          <w:iCs w:val="0"/>
          <w:caps w:val="0"/>
          <w:color w:val="0F1115"/>
          <w:spacing w:val="0"/>
          <w:sz w:val="21"/>
          <w:szCs w:val="21"/>
          <w:shd w:val="clear" w:fill="FFFFFF"/>
          <w:lang w:val="en-US" w:eastAsia="zh-CN"/>
        </w:rPr>
        <w:t>In a production ML workflow with KServe, an incoming HTTP inference request is first received by the Istio Ingress Gateway, which then routes it to the appropriate Knative queue proxy sidecar attached to the model's pod. This queue proxy manages request metrics and queuing before forwarding the request to the main KServe model server container (e.g., Triton, TorchServe), which loads the model and executes the prediction. The primary latency bottlenecks can occur at multiple layers: the "cold start" delay if Knative needs to scale a pod from zero, the time taken by the KServe server to load a large model from storage into memory, and the inherent computational latency of the model's prediction itself.</w:t>
      </w:r>
    </w:p>
    <w:p w14:paraId="5D6791EA">
      <w:pPr>
        <w:numPr>
          <w:numId w:val="0"/>
        </w:numPr>
        <w:rPr>
          <w:rFonts w:hint="default" w:ascii="Times New Roman" w:hAnsi="Times New Roman" w:eastAsia="Segoe UI" w:cs="Times New Roman"/>
          <w:i w:val="0"/>
          <w:iCs w:val="0"/>
          <w:caps w:val="0"/>
          <w:color w:val="0F1115"/>
          <w:spacing w:val="0"/>
          <w:sz w:val="21"/>
          <w:szCs w:val="21"/>
          <w:shd w:val="clear" w:fill="FFFFFF"/>
          <w:lang w:val="en-US" w:eastAsia="zh-CN"/>
        </w:rPr>
      </w:pPr>
    </w:p>
    <w:p w14:paraId="632FB8D7">
      <w:pPr>
        <w:numPr>
          <w:ilvl w:val="0"/>
          <w:numId w:val="1"/>
        </w:numPr>
        <w:rPr>
          <w:rFonts w:hint="default" w:ascii="Times New Roman" w:hAnsi="Times New Roman" w:eastAsia="Segoe UI" w:cs="Times New Roman"/>
          <w:i w:val="0"/>
          <w:iCs w:val="0"/>
          <w:caps w:val="0"/>
          <w:color w:val="0F1115"/>
          <w:spacing w:val="0"/>
          <w:sz w:val="21"/>
          <w:szCs w:val="21"/>
          <w:shd w:val="clear" w:fill="FFFFFF"/>
          <w:lang w:val="en-US" w:eastAsia="zh-CN"/>
        </w:rPr>
      </w:pPr>
      <w:r>
        <w:rPr>
          <w:rFonts w:hint="default" w:ascii="Times New Roman" w:hAnsi="Times New Roman" w:eastAsia="Segoe UI" w:cs="Times New Roman"/>
          <w:i w:val="0"/>
          <w:iCs w:val="0"/>
          <w:caps w:val="0"/>
          <w:color w:val="0F1115"/>
          <w:spacing w:val="0"/>
          <w:sz w:val="21"/>
          <w:szCs w:val="21"/>
          <w:shd w:val="clear" w:fill="FFFFFF"/>
          <w:lang w:val="en-US" w:eastAsia="zh-CN"/>
        </w:rPr>
        <w:t>Istio's traffic routing capabilities are</w:t>
      </w:r>
      <w:r>
        <w:rPr>
          <w:rFonts w:hint="eastAsia" w:ascii="Times New Roman" w:hAnsi="Times New Roman" w:eastAsia="Segoe UI" w:cs="Times New Roman"/>
          <w:i w:val="0"/>
          <w:iCs w:val="0"/>
          <w:caps w:val="0"/>
          <w:color w:val="0F1115"/>
          <w:spacing w:val="0"/>
          <w:sz w:val="21"/>
          <w:szCs w:val="21"/>
          <w:shd w:val="clear" w:fill="FFFFFF"/>
          <w:lang w:val="en-US" w:eastAsia="zh-CN"/>
        </w:rPr>
        <w:t xml:space="preserve"> crucial</w:t>
      </w:r>
      <w:bookmarkStart w:id="0" w:name="_GoBack"/>
      <w:bookmarkEnd w:id="0"/>
      <w:r>
        <w:rPr>
          <w:rFonts w:hint="default" w:ascii="Times New Roman" w:hAnsi="Times New Roman" w:eastAsia="Segoe UI" w:cs="Times New Roman"/>
          <w:i w:val="0"/>
          <w:iCs w:val="0"/>
          <w:caps w:val="0"/>
          <w:color w:val="0F1115"/>
          <w:spacing w:val="0"/>
          <w:sz w:val="21"/>
          <w:szCs w:val="21"/>
          <w:shd w:val="clear" w:fill="FFFFFF"/>
          <w:lang w:val="en-US" w:eastAsia="zh-CN"/>
        </w:rPr>
        <w:t xml:space="preserve"> in supporting sophisticated deployment strategies like canary releases or A/B testing in Knative or KServe environments by allowing precise control over how traffic is split between different versions of a service. For example, a VirtualService can be configured to send 95% of traffic to the stable model version and 5% to a new candidate, with additional rules for automatic retries on the new version or circuit breakers to prevent it from overwhelming the system if it fails; the major advantage over manual rollout strategies (like gradually updating replica counts) is the precise, attribute-based traffic control and instant rollback capability, though the trade-off is the added complexity of managing Istio's configuration objects alongside the core application resources.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AD6896D"/>
    <w:multiLevelType w:val="singleLevel"/>
    <w:tmpl w:val="7AD6896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A70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16</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2025-10-27T10:50:22Z</dcterms:created>
  <dc:creator>赵子悦</dc:creator>
  <cp:lastModifiedBy>love</cp:lastModifiedBy>
  <dcterms:modified xsi:type="dcterms:W3CDTF">2025-10-27T11:06:51Z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KSOTemplateDocerSaveRecord">
    <vt:lpwstr>eyJoZGlkIjoiMTRiYzQwNzA4MGNiODgzZmM0N2ExZWQzYzRlYWM0YTMiLCJ1c2VySWQiOiIyNDg2NjMwNTEifQ==</vt:lpwstr>
  </property>
  <property fmtid="{D5CDD505-2E9C-101B-9397-08002B2CF9AE}" pid="4" name="ICV">
    <vt:lpwstr>6C4F9CC8F9E5444791C318792EEA94EB_13</vt:lpwstr>
  </property>
</Properties>
</file>