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DB76" w14:textId="06161636" w:rsidR="00F7152A" w:rsidRPr="00F7152A" w:rsidRDefault="00000000" w:rsidP="00F7152A">
      <w:pPr>
        <w:spacing w:line="360" w:lineRule="auto"/>
        <w:jc w:val="center"/>
        <w:rPr>
          <w:rFonts w:ascii="宋体" w:eastAsia="宋体" w:hAnsi="宋体" w:cs="宋体" w:hint="eastAsia"/>
          <w:b/>
          <w:bCs/>
          <w:sz w:val="44"/>
          <w:szCs w:val="44"/>
        </w:rPr>
      </w:pPr>
      <w:r>
        <w:rPr>
          <w:rFonts w:ascii="宋体" w:eastAsia="宋体" w:hAnsi="宋体" w:cs="宋体" w:hint="eastAsia"/>
          <w:b/>
          <w:bCs/>
          <w:sz w:val="44"/>
          <w:szCs w:val="44"/>
        </w:rPr>
        <w:t>“双碳”背景下企业绿色转型研究</w:t>
      </w:r>
    </w:p>
    <w:p w14:paraId="5AF6DB40" w14:textId="0A359341" w:rsidR="0060714C" w:rsidRDefault="00000000">
      <w:pPr>
        <w:spacing w:line="360" w:lineRule="auto"/>
        <w:rPr>
          <w:rFonts w:asciiTheme="minorEastAsia" w:hAnsiTheme="minorEastAsia" w:cs="宋体" w:hint="eastAsia"/>
          <w:b/>
          <w:bCs/>
          <w:sz w:val="24"/>
          <w:szCs w:val="24"/>
        </w:rPr>
      </w:pPr>
      <w:proofErr w:type="gramStart"/>
      <w:r>
        <w:rPr>
          <w:rFonts w:asciiTheme="minorEastAsia" w:hAnsiTheme="minorEastAsia" w:cs="宋体" w:hint="eastAsia"/>
          <w:b/>
          <w:bCs/>
          <w:sz w:val="24"/>
          <w:szCs w:val="24"/>
        </w:rPr>
        <w:t>一</w:t>
      </w:r>
      <w:proofErr w:type="gramEnd"/>
      <w:r>
        <w:rPr>
          <w:rFonts w:asciiTheme="minorEastAsia" w:hAnsiTheme="minorEastAsia" w:cs="宋体" w:hint="eastAsia"/>
          <w:b/>
          <w:bCs/>
          <w:sz w:val="24"/>
          <w:szCs w:val="24"/>
        </w:rPr>
        <w:t>.研究问题界定和背景介绍</w:t>
      </w:r>
    </w:p>
    <w:p w14:paraId="4B46020A"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“双碳目标下企业绿色转型研究”旨在探讨企业</w:t>
      </w:r>
      <w:proofErr w:type="gramStart"/>
      <w:r>
        <w:rPr>
          <w:rFonts w:asciiTheme="minorEastAsia" w:hAnsiTheme="minorEastAsia" w:cs="宋体" w:hint="eastAsia"/>
          <w:sz w:val="24"/>
          <w:szCs w:val="24"/>
        </w:rPr>
        <w:t>在碳达峰</w:t>
      </w:r>
      <w:proofErr w:type="gramEnd"/>
      <w:r>
        <w:rPr>
          <w:rFonts w:asciiTheme="minorEastAsia" w:hAnsiTheme="minorEastAsia" w:cs="宋体" w:hint="eastAsia"/>
          <w:sz w:val="24"/>
          <w:szCs w:val="24"/>
        </w:rPr>
        <w:t>和</w:t>
      </w:r>
      <w:proofErr w:type="gramStart"/>
      <w:r>
        <w:rPr>
          <w:rFonts w:asciiTheme="minorEastAsia" w:hAnsiTheme="minorEastAsia" w:cs="宋体" w:hint="eastAsia"/>
          <w:sz w:val="24"/>
          <w:szCs w:val="24"/>
        </w:rPr>
        <w:t>碳中和</w:t>
      </w:r>
      <w:proofErr w:type="gramEnd"/>
      <w:r>
        <w:rPr>
          <w:rFonts w:asciiTheme="minorEastAsia" w:hAnsiTheme="minorEastAsia" w:cs="宋体" w:hint="eastAsia"/>
          <w:sz w:val="24"/>
          <w:szCs w:val="24"/>
        </w:rPr>
        <w:t>目标（即“双碳目标”）下，如何实现从传统高碳排放的工业模式向绿色、低碳、循环、可持续模式的转型。</w:t>
      </w:r>
    </w:p>
    <w:p w14:paraId="57C90C21"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首先需要了解我国提出</w:t>
      </w:r>
      <w:proofErr w:type="gramStart"/>
      <w:r>
        <w:rPr>
          <w:rFonts w:asciiTheme="minorEastAsia" w:hAnsiTheme="minorEastAsia" w:cs="宋体" w:hint="eastAsia"/>
          <w:sz w:val="24"/>
          <w:szCs w:val="24"/>
        </w:rPr>
        <w:t>双碳目标</w:t>
      </w:r>
      <w:proofErr w:type="gramEnd"/>
      <w:r>
        <w:rPr>
          <w:rFonts w:asciiTheme="minorEastAsia" w:hAnsiTheme="minorEastAsia" w:cs="宋体" w:hint="eastAsia"/>
          <w:sz w:val="24"/>
          <w:szCs w:val="24"/>
        </w:rPr>
        <w:t>的背景和目的。</w:t>
      </w:r>
      <w:proofErr w:type="gramStart"/>
      <w:r>
        <w:rPr>
          <w:rFonts w:asciiTheme="minorEastAsia" w:hAnsiTheme="minorEastAsia" w:cs="宋体" w:hint="eastAsia"/>
          <w:sz w:val="24"/>
          <w:szCs w:val="24"/>
        </w:rPr>
        <w:t>双碳目标</w:t>
      </w:r>
      <w:proofErr w:type="gramEnd"/>
      <w:r>
        <w:rPr>
          <w:rFonts w:asciiTheme="minorEastAsia" w:hAnsiTheme="minorEastAsia" w:cs="宋体" w:hint="eastAsia"/>
          <w:sz w:val="24"/>
          <w:szCs w:val="24"/>
        </w:rPr>
        <w:t>是中国政府提出的到2030年和2060年分别</w:t>
      </w:r>
      <w:proofErr w:type="gramStart"/>
      <w:r>
        <w:rPr>
          <w:rFonts w:asciiTheme="minorEastAsia" w:hAnsiTheme="minorEastAsia" w:cs="宋体" w:hint="eastAsia"/>
          <w:sz w:val="24"/>
          <w:szCs w:val="24"/>
        </w:rPr>
        <w:t>实现碳达峰</w:t>
      </w:r>
      <w:proofErr w:type="gramEnd"/>
      <w:r>
        <w:rPr>
          <w:rFonts w:asciiTheme="minorEastAsia" w:hAnsiTheme="minorEastAsia" w:cs="宋体" w:hint="eastAsia"/>
          <w:sz w:val="24"/>
          <w:szCs w:val="24"/>
        </w:rPr>
        <w:t>和</w:t>
      </w:r>
      <w:proofErr w:type="gramStart"/>
      <w:r>
        <w:rPr>
          <w:rFonts w:asciiTheme="minorEastAsia" w:hAnsiTheme="minorEastAsia" w:cs="宋体" w:hint="eastAsia"/>
          <w:sz w:val="24"/>
          <w:szCs w:val="24"/>
        </w:rPr>
        <w:t>碳中和</w:t>
      </w:r>
      <w:proofErr w:type="gramEnd"/>
      <w:r>
        <w:rPr>
          <w:rFonts w:asciiTheme="minorEastAsia" w:hAnsiTheme="minorEastAsia" w:cs="宋体" w:hint="eastAsia"/>
          <w:sz w:val="24"/>
          <w:szCs w:val="24"/>
        </w:rPr>
        <w:t>的目标，它是我国为了应对全球气候变化，减少温室气体排放，实现绿色和可持续发展而提出的重大战略决策。在这一背景下，企业进行绿色转型是必经之路。然而，企业面临诸多困境，如缺乏绿色转型战略支撑、缺乏减</w:t>
      </w:r>
      <w:proofErr w:type="gramStart"/>
      <w:r>
        <w:rPr>
          <w:rFonts w:asciiTheme="minorEastAsia" w:hAnsiTheme="minorEastAsia" w:cs="宋体" w:hint="eastAsia"/>
          <w:sz w:val="24"/>
          <w:szCs w:val="24"/>
        </w:rPr>
        <w:t>排执行</w:t>
      </w:r>
      <w:proofErr w:type="gramEnd"/>
      <w:r>
        <w:rPr>
          <w:rFonts w:asciiTheme="minorEastAsia" w:hAnsiTheme="minorEastAsia" w:cs="宋体" w:hint="eastAsia"/>
          <w:sz w:val="24"/>
          <w:szCs w:val="24"/>
        </w:rPr>
        <w:t>落地计划、市场机制不完善等，这些问题的解决将成为实现</w:t>
      </w:r>
      <w:proofErr w:type="gramStart"/>
      <w:r>
        <w:rPr>
          <w:rFonts w:asciiTheme="minorEastAsia" w:hAnsiTheme="minorEastAsia" w:cs="宋体" w:hint="eastAsia"/>
          <w:sz w:val="24"/>
          <w:szCs w:val="24"/>
        </w:rPr>
        <w:t>双碳目标</w:t>
      </w:r>
      <w:proofErr w:type="gramEnd"/>
      <w:r>
        <w:rPr>
          <w:rFonts w:asciiTheme="minorEastAsia" w:hAnsiTheme="minorEastAsia" w:cs="宋体" w:hint="eastAsia"/>
          <w:sz w:val="24"/>
          <w:szCs w:val="24"/>
        </w:rPr>
        <w:t>的关键。</w:t>
      </w:r>
    </w:p>
    <w:p w14:paraId="56E3274D"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综上所述，本文接下来的研究问题主要集中在以下几个方面：</w:t>
      </w:r>
    </w:p>
    <w:p w14:paraId="6367A297"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（1）不同利益相关者对于企业绿色转型的态度，从而揭示企业绿色转型面临的困境和挑战</w:t>
      </w:r>
    </w:p>
    <w:p w14:paraId="19D57118"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（2）企业应如何制定和实施绿色转型战略以</w:t>
      </w:r>
      <w:proofErr w:type="gramStart"/>
      <w:r>
        <w:rPr>
          <w:rFonts w:asciiTheme="minorEastAsia" w:hAnsiTheme="minorEastAsia" w:cs="宋体" w:hint="eastAsia"/>
          <w:sz w:val="24"/>
          <w:szCs w:val="24"/>
        </w:rPr>
        <w:t>达成双碳目标</w:t>
      </w:r>
      <w:proofErr w:type="gramEnd"/>
      <w:r>
        <w:rPr>
          <w:rFonts w:asciiTheme="minorEastAsia" w:hAnsiTheme="minorEastAsia" w:cs="宋体" w:hint="eastAsia"/>
          <w:sz w:val="24"/>
          <w:szCs w:val="24"/>
        </w:rPr>
        <w:t>？（主要聚焦三个领域：制造业，能源业，绿色金融）</w:t>
      </w:r>
    </w:p>
    <w:p w14:paraId="2C607153"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（3）成功的绿色转型案例对其他企业有何启示？</w:t>
      </w:r>
    </w:p>
    <w:p w14:paraId="0AE83B32" w14:textId="77777777" w:rsidR="0060714C" w:rsidRDefault="0060714C">
      <w:pPr>
        <w:spacing w:line="360" w:lineRule="auto"/>
        <w:ind w:firstLineChars="200" w:firstLine="480"/>
        <w:rPr>
          <w:rFonts w:asciiTheme="minorEastAsia" w:hAnsiTheme="minorEastAsia" w:cs="宋体" w:hint="eastAsia"/>
          <w:sz w:val="24"/>
          <w:szCs w:val="24"/>
        </w:rPr>
      </w:pPr>
    </w:p>
    <w:p w14:paraId="0A33AFEE" w14:textId="77777777" w:rsidR="0060714C" w:rsidRDefault="00000000">
      <w:pPr>
        <w:spacing w:line="360" w:lineRule="auto"/>
        <w:rPr>
          <w:rFonts w:asciiTheme="minorEastAsia" w:hAnsiTheme="minorEastAsia" w:cs="宋体" w:hint="eastAsia"/>
          <w:b/>
          <w:bCs/>
          <w:sz w:val="24"/>
          <w:szCs w:val="24"/>
        </w:rPr>
      </w:pPr>
      <w:r>
        <w:rPr>
          <w:rFonts w:asciiTheme="minorEastAsia" w:hAnsiTheme="minorEastAsia" w:cs="宋体" w:hint="eastAsia"/>
          <w:b/>
          <w:bCs/>
          <w:sz w:val="24"/>
          <w:szCs w:val="24"/>
        </w:rPr>
        <w:t>二、不同利益相关者对企业绿色转型的不同态度</w:t>
      </w:r>
    </w:p>
    <w:p w14:paraId="7BF0EADD"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企业绿色转型涉及到多方利益相关者，包括企业自身、员工、消费者、投资者、政府和社区等。不同利益相关者由于其利益诉求和角色定位的不同，对企业绿色转型的态度也各不相同。</w:t>
      </w:r>
    </w:p>
    <w:p w14:paraId="646F2355"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1. 企业自身：</w:t>
      </w:r>
      <w:r>
        <w:rPr>
          <w:rFonts w:asciiTheme="minorEastAsia" w:hAnsiTheme="minorEastAsia" w:cs="宋体" w:hint="eastAsia"/>
          <w:sz w:val="24"/>
          <w:szCs w:val="24"/>
        </w:rPr>
        <w:t>企业自身是绿色转型的主体，它能认识到绿色转型带来良好的社会形象、满足消费者需求、降低运营成本和提高竞争优势等好处。然而，由于转型需要投入大量资金和技术，且</w:t>
      </w:r>
      <w:proofErr w:type="gramStart"/>
      <w:r>
        <w:rPr>
          <w:rFonts w:asciiTheme="minorEastAsia" w:hAnsiTheme="minorEastAsia" w:cs="宋体" w:hint="eastAsia"/>
          <w:sz w:val="24"/>
          <w:szCs w:val="24"/>
        </w:rPr>
        <w:t>可能面</w:t>
      </w:r>
      <w:proofErr w:type="gramEnd"/>
      <w:r>
        <w:rPr>
          <w:rFonts w:asciiTheme="minorEastAsia" w:hAnsiTheme="minorEastAsia" w:cs="宋体" w:hint="eastAsia"/>
          <w:sz w:val="24"/>
          <w:szCs w:val="24"/>
        </w:rPr>
        <w:t>临产能过剩、技术不成熟等问题，因此部分企业对绿色转型可能抱有犹豫或消极态度。</w:t>
      </w:r>
    </w:p>
    <w:p w14:paraId="16AB683F"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2. 员工：</w:t>
      </w:r>
      <w:r>
        <w:rPr>
          <w:rFonts w:asciiTheme="minorEastAsia" w:hAnsiTheme="minorEastAsia" w:cs="宋体" w:hint="eastAsia"/>
          <w:sz w:val="24"/>
          <w:szCs w:val="24"/>
        </w:rPr>
        <w:t>员工作为企业的一部分，其态度直接影响企业绿色转型的进程。如果员工认同绿色理念，他们可能会主动推动绿色转型。反之，如果他们对绿色转型的好处缺乏认识，或者担心转型会影响自身利益，可能会对绿色转型产生抵触情</w:t>
      </w:r>
      <w:r>
        <w:rPr>
          <w:rFonts w:asciiTheme="minorEastAsia" w:hAnsiTheme="minorEastAsia" w:cs="宋体" w:hint="eastAsia"/>
          <w:sz w:val="24"/>
          <w:szCs w:val="24"/>
        </w:rPr>
        <w:lastRenderedPageBreak/>
        <w:t>绪。</w:t>
      </w:r>
    </w:p>
    <w:p w14:paraId="48CAEFBC"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3. 消费者：</w:t>
      </w:r>
      <w:r>
        <w:rPr>
          <w:rFonts w:asciiTheme="minorEastAsia" w:hAnsiTheme="minorEastAsia" w:cs="宋体" w:hint="eastAsia"/>
          <w:sz w:val="24"/>
          <w:szCs w:val="24"/>
        </w:rPr>
        <w:t>消费者越来越关注产品的环保性，他们倾向于购买环保产品，对企业绿色转型持积极态度。然而，如果绿色转型导致产品价格提高，部分消费者可能会对此产生反感。</w:t>
      </w:r>
    </w:p>
    <w:p w14:paraId="2C5BD7A4"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4. 投资者：</w:t>
      </w:r>
      <w:r>
        <w:rPr>
          <w:rFonts w:asciiTheme="minorEastAsia" w:hAnsiTheme="minorEastAsia" w:cs="宋体" w:hint="eastAsia"/>
          <w:sz w:val="24"/>
          <w:szCs w:val="24"/>
        </w:rPr>
        <w:t>许多投资者开始重视企业的社会责任和可持续发展能力，对企业绿色转型持支持态度。然而，如果绿色转型导致企业短期内盈利能力下降，一些只关注短期回报的投资者可能会对此产生质疑。</w:t>
      </w:r>
    </w:p>
    <w:p w14:paraId="5A6C67F9"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5. 政府：</w:t>
      </w:r>
      <w:r>
        <w:rPr>
          <w:rFonts w:asciiTheme="minorEastAsia" w:hAnsiTheme="minorEastAsia" w:cs="宋体" w:hint="eastAsia"/>
          <w:sz w:val="24"/>
          <w:szCs w:val="24"/>
        </w:rPr>
        <w:t>政府作为制定环保政策和监管企业环保行为的主体，通常对企业绿色转型持支持态度。然而，政府需要在推动绿色转型和保障经济稳定之间找到平衡，因此可能会对某些绿色转型措施的执行力度和速度进行调整。</w:t>
      </w:r>
    </w:p>
    <w:p w14:paraId="0BDD9A8B"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6. 社区：</w:t>
      </w:r>
      <w:r>
        <w:rPr>
          <w:rFonts w:asciiTheme="minorEastAsia" w:hAnsiTheme="minorEastAsia" w:cs="宋体" w:hint="eastAsia"/>
          <w:sz w:val="24"/>
          <w:szCs w:val="24"/>
        </w:rPr>
        <w:t>社区作为企业存在的环境，对企业是否进行绿色转型非常关心。如果企业的污染问题严重影响社区生活，社区居民可能会对企业进行压力和抵制，促使其进行绿色转型。</w:t>
      </w:r>
    </w:p>
    <w:p w14:paraId="4F7E8D3A" w14:textId="77777777" w:rsidR="0060714C" w:rsidRDefault="0060714C">
      <w:pPr>
        <w:spacing w:line="360" w:lineRule="auto"/>
        <w:rPr>
          <w:rFonts w:asciiTheme="minorEastAsia" w:hAnsiTheme="minorEastAsia" w:cs="宋体" w:hint="eastAsia"/>
          <w:sz w:val="24"/>
          <w:szCs w:val="24"/>
        </w:rPr>
      </w:pPr>
    </w:p>
    <w:p w14:paraId="44FCD5E4" w14:textId="77777777" w:rsidR="0060714C" w:rsidRDefault="00000000">
      <w:pPr>
        <w:spacing w:line="360" w:lineRule="auto"/>
        <w:rPr>
          <w:rFonts w:asciiTheme="minorEastAsia" w:hAnsiTheme="minorEastAsia" w:cs="宋体" w:hint="eastAsia"/>
          <w:b/>
          <w:bCs/>
          <w:sz w:val="24"/>
          <w:szCs w:val="24"/>
        </w:rPr>
      </w:pPr>
      <w:r>
        <w:rPr>
          <w:rFonts w:asciiTheme="minorEastAsia" w:hAnsiTheme="minorEastAsia" w:cs="宋体" w:hint="eastAsia"/>
          <w:b/>
          <w:bCs/>
          <w:sz w:val="24"/>
          <w:szCs w:val="24"/>
        </w:rPr>
        <w:t>三、企业如何制定和实施绿色转型战略以</w:t>
      </w:r>
      <w:proofErr w:type="gramStart"/>
      <w:r>
        <w:rPr>
          <w:rFonts w:asciiTheme="minorEastAsia" w:hAnsiTheme="minorEastAsia" w:cs="宋体" w:hint="eastAsia"/>
          <w:b/>
          <w:bCs/>
          <w:sz w:val="24"/>
          <w:szCs w:val="24"/>
        </w:rPr>
        <w:t>达成双碳目标</w:t>
      </w:r>
      <w:proofErr w:type="gramEnd"/>
    </w:p>
    <w:p w14:paraId="32A67448" w14:textId="77777777" w:rsidR="0060714C" w:rsidRDefault="00000000">
      <w:pPr>
        <w:spacing w:line="360" w:lineRule="auto"/>
        <w:rPr>
          <w:rFonts w:asciiTheme="minorEastAsia" w:hAnsiTheme="minorEastAsia" w:cs="宋体" w:hint="eastAsia"/>
          <w:b/>
          <w:bCs/>
          <w:sz w:val="24"/>
          <w:szCs w:val="24"/>
        </w:rPr>
      </w:pPr>
      <w:r>
        <w:rPr>
          <w:rFonts w:asciiTheme="minorEastAsia" w:hAnsiTheme="minorEastAsia" w:cs="宋体" w:hint="eastAsia"/>
          <w:b/>
          <w:bCs/>
          <w:sz w:val="24"/>
          <w:szCs w:val="24"/>
        </w:rPr>
        <w:t>3.1制造业</w:t>
      </w:r>
    </w:p>
    <w:p w14:paraId="36C7A993"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在“双碳”目标下，绿色低碳将成为产业转型的重要方向，中国产业结构将在未来30～50年发生根本而深刻的变化。下面分别选取了电子元件制造业和钢铁行业的企业案例分析制造业绿色转型。</w:t>
      </w:r>
    </w:p>
    <w:p w14:paraId="24C147D1"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1、富士康：</w:t>
      </w:r>
      <w:r>
        <w:rPr>
          <w:rFonts w:asciiTheme="minorEastAsia" w:hAnsiTheme="minorEastAsia" w:cs="宋体" w:hint="eastAsia"/>
          <w:sz w:val="24"/>
          <w:szCs w:val="24"/>
        </w:rPr>
        <w:t>作为全球知名的电子制造商，环保始终是集团发展的重要主题。洪荣聪先生强调，环保不仅仅是公司的责任，更是对社会和未来的负责。近年来富士康落实“永续经营=EPS+ESG”的发展理念，大力推动绿色制造。对于“自身运营碳中和”目标，遵循"减少运营排放</w:t>
      </w:r>
      <w:proofErr w:type="gramStart"/>
      <w:r>
        <w:rPr>
          <w:rFonts w:asciiTheme="minorEastAsia" w:hAnsiTheme="minorEastAsia" w:cs="宋体" w:hint="eastAsia"/>
          <w:sz w:val="24"/>
          <w:szCs w:val="24"/>
        </w:rPr>
        <w:t>”</w:t>
      </w:r>
      <w:proofErr w:type="gramEnd"/>
      <w:r>
        <w:rPr>
          <w:rFonts w:asciiTheme="minorEastAsia" w:hAnsiTheme="minorEastAsia" w:cs="宋体" w:hint="eastAsia"/>
          <w:sz w:val="24"/>
          <w:szCs w:val="24"/>
        </w:rPr>
        <w:t>、“能源结构转型 ”和“碳抵消与碳捕捉”3R原则，围绕并分解碳中和的任务指标，全面构建其碳中和目标的科学实现路径。</w:t>
      </w:r>
    </w:p>
    <w:p w14:paraId="25ECE77B"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具体举措包括：1.更换老旧设备，采取AI</w:t>
      </w:r>
      <w:proofErr w:type="gramStart"/>
      <w:r>
        <w:rPr>
          <w:rFonts w:asciiTheme="minorEastAsia" w:hAnsiTheme="minorEastAsia" w:cs="宋体" w:hint="eastAsia"/>
          <w:sz w:val="24"/>
          <w:szCs w:val="24"/>
        </w:rPr>
        <w:t>智控等</w:t>
      </w:r>
      <w:proofErr w:type="gramEnd"/>
      <w:r>
        <w:rPr>
          <w:rFonts w:asciiTheme="minorEastAsia" w:hAnsiTheme="minorEastAsia" w:cs="宋体" w:hint="eastAsia"/>
          <w:sz w:val="24"/>
          <w:szCs w:val="24"/>
        </w:rPr>
        <w:t>手段实现设备最佳状态运行，有效减少电能，温室气体排放得到降低。2.积极推进能源结构转型，降低自身运营产生的碳排放3.研发绿色产品，改善产品环境性能，减少使用能耗。4.对外输出清洁技术产品与服务，开发具有环境和节能效益的产品。5.通过准入机制，</w:t>
      </w:r>
      <w:r>
        <w:rPr>
          <w:rFonts w:asciiTheme="minorEastAsia" w:hAnsiTheme="minorEastAsia" w:cs="宋体" w:hint="eastAsia"/>
          <w:sz w:val="24"/>
          <w:szCs w:val="24"/>
        </w:rPr>
        <w:lastRenderedPageBreak/>
        <w:t>供应商激励，供应</w:t>
      </w:r>
      <w:proofErr w:type="gramStart"/>
      <w:r>
        <w:rPr>
          <w:rFonts w:asciiTheme="minorEastAsia" w:hAnsiTheme="minorEastAsia" w:cs="宋体" w:hint="eastAsia"/>
          <w:sz w:val="24"/>
          <w:szCs w:val="24"/>
        </w:rPr>
        <w:t>商管理</w:t>
      </w:r>
      <w:proofErr w:type="gramEnd"/>
      <w:r>
        <w:rPr>
          <w:rFonts w:asciiTheme="minorEastAsia" w:hAnsiTheme="minorEastAsia" w:cs="宋体" w:hint="eastAsia"/>
          <w:sz w:val="24"/>
          <w:szCs w:val="24"/>
        </w:rPr>
        <w:t>等方式，提升全</w:t>
      </w:r>
      <w:proofErr w:type="gramStart"/>
      <w:r>
        <w:rPr>
          <w:rFonts w:asciiTheme="minorEastAsia" w:hAnsiTheme="minorEastAsia" w:cs="宋体" w:hint="eastAsia"/>
          <w:sz w:val="24"/>
          <w:szCs w:val="24"/>
        </w:rPr>
        <w:t>产业链减排</w:t>
      </w:r>
      <w:proofErr w:type="gramEnd"/>
      <w:r>
        <w:rPr>
          <w:rFonts w:asciiTheme="minorEastAsia" w:hAnsiTheme="minorEastAsia" w:cs="宋体" w:hint="eastAsia"/>
          <w:sz w:val="24"/>
          <w:szCs w:val="24"/>
        </w:rPr>
        <w:t>表现。</w:t>
      </w:r>
    </w:p>
    <w:p w14:paraId="0C792943" w14:textId="77777777" w:rsidR="0060714C" w:rsidRDefault="00000000">
      <w:pPr>
        <w:spacing w:line="360" w:lineRule="auto"/>
        <w:ind w:firstLineChars="200" w:firstLine="482"/>
        <w:jc w:val="left"/>
        <w:rPr>
          <w:rFonts w:asciiTheme="minorEastAsia" w:hAnsiTheme="minorEastAsia" w:cs="宋体" w:hint="eastAsia"/>
          <w:sz w:val="24"/>
          <w:szCs w:val="24"/>
        </w:rPr>
      </w:pPr>
      <w:r>
        <w:rPr>
          <w:rFonts w:asciiTheme="minorEastAsia" w:hAnsiTheme="minorEastAsia" w:cs="宋体"/>
          <w:b/>
          <w:bCs/>
          <w:sz w:val="24"/>
          <w:szCs w:val="24"/>
        </w:rPr>
        <w:t>2</w:t>
      </w:r>
      <w:r>
        <w:rPr>
          <w:rFonts w:asciiTheme="minorEastAsia" w:hAnsiTheme="minorEastAsia" w:cs="宋体" w:hint="eastAsia"/>
          <w:b/>
          <w:bCs/>
          <w:sz w:val="24"/>
          <w:szCs w:val="24"/>
        </w:rPr>
        <w:t>、宝武钢铁：</w:t>
      </w:r>
      <w:r>
        <w:rPr>
          <w:rFonts w:asciiTheme="minorEastAsia" w:hAnsiTheme="minorEastAsia" w:cs="宋体" w:hint="eastAsia"/>
          <w:sz w:val="24"/>
          <w:szCs w:val="24"/>
        </w:rPr>
        <w:t>中国宝武是钢铁行业高碳转型的典范。2022年7月6日，中国</w:t>
      </w:r>
      <w:proofErr w:type="gramStart"/>
      <w:r>
        <w:rPr>
          <w:rFonts w:asciiTheme="minorEastAsia" w:hAnsiTheme="minorEastAsia" w:cs="宋体" w:hint="eastAsia"/>
          <w:sz w:val="24"/>
          <w:szCs w:val="24"/>
        </w:rPr>
        <w:t>最大钢企中</w:t>
      </w:r>
      <w:proofErr w:type="gramEnd"/>
      <w:r>
        <w:rPr>
          <w:rFonts w:asciiTheme="minorEastAsia" w:hAnsiTheme="minorEastAsia" w:cs="宋体" w:hint="eastAsia"/>
          <w:sz w:val="24"/>
          <w:szCs w:val="24"/>
        </w:rPr>
        <w:t>国宝武集团旗下八一钢铁</w:t>
      </w:r>
      <w:proofErr w:type="gramStart"/>
      <w:r>
        <w:rPr>
          <w:rFonts w:asciiTheme="minorEastAsia" w:hAnsiTheme="minorEastAsia" w:cs="宋体" w:hint="eastAsia"/>
          <w:sz w:val="24"/>
          <w:szCs w:val="24"/>
        </w:rPr>
        <w:t>的富氢碳循环</w:t>
      </w:r>
      <w:proofErr w:type="gramEnd"/>
      <w:r>
        <w:rPr>
          <w:rFonts w:asciiTheme="minorEastAsia" w:hAnsiTheme="minorEastAsia" w:cs="宋体" w:hint="eastAsia"/>
          <w:sz w:val="24"/>
          <w:szCs w:val="24"/>
        </w:rPr>
        <w:t>高炉共享试验平台开炉点火投运。</w:t>
      </w:r>
      <w:proofErr w:type="gramStart"/>
      <w:r>
        <w:rPr>
          <w:rFonts w:asciiTheme="minorEastAsia" w:hAnsiTheme="minorEastAsia" w:cs="宋体" w:hint="eastAsia"/>
          <w:sz w:val="24"/>
          <w:szCs w:val="24"/>
        </w:rPr>
        <w:t>八钢富氢</w:t>
      </w:r>
      <w:proofErr w:type="gramEnd"/>
      <w:r>
        <w:rPr>
          <w:rFonts w:asciiTheme="minorEastAsia" w:hAnsiTheme="minorEastAsia" w:cs="宋体" w:hint="eastAsia"/>
          <w:sz w:val="24"/>
          <w:szCs w:val="24"/>
        </w:rPr>
        <w:t>碳循环高炉是中国宝</w:t>
      </w:r>
      <w:proofErr w:type="gramStart"/>
      <w:r>
        <w:rPr>
          <w:rFonts w:asciiTheme="minorEastAsia" w:hAnsiTheme="minorEastAsia" w:cs="宋体" w:hint="eastAsia"/>
          <w:sz w:val="24"/>
          <w:szCs w:val="24"/>
        </w:rPr>
        <w:t>武推动</w:t>
      </w:r>
      <w:proofErr w:type="gramEnd"/>
      <w:r>
        <w:rPr>
          <w:rFonts w:asciiTheme="minorEastAsia" w:hAnsiTheme="minorEastAsia" w:cs="宋体" w:hint="eastAsia"/>
          <w:sz w:val="24"/>
          <w:szCs w:val="24"/>
        </w:rPr>
        <w:t>绿色低碳冶金战略行动方案落实落地而建立的面向全球、开放性的低碳冶金创新平台，也是全球首个工业级别的</w:t>
      </w:r>
      <w:proofErr w:type="gramStart"/>
      <w:r>
        <w:rPr>
          <w:rFonts w:asciiTheme="minorEastAsia" w:hAnsiTheme="minorEastAsia" w:cs="宋体" w:hint="eastAsia"/>
          <w:sz w:val="24"/>
          <w:szCs w:val="24"/>
        </w:rPr>
        <w:t>全氧富氢</w:t>
      </w:r>
      <w:proofErr w:type="gramEnd"/>
      <w:r>
        <w:rPr>
          <w:rFonts w:asciiTheme="minorEastAsia" w:hAnsiTheme="minorEastAsia" w:cs="宋体" w:hint="eastAsia"/>
          <w:sz w:val="24"/>
          <w:szCs w:val="24"/>
        </w:rPr>
        <w:t>碳循环实验高炉。</w:t>
      </w:r>
    </w:p>
    <w:p w14:paraId="1F309F12" w14:textId="77777777" w:rsidR="0060714C" w:rsidRDefault="00000000">
      <w:pPr>
        <w:spacing w:line="360" w:lineRule="auto"/>
        <w:ind w:firstLineChars="200" w:firstLine="480"/>
        <w:jc w:val="left"/>
        <w:rPr>
          <w:rFonts w:asciiTheme="minorEastAsia" w:hAnsiTheme="minorEastAsia" w:cs="宋体" w:hint="eastAsia"/>
          <w:sz w:val="24"/>
          <w:szCs w:val="24"/>
        </w:rPr>
      </w:pPr>
      <w:r>
        <w:rPr>
          <w:rFonts w:asciiTheme="minorEastAsia" w:hAnsiTheme="minorEastAsia" w:cs="宋体" w:hint="eastAsia"/>
          <w:sz w:val="24"/>
          <w:szCs w:val="24"/>
        </w:rPr>
        <w:t>宝钢股份坚持走“创新、协调、绿色、开放、共享”的发展之路，拥有享誉全球的品牌、世界一流的制造水平和服务能力。公司注重创新能力的培育，积极开发应用先进制造和节能环保技术，建立了覆盖全国、遍及世界的营销和加工服务网络。公司自主研发的新一代汽车高强钢、取向硅钢、高等级家电用钢、</w:t>
      </w:r>
      <w:proofErr w:type="gramStart"/>
      <w:r>
        <w:rPr>
          <w:rFonts w:asciiTheme="minorEastAsia" w:hAnsiTheme="minorEastAsia" w:cs="宋体" w:hint="eastAsia"/>
          <w:sz w:val="24"/>
          <w:szCs w:val="24"/>
        </w:rPr>
        <w:t>能源海工</w:t>
      </w:r>
      <w:proofErr w:type="gramEnd"/>
      <w:r>
        <w:rPr>
          <w:rFonts w:asciiTheme="minorEastAsia" w:hAnsiTheme="minorEastAsia" w:cs="宋体" w:hint="eastAsia"/>
          <w:sz w:val="24"/>
          <w:szCs w:val="24"/>
        </w:rPr>
        <w:t>用钢、桥梁用钢等高端产品处于国际先进水平。</w:t>
      </w:r>
    </w:p>
    <w:p w14:paraId="27534411" w14:textId="77777777" w:rsidR="0060714C" w:rsidRDefault="00000000">
      <w:pPr>
        <w:spacing w:line="360" w:lineRule="auto"/>
        <w:ind w:firstLineChars="200" w:firstLine="480"/>
        <w:jc w:val="left"/>
        <w:rPr>
          <w:rFonts w:asciiTheme="minorEastAsia" w:hAnsiTheme="minorEastAsia" w:cs="宋体" w:hint="eastAsia"/>
          <w:sz w:val="24"/>
          <w:szCs w:val="24"/>
        </w:rPr>
      </w:pPr>
      <w:r>
        <w:rPr>
          <w:rFonts w:asciiTheme="minorEastAsia" w:hAnsiTheme="minorEastAsia" w:cs="宋体" w:hint="eastAsia"/>
          <w:sz w:val="24"/>
          <w:szCs w:val="24"/>
        </w:rPr>
        <w:t>综上所述，绿色制造正成为全球新一轮工业革命和科技竞争的重要新兴领域，发展绿色制造将促进一批变革新技术以及新兴产业的发展。制造业绿色化转型的核心在于节能减排，主要表现在两个维度：能源消耗强度和污染排放强度。因而技术创新仍然是制造业绿色低碳化转型未来发展的痛点与方向。</w:t>
      </w:r>
    </w:p>
    <w:p w14:paraId="40670170" w14:textId="77777777" w:rsidR="0060714C" w:rsidRDefault="00000000">
      <w:pPr>
        <w:spacing w:line="360" w:lineRule="auto"/>
        <w:jc w:val="left"/>
        <w:rPr>
          <w:rFonts w:asciiTheme="minorEastAsia" w:hAnsiTheme="minorEastAsia" w:cs="宋体" w:hint="eastAsia"/>
          <w:b/>
          <w:bCs/>
          <w:sz w:val="24"/>
          <w:szCs w:val="24"/>
        </w:rPr>
      </w:pPr>
      <w:r>
        <w:rPr>
          <w:rFonts w:asciiTheme="minorEastAsia" w:hAnsiTheme="minorEastAsia" w:cs="宋体" w:hint="eastAsia"/>
          <w:b/>
          <w:bCs/>
          <w:sz w:val="24"/>
          <w:szCs w:val="24"/>
        </w:rPr>
        <w:t>3.2能源行业</w:t>
      </w:r>
    </w:p>
    <w:p w14:paraId="4AAF078B"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随着</w:t>
      </w:r>
      <w:proofErr w:type="gramStart"/>
      <w:r>
        <w:rPr>
          <w:rFonts w:asciiTheme="minorEastAsia" w:hAnsiTheme="minorEastAsia" w:cs="宋体" w:hint="eastAsia"/>
          <w:sz w:val="24"/>
          <w:szCs w:val="24"/>
        </w:rPr>
        <w:t>全球双碳目标</w:t>
      </w:r>
      <w:proofErr w:type="gramEnd"/>
      <w:r>
        <w:rPr>
          <w:rFonts w:asciiTheme="minorEastAsia" w:hAnsiTheme="minorEastAsia" w:cs="宋体" w:hint="eastAsia"/>
          <w:sz w:val="24"/>
          <w:szCs w:val="24"/>
        </w:rPr>
        <w:t>的推行，中国能源行业面临着重要挑战，未来几年中国能源行业将引来快速增长，政策扶持和技术进步将促进清洁能源成本下降，市场规模不断扩大。</w:t>
      </w:r>
    </w:p>
    <w:p w14:paraId="37C141E1" w14:textId="77777777" w:rsidR="0060714C" w:rsidRDefault="00000000">
      <w:pPr>
        <w:spacing w:line="360" w:lineRule="auto"/>
        <w:ind w:firstLineChars="200" w:firstLine="480"/>
        <w:rPr>
          <w:rFonts w:asciiTheme="minorEastAsia" w:hAnsiTheme="minorEastAsia" w:cs="宋体" w:hint="eastAsia"/>
          <w:sz w:val="24"/>
          <w:szCs w:val="24"/>
        </w:rPr>
      </w:pPr>
      <w:proofErr w:type="gramStart"/>
      <w:r>
        <w:rPr>
          <w:rFonts w:asciiTheme="minorEastAsia" w:hAnsiTheme="minorEastAsia" w:cs="宋体" w:hint="eastAsia"/>
          <w:sz w:val="24"/>
          <w:szCs w:val="24"/>
        </w:rPr>
        <w:t>双碳目标驱动</w:t>
      </w:r>
      <w:proofErr w:type="gramEnd"/>
      <w:r>
        <w:rPr>
          <w:rFonts w:asciiTheme="minorEastAsia" w:hAnsiTheme="minorEastAsia" w:cs="宋体" w:hint="eastAsia"/>
          <w:sz w:val="24"/>
          <w:szCs w:val="24"/>
        </w:rPr>
        <w:t>能源转型，传统能源向清洁能源加速转变，加速氢能产业布局。</w:t>
      </w:r>
    </w:p>
    <w:p w14:paraId="0C091B2D"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2019年我国非化石能源占能源消费总量比重达15.3%，碳排放强度比2005年下降48.1%，2060年有望实现</w:t>
      </w:r>
      <w:proofErr w:type="gramStart"/>
      <w:r>
        <w:rPr>
          <w:rFonts w:asciiTheme="minorEastAsia" w:hAnsiTheme="minorEastAsia" w:cs="宋体" w:hint="eastAsia"/>
          <w:sz w:val="24"/>
          <w:szCs w:val="24"/>
        </w:rPr>
        <w:t>以零碳电力</w:t>
      </w:r>
      <w:proofErr w:type="gramEnd"/>
      <w:r>
        <w:rPr>
          <w:rFonts w:asciiTheme="minorEastAsia" w:hAnsiTheme="minorEastAsia" w:cs="宋体" w:hint="eastAsia"/>
          <w:sz w:val="24"/>
          <w:szCs w:val="24"/>
        </w:rPr>
        <w:t>为主、氢能为辅的能源结构。</w:t>
      </w:r>
    </w:p>
    <w:p w14:paraId="546436EF"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中国石化</w:t>
      </w:r>
      <w:r>
        <w:rPr>
          <w:rFonts w:asciiTheme="minorEastAsia" w:hAnsiTheme="minorEastAsia" w:cs="宋体" w:hint="eastAsia"/>
          <w:sz w:val="24"/>
          <w:szCs w:val="24"/>
        </w:rPr>
        <w:t>作为“世界一流绿色低碳城市炼化示范企业建设试点”的重点企业，基于5G+云+AI，已经实现生产运行优化、安全环境管控、设备智能维护和数字化设备检测，生产模式升级，生产效率和管理效能加速提升。在包括工艺优化、物料管理、生产调度、环境监测、环保风险分析、蒸汽动力优化、车间用电等多方面，均实现节能减排，节省燃料的减排贡献，预计到2030年燃料消耗可节约5%。（《中国双碳大数据指数白皮书》）</w:t>
      </w:r>
    </w:p>
    <w:p w14:paraId="239C4166"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b/>
          <w:bCs/>
          <w:sz w:val="24"/>
          <w:szCs w:val="24"/>
        </w:rPr>
        <w:t>3.3绿色金融</w:t>
      </w:r>
    </w:p>
    <w:p w14:paraId="3C859FFA"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lastRenderedPageBreak/>
        <w:t>绿色金融是指为支持环境改善、应对气候变化和资源节约高效利用的经济活动，即对环保、节能、清洁能源、绿色交通、绿色建筑等领域的项目投融资、项目运营、风险管理等所提供的金融服务。</w:t>
      </w:r>
    </w:p>
    <w:p w14:paraId="6D56FCF4"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中国银行：</w:t>
      </w:r>
      <w:r>
        <w:rPr>
          <w:rFonts w:asciiTheme="minorEastAsia" w:hAnsiTheme="minorEastAsia" w:cs="宋体" w:hint="eastAsia"/>
          <w:sz w:val="24"/>
          <w:szCs w:val="24"/>
        </w:rPr>
        <w:t>中国银行是全球最大的银行之一，也是中国金融业的重要代表之一。该银行积极响应国家“双碳”目标，制定了自己的绿色金融发展战略，通过推广绿色信贷、绿色债券、绿色保险等绿色金融产品和服务，支持绿色发展和</w:t>
      </w:r>
      <w:proofErr w:type="gramStart"/>
      <w:r>
        <w:rPr>
          <w:rFonts w:asciiTheme="minorEastAsia" w:hAnsiTheme="minorEastAsia" w:cs="宋体" w:hint="eastAsia"/>
          <w:sz w:val="24"/>
          <w:szCs w:val="24"/>
        </w:rPr>
        <w:t>可</w:t>
      </w:r>
      <w:proofErr w:type="gramEnd"/>
      <w:r>
        <w:rPr>
          <w:rFonts w:asciiTheme="minorEastAsia" w:hAnsiTheme="minorEastAsia" w:cs="宋体" w:hint="eastAsia"/>
          <w:sz w:val="24"/>
          <w:szCs w:val="24"/>
        </w:rPr>
        <w:t xml:space="preserve">持续金融。 </w:t>
      </w:r>
    </w:p>
    <w:p w14:paraId="3D331341"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中国人寿：</w:t>
      </w:r>
      <w:r>
        <w:rPr>
          <w:rFonts w:asciiTheme="minorEastAsia" w:hAnsiTheme="minorEastAsia" w:cs="宋体" w:hint="eastAsia"/>
          <w:sz w:val="24"/>
          <w:szCs w:val="24"/>
        </w:rPr>
        <w:t xml:space="preserve">中国人寿是一家大型保险公司，也是中国金融业的重要企业之一。该保险公司积极推动绿色保险业务，开发了一系列的绿色保险产品和服务，如环境污染责任保险、节能环保保险等，为环境保护和可持续发展贡献力量。 </w:t>
      </w:r>
    </w:p>
    <w:p w14:paraId="6B766CC4" w14:textId="77777777" w:rsidR="0060714C" w:rsidRDefault="00000000">
      <w:pPr>
        <w:spacing w:line="360" w:lineRule="auto"/>
        <w:ind w:firstLineChars="200" w:firstLine="480"/>
        <w:rPr>
          <w:rFonts w:asciiTheme="minorEastAsia" w:hAnsiTheme="minorEastAsia" w:cs="宋体" w:hint="eastAsia"/>
          <w:sz w:val="24"/>
          <w:szCs w:val="24"/>
        </w:rPr>
      </w:pPr>
      <w:r>
        <w:rPr>
          <w:rFonts w:asciiTheme="minorEastAsia" w:hAnsiTheme="minorEastAsia" w:cs="宋体" w:hint="eastAsia"/>
          <w:sz w:val="24"/>
          <w:szCs w:val="24"/>
        </w:rPr>
        <w:t>但与此同时，绿色保险、绿色基金等规模偏小，绿色金融标准体系不统一、金融机构专业能力不足、强制信息披露制度不健全、激励机制建设不强等问题也亟待完善。绿色金融产品单一，以信贷、债券为主，且规模较小。目前，绿色信贷占贷款余额10%，绿色债券占信用</w:t>
      </w:r>
      <w:proofErr w:type="gramStart"/>
      <w:r>
        <w:rPr>
          <w:rFonts w:asciiTheme="minorEastAsia" w:hAnsiTheme="minorEastAsia" w:cs="宋体" w:hint="eastAsia"/>
          <w:sz w:val="24"/>
          <w:szCs w:val="24"/>
        </w:rPr>
        <w:t>债比例</w:t>
      </w:r>
      <w:proofErr w:type="gramEnd"/>
      <w:r>
        <w:rPr>
          <w:rFonts w:asciiTheme="minorEastAsia" w:hAnsiTheme="minorEastAsia" w:cs="宋体" w:hint="eastAsia"/>
          <w:sz w:val="24"/>
          <w:szCs w:val="24"/>
        </w:rPr>
        <w:t>不到2%。其他金融产品，如绿色保险、绿色信托、绿色融资租赁、绿色指数产品等多元化的产品类别尚不普及，还未推出</w:t>
      </w:r>
      <w:proofErr w:type="gramStart"/>
      <w:r>
        <w:rPr>
          <w:rFonts w:asciiTheme="minorEastAsia" w:hAnsiTheme="minorEastAsia" w:cs="宋体" w:hint="eastAsia"/>
          <w:sz w:val="24"/>
          <w:szCs w:val="24"/>
        </w:rPr>
        <w:t>诸如绿债期权</w:t>
      </w:r>
      <w:proofErr w:type="gramEnd"/>
      <w:r>
        <w:rPr>
          <w:rFonts w:asciiTheme="minorEastAsia" w:hAnsiTheme="minorEastAsia" w:cs="宋体" w:hint="eastAsia"/>
          <w:sz w:val="24"/>
          <w:szCs w:val="24"/>
        </w:rPr>
        <w:t>、绿色股指期权、碳期货、碳期权等对</w:t>
      </w:r>
      <w:proofErr w:type="gramStart"/>
      <w:r>
        <w:rPr>
          <w:rFonts w:asciiTheme="minorEastAsia" w:hAnsiTheme="minorEastAsia" w:cs="宋体" w:hint="eastAsia"/>
          <w:sz w:val="24"/>
          <w:szCs w:val="24"/>
        </w:rPr>
        <w:t>冲金融</w:t>
      </w:r>
      <w:proofErr w:type="gramEnd"/>
      <w:r>
        <w:rPr>
          <w:rFonts w:asciiTheme="minorEastAsia" w:hAnsiTheme="minorEastAsia" w:cs="宋体" w:hint="eastAsia"/>
          <w:sz w:val="24"/>
          <w:szCs w:val="24"/>
        </w:rPr>
        <w:t>风险的品种，绿色金融、</w:t>
      </w:r>
      <w:proofErr w:type="gramStart"/>
      <w:r>
        <w:rPr>
          <w:rFonts w:asciiTheme="minorEastAsia" w:hAnsiTheme="minorEastAsia" w:cs="宋体" w:hint="eastAsia"/>
          <w:sz w:val="24"/>
          <w:szCs w:val="24"/>
        </w:rPr>
        <w:t>碳金融</w:t>
      </w:r>
      <w:proofErr w:type="gramEnd"/>
      <w:r>
        <w:rPr>
          <w:rFonts w:asciiTheme="minorEastAsia" w:hAnsiTheme="minorEastAsia" w:cs="宋体" w:hint="eastAsia"/>
          <w:sz w:val="24"/>
          <w:szCs w:val="24"/>
        </w:rPr>
        <w:t>衍生产品仍需进一步创新。此外，金融机构应对气候变化的方法学缺失，评估能力受限。气候风险成本尚未传导至金融端，金融机构低碳投资和风险防范的积极性有限。（《2022我国绿色金融产品发展现状及存在的问题》——中</w:t>
      </w:r>
      <w:proofErr w:type="gramStart"/>
      <w:r>
        <w:rPr>
          <w:rFonts w:asciiTheme="minorEastAsia" w:hAnsiTheme="minorEastAsia" w:cs="宋体" w:hint="eastAsia"/>
          <w:sz w:val="24"/>
          <w:szCs w:val="24"/>
        </w:rPr>
        <w:t>研</w:t>
      </w:r>
      <w:proofErr w:type="gramEnd"/>
      <w:r>
        <w:rPr>
          <w:rFonts w:asciiTheme="minorEastAsia" w:hAnsiTheme="minorEastAsia" w:cs="宋体" w:hint="eastAsia"/>
          <w:sz w:val="24"/>
          <w:szCs w:val="24"/>
        </w:rPr>
        <w:t>网）</w:t>
      </w:r>
    </w:p>
    <w:p w14:paraId="39379856" w14:textId="77777777" w:rsidR="0060714C" w:rsidRDefault="00000000">
      <w:pPr>
        <w:spacing w:line="360" w:lineRule="auto"/>
        <w:rPr>
          <w:rFonts w:asciiTheme="minorEastAsia" w:hAnsiTheme="minorEastAsia" w:cs="宋体" w:hint="eastAsia"/>
          <w:b/>
          <w:bCs/>
          <w:sz w:val="24"/>
          <w:szCs w:val="24"/>
        </w:rPr>
      </w:pPr>
      <w:r>
        <w:rPr>
          <w:rFonts w:asciiTheme="minorEastAsia" w:hAnsiTheme="minorEastAsia" w:cs="宋体" w:hint="eastAsia"/>
          <w:b/>
          <w:bCs/>
          <w:sz w:val="24"/>
          <w:szCs w:val="24"/>
        </w:rPr>
        <w:t>四、</w:t>
      </w:r>
      <w:proofErr w:type="gramStart"/>
      <w:r>
        <w:rPr>
          <w:rFonts w:asciiTheme="minorEastAsia" w:hAnsiTheme="minorEastAsia" w:cs="宋体" w:hint="eastAsia"/>
          <w:b/>
          <w:bCs/>
          <w:sz w:val="24"/>
          <w:szCs w:val="24"/>
        </w:rPr>
        <w:t>双碳目标</w:t>
      </w:r>
      <w:proofErr w:type="gramEnd"/>
      <w:r>
        <w:rPr>
          <w:rFonts w:asciiTheme="minorEastAsia" w:hAnsiTheme="minorEastAsia" w:cs="宋体" w:hint="eastAsia"/>
          <w:b/>
          <w:bCs/>
          <w:sz w:val="24"/>
          <w:szCs w:val="24"/>
        </w:rPr>
        <w:t>下企业绿色转型的教训和启示</w:t>
      </w:r>
    </w:p>
    <w:p w14:paraId="24DBDBE8"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1环境社会责任视角：</w:t>
      </w:r>
      <w:r>
        <w:rPr>
          <w:rFonts w:asciiTheme="minorEastAsia" w:hAnsiTheme="minorEastAsia" w:cs="宋体" w:hint="eastAsia"/>
          <w:sz w:val="24"/>
          <w:szCs w:val="24"/>
        </w:rPr>
        <w:t>环境社会责任是企业考虑绿色转型的重要原因之一，这意味着企业不仅需要关注自身的经济利益，同时也要关注环境保护和可持续发展。企业在制定绿色转型战略时需要将环境社会责任贯穿始终，例如通过减少能源消耗、降低污染物排放、合理利用资源等方式来履行环境社会责任。企业需要承担的责任使企业不得不趋向绿色转型，但又为企业绿色转型开拓了道路。企业社会责任的约束和规范作用可以促使企业积极采取有利于绿色转型的措施，如采用环保材料、引进节能技术、建立环保管理体系等，降低对环境的负面影响，提高企业的社会责任感和公信力；也可以促使企业内部各级管理者和员工积极支持</w:t>
      </w:r>
      <w:r>
        <w:rPr>
          <w:rFonts w:asciiTheme="minorEastAsia" w:hAnsiTheme="minorEastAsia" w:cs="宋体" w:hint="eastAsia"/>
          <w:sz w:val="24"/>
          <w:szCs w:val="24"/>
        </w:rPr>
        <w:lastRenderedPageBreak/>
        <w:t xml:space="preserve">和配合这些措施的落实，从而保障企业绿色转型的顺利进行。所以，在绿色转型的路上，企业应该意识到企业承担社会责任和绿色转型是相互促进、共同发展的，都能够促进和实现企业与社会的可持续发展。 </w:t>
      </w:r>
    </w:p>
    <w:p w14:paraId="219023C2"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2创新驱动视角：</w:t>
      </w:r>
      <w:r>
        <w:rPr>
          <w:rFonts w:asciiTheme="minorEastAsia" w:hAnsiTheme="minorEastAsia" w:cs="宋体" w:hint="eastAsia"/>
          <w:sz w:val="24"/>
          <w:szCs w:val="24"/>
        </w:rPr>
        <w:t xml:space="preserve">创新是企业绿色转型的关键因素，包括技术、制度、市场等方面的创新。企业需要不断引进和研发新技术、新工艺，改善生产流程，提高资源利用效率，减少对环境的负面影响。同时，企业也需要进行制度创新，例如探索绿色金融和绿色供应链管理等新模式，为企业的绿色转型提供强有力的支持。此外，企业还需要关注市场需求，推广绿色产品和服务，通过产品和有关机制的设计增强客户对环保的介入度，激发并满足消费者对环保和可持续发展的需求，从供需两侧入手推动企业绿色转型。 </w:t>
      </w:r>
    </w:p>
    <w:p w14:paraId="31B8801A" w14:textId="77777777" w:rsidR="0060714C" w:rsidRDefault="00000000">
      <w:pPr>
        <w:spacing w:line="360" w:lineRule="auto"/>
        <w:ind w:firstLineChars="200" w:firstLine="482"/>
        <w:rPr>
          <w:rFonts w:asciiTheme="minorEastAsia" w:hAnsiTheme="minorEastAsia" w:cs="宋体" w:hint="eastAsia"/>
          <w:sz w:val="24"/>
          <w:szCs w:val="24"/>
        </w:rPr>
      </w:pPr>
      <w:r>
        <w:rPr>
          <w:rFonts w:asciiTheme="minorEastAsia" w:hAnsiTheme="minorEastAsia" w:cs="宋体" w:hint="eastAsia"/>
          <w:b/>
          <w:bCs/>
          <w:sz w:val="24"/>
          <w:szCs w:val="24"/>
        </w:rPr>
        <w:t>3产业协同视角：</w:t>
      </w:r>
      <w:r>
        <w:rPr>
          <w:rFonts w:asciiTheme="minorEastAsia" w:hAnsiTheme="minorEastAsia" w:cs="宋体" w:hint="eastAsia"/>
          <w:sz w:val="24"/>
          <w:szCs w:val="24"/>
        </w:rPr>
        <w:t>我们发现企业在绿色转型过程中往往更关注自身，而忽略产业间的协同发展，造成不必要的成本和环节。所以企业在后续转型过程中需要格外注重与供应商、生产商、销售商等上下游企业紧密合作，共同推进绿色供应链的构建。这意味着企业有可能实现从原材料采购到产品销售的全程绿色管理，例如采用环保材料和节能设计，采用清洁生产技术和提高能源利用效率，推广绿色消费理念并建立完善的回收体系以实现资源的循环利用等。通过合作，企业可以共同研发新技术、优化生产流程、提高资源利用效率，减少整个供应链的碳排放和对环境的影响。这样可以使企业在绿色转型过程中获得更多的支持和资源，同时也有利于整个产业的可持续发展。企业各个部门和环节需要协同合作，同时也需要与供应商、销售商、政府和官方组织等利益相关者进行合作。</w:t>
      </w:r>
    </w:p>
    <w:p w14:paraId="0E1728E2" w14:textId="77777777" w:rsidR="0060714C" w:rsidRDefault="0060714C">
      <w:pPr>
        <w:spacing w:line="360" w:lineRule="auto"/>
        <w:ind w:firstLineChars="200" w:firstLine="480"/>
        <w:rPr>
          <w:rFonts w:asciiTheme="minorEastAsia" w:hAnsiTheme="minorEastAsia" w:cs="宋体" w:hint="eastAsia"/>
          <w:sz w:val="24"/>
          <w:szCs w:val="24"/>
        </w:rPr>
      </w:pPr>
    </w:p>
    <w:p w14:paraId="29882BDD" w14:textId="77777777" w:rsidR="0060714C" w:rsidRDefault="0060714C">
      <w:pPr>
        <w:spacing w:line="360" w:lineRule="auto"/>
        <w:rPr>
          <w:rFonts w:asciiTheme="minorEastAsia" w:hAnsiTheme="minorEastAsia" w:cs="宋体" w:hint="eastAsia"/>
          <w:sz w:val="24"/>
          <w:szCs w:val="24"/>
        </w:rPr>
      </w:pPr>
    </w:p>
    <w:p w14:paraId="680774E1"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参考文献：</w:t>
      </w:r>
    </w:p>
    <w:p w14:paraId="011BD367"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1.《工业富联碳中和白皮书》</w:t>
      </w:r>
    </w:p>
    <w:p w14:paraId="2389CCF8"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2.《中国双碳大数据指数白皮书》</w:t>
      </w:r>
    </w:p>
    <w:p w14:paraId="7889028F" w14:textId="77777777" w:rsidR="0060714C" w:rsidRDefault="00000000">
      <w:pPr>
        <w:spacing w:line="360" w:lineRule="auto"/>
        <w:rPr>
          <w:rFonts w:asciiTheme="minorEastAsia" w:hAnsiTheme="minorEastAsia" w:cs="宋体" w:hint="eastAsia"/>
          <w:sz w:val="24"/>
          <w:szCs w:val="24"/>
        </w:rPr>
      </w:pPr>
      <w:r>
        <w:rPr>
          <w:rFonts w:asciiTheme="minorEastAsia" w:hAnsiTheme="minorEastAsia" w:cs="宋体" w:hint="eastAsia"/>
          <w:sz w:val="24"/>
          <w:szCs w:val="24"/>
        </w:rPr>
        <w:t>3.shell</w:t>
      </w:r>
      <w:proofErr w:type="gramStart"/>
      <w:r>
        <w:rPr>
          <w:rFonts w:asciiTheme="minorEastAsia" w:hAnsiTheme="minorEastAsia" w:cs="宋体" w:hint="eastAsia"/>
          <w:sz w:val="24"/>
          <w:szCs w:val="24"/>
        </w:rPr>
        <w:t>公司官网资料</w:t>
      </w:r>
      <w:proofErr w:type="gramEnd"/>
    </w:p>
    <w:p w14:paraId="3B3423B2" w14:textId="77777777" w:rsidR="0060714C" w:rsidRDefault="00000000">
      <w:pPr>
        <w:spacing w:line="360" w:lineRule="auto"/>
        <w:jc w:val="left"/>
        <w:rPr>
          <w:rFonts w:asciiTheme="minorEastAsia" w:hAnsiTheme="minorEastAsia" w:hint="eastAsia"/>
          <w:sz w:val="24"/>
          <w:szCs w:val="24"/>
        </w:rPr>
      </w:pPr>
      <w:r>
        <w:rPr>
          <w:rFonts w:asciiTheme="minorEastAsia" w:hAnsiTheme="minorEastAsia" w:hint="eastAsia"/>
          <w:sz w:val="24"/>
          <w:szCs w:val="24"/>
        </w:rPr>
        <w:t>4.</w:t>
      </w:r>
      <w:r>
        <w:rPr>
          <w:rFonts w:asciiTheme="minorEastAsia" w:hAnsiTheme="minorEastAsia"/>
          <w:sz w:val="24"/>
          <w:szCs w:val="24"/>
        </w:rPr>
        <w:t>《2022我国绿色金融产品发展现状及存在的问题》——中</w:t>
      </w:r>
      <w:proofErr w:type="gramStart"/>
      <w:r>
        <w:rPr>
          <w:rFonts w:asciiTheme="minorEastAsia" w:hAnsiTheme="minorEastAsia"/>
          <w:sz w:val="24"/>
          <w:szCs w:val="24"/>
        </w:rPr>
        <w:t>研</w:t>
      </w:r>
      <w:proofErr w:type="gramEnd"/>
      <w:r>
        <w:rPr>
          <w:rFonts w:asciiTheme="minorEastAsia" w:hAnsiTheme="minorEastAsia"/>
          <w:sz w:val="24"/>
          <w:szCs w:val="24"/>
        </w:rPr>
        <w:t>网</w:t>
      </w:r>
    </w:p>
    <w:p w14:paraId="5A4A2992" w14:textId="77777777" w:rsidR="0060714C" w:rsidRDefault="00000000">
      <w:pPr>
        <w:spacing w:line="360" w:lineRule="auto"/>
        <w:jc w:val="left"/>
        <w:rPr>
          <w:rFonts w:asciiTheme="minorEastAsia" w:hAnsiTheme="minorEastAsia" w:hint="eastAsia"/>
          <w:sz w:val="24"/>
          <w:szCs w:val="24"/>
        </w:rPr>
      </w:pPr>
      <w:r>
        <w:rPr>
          <w:rFonts w:asciiTheme="minorEastAsia" w:hAnsiTheme="minorEastAsia" w:hint="eastAsia"/>
          <w:sz w:val="24"/>
          <w:szCs w:val="24"/>
        </w:rPr>
        <w:t>5.李帅娜，刘东阁，梁志杰．</w:t>
      </w:r>
      <w:r>
        <w:rPr>
          <w:rFonts w:asciiTheme="minorEastAsia" w:hAnsiTheme="minorEastAsia" w:cs="宋体" w:hint="eastAsia"/>
          <w:sz w:val="24"/>
          <w:szCs w:val="24"/>
        </w:rPr>
        <w:t>《</w:t>
      </w:r>
      <w:r>
        <w:rPr>
          <w:rFonts w:asciiTheme="minorEastAsia" w:hAnsiTheme="minorEastAsia" w:hint="eastAsia"/>
          <w:sz w:val="24"/>
          <w:szCs w:val="24"/>
        </w:rPr>
        <w:t>促进还是抑制：数字化与制造业绿色转型发展</w:t>
      </w:r>
      <w:r>
        <w:rPr>
          <w:rFonts w:asciiTheme="minorEastAsia" w:hAnsiTheme="minorEastAsia" w:cs="宋体" w:hint="eastAsia"/>
          <w:sz w:val="24"/>
          <w:szCs w:val="24"/>
        </w:rPr>
        <w:t>》</w:t>
      </w:r>
    </w:p>
    <w:p w14:paraId="6A29B1EF" w14:textId="77777777" w:rsidR="0060714C" w:rsidRDefault="00000000">
      <w:pPr>
        <w:spacing w:line="360" w:lineRule="auto"/>
        <w:jc w:val="left"/>
        <w:rPr>
          <w:rFonts w:asciiTheme="minorEastAsia" w:hAnsiTheme="minorEastAsia" w:hint="eastAsia"/>
          <w:sz w:val="24"/>
          <w:szCs w:val="24"/>
        </w:rPr>
      </w:pPr>
      <w:r>
        <w:rPr>
          <w:rFonts w:asciiTheme="minorEastAsia" w:hAnsiTheme="minorEastAsia" w:hint="eastAsia"/>
          <w:sz w:val="24"/>
          <w:szCs w:val="24"/>
        </w:rPr>
        <w:lastRenderedPageBreak/>
        <w:t xml:space="preserve">[J/OL]．当代经济管理. </w:t>
      </w:r>
    </w:p>
    <w:p w14:paraId="5C9C0D3E" w14:textId="77777777" w:rsidR="0060714C" w:rsidRDefault="00000000">
      <w:pPr>
        <w:adjustRightInd w:val="0"/>
        <w:snapToGrid w:val="0"/>
        <w:spacing w:line="360" w:lineRule="auto"/>
        <w:rPr>
          <w:rFonts w:ascii="宋体" w:hAnsi="宋体" w:cs="宋体" w:hint="eastAsia"/>
          <w:sz w:val="24"/>
          <w:szCs w:val="24"/>
        </w:rPr>
      </w:pPr>
      <w:r>
        <w:rPr>
          <w:rFonts w:ascii="宋体" w:eastAsia="宋体" w:hAnsi="宋体" w:cs="宋体" w:hint="eastAsia"/>
          <w:sz w:val="24"/>
          <w:szCs w:val="24"/>
        </w:rPr>
        <w:t>6.袁晓婷</w:t>
      </w:r>
      <w:r>
        <w:rPr>
          <w:rFonts w:asciiTheme="minorEastAsia" w:hAnsiTheme="minorEastAsia" w:cs="宋体" w:hint="eastAsia"/>
          <w:sz w:val="24"/>
          <w:szCs w:val="24"/>
        </w:rPr>
        <w:t>《</w:t>
      </w:r>
      <w:r>
        <w:rPr>
          <w:rFonts w:ascii="宋体" w:eastAsia="宋体" w:hAnsi="宋体" w:cs="宋体" w:hint="eastAsia"/>
          <w:sz w:val="24"/>
          <w:szCs w:val="24"/>
        </w:rPr>
        <w:t>数字技术赋能制造业绿色转型的路径分析</w:t>
      </w:r>
      <w:r>
        <w:rPr>
          <w:rFonts w:asciiTheme="minorEastAsia" w:hAnsiTheme="minorEastAsia" w:cs="宋体" w:hint="eastAsia"/>
          <w:sz w:val="24"/>
          <w:szCs w:val="24"/>
        </w:rPr>
        <w:t>》——</w:t>
      </w:r>
      <w:proofErr w:type="gramStart"/>
      <w:r>
        <w:rPr>
          <w:rFonts w:asciiTheme="minorEastAsia" w:hAnsiTheme="minorEastAsia" w:cs="宋体" w:hint="eastAsia"/>
          <w:sz w:val="24"/>
          <w:szCs w:val="24"/>
        </w:rPr>
        <w:t>—</w:t>
      </w:r>
      <w:proofErr w:type="gramEnd"/>
      <w:r>
        <w:rPr>
          <w:rFonts w:asciiTheme="minorEastAsia" w:hAnsiTheme="minorEastAsia" w:cs="宋体" w:hint="eastAsia"/>
          <w:sz w:val="24"/>
          <w:szCs w:val="24"/>
        </w:rPr>
        <w:t>市场周刊</w:t>
      </w:r>
    </w:p>
    <w:sectPr w:rsidR="006071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1488" w14:textId="77777777" w:rsidR="00332DA5" w:rsidRDefault="00332DA5">
      <w:r>
        <w:separator/>
      </w:r>
    </w:p>
  </w:endnote>
  <w:endnote w:type="continuationSeparator" w:id="0">
    <w:p w14:paraId="79AE11A4" w14:textId="77777777" w:rsidR="00332DA5" w:rsidRDefault="0033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0F506" w14:textId="77777777" w:rsidR="00332DA5" w:rsidRDefault="00332DA5">
      <w:r>
        <w:separator/>
      </w:r>
    </w:p>
  </w:footnote>
  <w:footnote w:type="continuationSeparator" w:id="0">
    <w:p w14:paraId="4600BE1F" w14:textId="77777777" w:rsidR="00332DA5" w:rsidRDefault="00332D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g1MDUzZDFmMTZlNGY1ODA4YmQzZWIwNTI4MGE1MjEifQ=="/>
  </w:docVars>
  <w:rsids>
    <w:rsidRoot w:val="00BB73BD"/>
    <w:rsid w:val="00082C97"/>
    <w:rsid w:val="000C2761"/>
    <w:rsid w:val="002234D4"/>
    <w:rsid w:val="002C7D9E"/>
    <w:rsid w:val="00332DA5"/>
    <w:rsid w:val="003E3233"/>
    <w:rsid w:val="004064E2"/>
    <w:rsid w:val="004F47F1"/>
    <w:rsid w:val="0060714C"/>
    <w:rsid w:val="00705427"/>
    <w:rsid w:val="0072313E"/>
    <w:rsid w:val="00760A85"/>
    <w:rsid w:val="008F6CFA"/>
    <w:rsid w:val="00980721"/>
    <w:rsid w:val="009F1299"/>
    <w:rsid w:val="00A933AB"/>
    <w:rsid w:val="00BB73BD"/>
    <w:rsid w:val="00BE34FA"/>
    <w:rsid w:val="00C267F6"/>
    <w:rsid w:val="00C276C7"/>
    <w:rsid w:val="00CE000A"/>
    <w:rsid w:val="00D6130B"/>
    <w:rsid w:val="00F7152A"/>
    <w:rsid w:val="00FC5E48"/>
    <w:rsid w:val="01747943"/>
    <w:rsid w:val="04742263"/>
    <w:rsid w:val="139153FB"/>
    <w:rsid w:val="24DB098F"/>
    <w:rsid w:val="2B217B35"/>
    <w:rsid w:val="2ED266CD"/>
    <w:rsid w:val="32E100CE"/>
    <w:rsid w:val="39A11C3D"/>
    <w:rsid w:val="3B63577F"/>
    <w:rsid w:val="40A951CC"/>
    <w:rsid w:val="597827FF"/>
    <w:rsid w:val="5B0760FB"/>
    <w:rsid w:val="63F07540"/>
    <w:rsid w:val="697D5A80"/>
    <w:rsid w:val="7D6F4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6CCFF"/>
  <w15:docId w15:val="{6954D6E2-A8A2-4502-9081-65D18CCA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王传令</dc:creator>
  <cp:lastModifiedBy>传令 王</cp:lastModifiedBy>
  <cp:revision>3</cp:revision>
  <dcterms:created xsi:type="dcterms:W3CDTF">2023-10-19T07:17:00Z</dcterms:created>
  <dcterms:modified xsi:type="dcterms:W3CDTF">2025-03-28T00:19:00Z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559EF5295DEA48CD9D13B4AD8AE452DA_13</vt:lpwstr>
  </property>
</Properties>
</file>