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52"/>
        </w:rPr>
        <w:t>Floranow CRM</w:t>
      </w:r>
    </w:p>
    <w:p>
      <w:r>
        <w:rPr>
          <w:color w:val="5A5A5A"/>
          <w:sz w:val="30"/>
        </w:rPr>
        <w:t>Data Model Sync — dev to production</w:t>
      </w:r>
    </w:p>
    <w:p>
      <w:r>
        <w:rPr>
          <w:color w:val="5A5A5A"/>
          <w:sz w:val="19"/>
        </w:rPr>
        <w:t>Reference document · Twenty CRM (Floranow fork)</w:t>
        <w:br/>
        <w:t>Covers: how UI changes are stored, how they are read from dev, how they reach production, and how this differs from code deployment.</w:t>
      </w:r>
    </w:p>
    <w:p/>
    <w:p>
      <w:pPr>
        <w:spacing w:before="120" w:after="200"/>
        <w:ind w:left="173"/>
        <w:shd w:val="clear" w:fill="EAF6EC"/>
      </w:pPr>
      <w:r>
        <w:rPr>
          <w:b/>
        </w:rPr>
        <w:t xml:space="preserve">In one sentence:  </w:t>
      </w:r>
      <w:r>
        <w:t>changes you make by clicking in the dev UI are rows in the dev database; a script reads those rows, writes them into the repository as code, and production's own server is then asked over HTTPS to apply the same shape to itself.</w:t>
      </w:r>
    </w:p>
    <w:p>
      <w:pPr>
        <w:pStyle w:val="Heading1"/>
      </w:pPr>
      <w:r>
        <w:t>1. Two things travel separately</w:t>
      </w:r>
    </w:p>
    <w:p>
      <w:r>
        <w:t>The single most important idea in this document. Floranow CRM has two kinds of change, and they reach production by completely different routes.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r>
          </w:p>
        </w:tc>
        <w:tc>
          <w:tcPr>
            <w:tcW w:type="dxa" w:w="3600"/>
          </w:tcPr>
          <w:p>
            <w:r/>
            <w:r>
              <w:rPr>
                <w:b/>
                <w:sz w:val="19"/>
              </w:rPr>
              <w:t>Application code</w:t>
            </w:r>
          </w:p>
        </w:tc>
        <w:tc>
          <w:tcPr>
            <w:tcW w:type="dxa" w:w="3600"/>
          </w:tcPr>
          <w:p>
            <w:r/>
            <w:r>
              <w:rPr>
                <w:b/>
                <w:sz w:val="19"/>
              </w:rPr>
              <w:t>Data model</w:t>
            </w:r>
          </w:p>
        </w:tc>
      </w:tr>
      <w:tr>
        <w:tc>
          <w:tcPr>
            <w:tcW w:type="dxa" w:w="1872"/>
          </w:tcPr>
          <w:p>
            <w:r/>
            <w:r>
              <w:rPr>
                <w:sz w:val="19"/>
              </w:rPr>
              <w:t>What it is</w:t>
            </w:r>
          </w:p>
        </w:tc>
        <w:tc>
          <w:tcPr>
            <w:tcW w:type="dxa" w:w="3600"/>
          </w:tcPr>
          <w:p>
            <w:r/>
            <w:r>
              <w:rPr>
                <w:sz w:val="19"/>
              </w:rPr>
              <w:t>TypeScript — screens, buttons, exports, business logic</w:t>
            </w:r>
          </w:p>
        </w:tc>
        <w:tc>
          <w:tcPr>
            <w:tcW w:type="dxa" w:w="3600"/>
          </w:tcPr>
          <w:p>
            <w:r/>
            <w:r>
              <w:rPr>
                <w:sz w:val="19"/>
              </w:rPr>
              <w:t>Custom objects, fields, relations, views, record page layouts, widgets</w:t>
            </w:r>
          </w:p>
        </w:tc>
      </w:tr>
      <w:tr>
        <w:tc>
          <w:tcPr>
            <w:tcW w:type="dxa" w:w="1872"/>
          </w:tcPr>
          <w:p>
            <w:r/>
            <w:r>
              <w:rPr>
                <w:sz w:val="19"/>
              </w:rPr>
              <w:t>How you create it</w:t>
            </w:r>
          </w:p>
        </w:tc>
        <w:tc>
          <w:tcPr>
            <w:tcW w:type="dxa" w:w="3600"/>
          </w:tcPr>
          <w:p>
            <w:r/>
            <w:r>
              <w:rPr>
                <w:sz w:val="19"/>
              </w:rPr>
              <w:t>A developer writes code in an editor</w:t>
            </w:r>
          </w:p>
        </w:tc>
        <w:tc>
          <w:tcPr>
            <w:tcW w:type="dxa" w:w="3600"/>
          </w:tcPr>
          <w:p>
            <w:r/>
            <w:r>
              <w:rPr>
                <w:sz w:val="19"/>
              </w:rPr>
              <w:t>You click in the dev UI (Settings → Data model)</w:t>
            </w:r>
          </w:p>
        </w:tc>
      </w:tr>
      <w:tr>
        <w:tc>
          <w:tcPr>
            <w:tcW w:type="dxa" w:w="1872"/>
          </w:tcPr>
          <w:p>
            <w:r/>
            <w:r>
              <w:rPr>
                <w:sz w:val="19"/>
              </w:rPr>
              <w:t>Where it is stored</w:t>
            </w:r>
          </w:p>
        </w:tc>
        <w:tc>
          <w:tcPr>
            <w:tcW w:type="dxa" w:w="3600"/>
          </w:tcPr>
          <w:p>
            <w:r/>
            <w:r>
              <w:rPr>
                <w:sz w:val="19"/>
              </w:rPr>
              <w:t>Files in the Git repository</w:t>
            </w:r>
          </w:p>
        </w:tc>
        <w:tc>
          <w:tcPr>
            <w:tcW w:type="dxa" w:w="3600"/>
          </w:tcPr>
          <w:p>
            <w:r/>
            <w:r>
              <w:rPr>
                <w:sz w:val="19"/>
              </w:rPr>
              <w:t>Rows in the dev database</w:t>
            </w:r>
          </w:p>
        </w:tc>
      </w:tr>
      <w:tr>
        <w:tc>
          <w:tcPr>
            <w:tcW w:type="dxa" w:w="1872"/>
          </w:tcPr>
          <w:p>
            <w:r/>
            <w:r>
              <w:rPr>
                <w:sz w:val="19"/>
              </w:rPr>
              <w:t>How it reaches dev</w:t>
            </w:r>
          </w:p>
        </w:tc>
        <w:tc>
          <w:tcPr>
            <w:tcW w:type="dxa" w:w="3600"/>
          </w:tcPr>
          <w:p>
            <w:r/>
            <w:r>
              <w:rPr>
                <w:sz w:val="19"/>
              </w:rPr>
              <w:t>Push to the dev branch → Jenkins builds and deploys</w:t>
            </w:r>
          </w:p>
        </w:tc>
        <w:tc>
          <w:tcPr>
            <w:tcW w:type="dxa" w:w="3600"/>
          </w:tcPr>
          <w:p>
            <w:r/>
            <w:r>
              <w:rPr>
                <w:sz w:val="19"/>
              </w:rPr>
              <w:t>It is already there — you just created it</w:t>
            </w:r>
          </w:p>
        </w:tc>
      </w:tr>
      <w:tr>
        <w:tc>
          <w:tcPr>
            <w:tcW w:type="dxa" w:w="1872"/>
          </w:tcPr>
          <w:p>
            <w:r/>
            <w:r>
              <w:rPr>
                <w:sz w:val="19"/>
              </w:rPr>
              <w:t>How it reaches prod</w:t>
            </w:r>
          </w:p>
        </w:tc>
        <w:tc>
          <w:tcPr>
            <w:tcW w:type="dxa" w:w="3600"/>
          </w:tcPr>
          <w:p>
            <w:r/>
            <w:r>
              <w:rPr>
                <w:sz w:val="19"/>
              </w:rPr>
              <w:t>Merge dev → main → Jenkins builds and deploys</w:t>
            </w:r>
          </w:p>
        </w:tc>
        <w:tc>
          <w:tcPr>
            <w:tcW w:type="dxa" w:w="3600"/>
          </w:tcPr>
          <w:p>
            <w:r/>
            <w:r>
              <w:rPr>
                <w:sz w:val="19"/>
              </w:rPr>
              <w:t>model:pull → commit → app:publish → app:install</w:t>
            </w:r>
          </w:p>
        </w:tc>
      </w:tr>
    </w:tbl>
    <w:p>
      <w:pPr>
        <w:spacing w:after="40"/>
      </w:pPr>
    </w:p>
    <w:p>
      <w:pPr>
        <w:spacing w:before="120" w:after="200"/>
        <w:ind w:left="173"/>
        <w:shd w:val="clear" w:fill="FFF4E5"/>
      </w:pPr>
      <w:r>
        <w:rPr>
          <w:b/>
        </w:rPr>
        <w:t xml:space="preserve">Practical test:  </w:t>
      </w:r>
      <w:r>
        <w:t>if you built it by clicking in Settings, it is data model and follows this document. If a developer wrote code for it, it is a normal deployment and follows the usual dev → main → Jenkins route. An "export leads" button is code. A "Lead Source" field is data model.</w:t>
      </w:r>
    </w:p>
    <w:p>
      <w:r>
        <w:t>Note the asymmetry: for code, dev is a place you deploy to. For the data model, dev is the source of truth — the place the model is authored and read from. Nothing is ever deployed to dev's data model.</w:t>
      </w:r>
    </w:p>
    <w:p>
      <w:pPr>
        <w:pStyle w:val="Heading1"/>
      </w:pPr>
      <w:r>
        <w:t>2. Where your UI clicks are actually saved</w:t>
      </w:r>
    </w:p>
    <w:p>
      <w:r>
        <w:t>When you add a field in Settings → Data model, the dev front end calls dev's metadata GraphQL API, and that writes into the dev database in two separate places: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Layer</w:t>
            </w:r>
          </w:p>
        </w:tc>
        <w:tc>
          <w:tcPr>
            <w:tcW w:type="dxa" w:w="2448"/>
          </w:tcPr>
          <w:p>
            <w:r/>
            <w:r>
              <w:rPr>
                <w:b/>
                <w:sz w:val="19"/>
              </w:rPr>
              <w:t>Location in the database</w:t>
            </w:r>
          </w:p>
        </w:tc>
        <w:tc>
          <w:tcPr>
            <w:tcW w:type="dxa" w:w="4464"/>
          </w:tcPr>
          <w:p>
            <w:r/>
            <w:r>
              <w:rPr>
                <w:b/>
                <w:sz w:val="19"/>
              </w:rPr>
              <w:t>What it holds</w:t>
            </w:r>
          </w:p>
        </w:tc>
      </w:tr>
      <w:tr>
        <w:tc>
          <w:tcPr>
            <w:tcW w:type="dxa" w:w="2160"/>
          </w:tcPr>
          <w:p>
            <w:r/>
            <w:r>
              <w:rPr>
                <w:sz w:val="19"/>
              </w:rPr>
              <w:t>Description of the model</w:t>
            </w:r>
          </w:p>
        </w:tc>
        <w:tc>
          <w:tcPr>
            <w:tcW w:type="dxa" w:w="2448"/>
          </w:tcPr>
          <w:p>
            <w:r/>
            <w:r>
              <w:rPr>
                <w:sz w:val="19"/>
              </w:rPr>
              <w:t>`core` schema</w:t>
            </w:r>
          </w:p>
        </w:tc>
        <w:tc>
          <w:tcPr>
            <w:tcW w:type="dxa" w:w="4464"/>
          </w:tcPr>
          <w:p>
            <w:r/>
            <w:r>
              <w:rPr>
                <w:sz w:val="19"/>
              </w:rPr>
              <w:t>objectMetadata, fieldMetadata, view, viewField, viewFieldGroup, pageLayout, pageLayoutTab, pageLayoutWidget, navigationMenuItem, indexMetadata</w:t>
            </w:r>
          </w:p>
        </w:tc>
      </w:tr>
      <w:tr>
        <w:tc>
          <w:tcPr>
            <w:tcW w:type="dxa" w:w="2160"/>
          </w:tcPr>
          <w:p>
            <w:r/>
            <w:r>
              <w:rPr>
                <w:sz w:val="19"/>
              </w:rPr>
              <w:t>The records themselves</w:t>
            </w:r>
          </w:p>
        </w:tc>
        <w:tc>
          <w:tcPr>
            <w:tcW w:type="dxa" w:w="2448"/>
          </w:tcPr>
          <w:p>
            <w:r/>
            <w:r>
              <w:rPr>
                <w:sz w:val="19"/>
              </w:rPr>
              <w:t>`workspace_b46jpe…` schema</w:t>
            </w:r>
          </w:p>
        </w:tc>
        <w:tc>
          <w:tcPr>
            <w:tcW w:type="dxa" w:w="4464"/>
          </w:tcPr>
          <w:p>
            <w:r/>
            <w:r>
              <w:rPr>
                <w:sz w:val="19"/>
              </w:rPr>
              <w:t>The real tables — visit, company, person — holding actual rows</w:t>
            </w:r>
          </w:p>
        </w:tc>
      </w:tr>
    </w:tbl>
    <w:p>
      <w:pPr>
        <w:spacing w:after="40"/>
      </w:pPr>
    </w:p>
    <w:p>
      <w:r>
        <w:t>So adding one field to Visit produces two changes:</w:t>
      </w:r>
    </w:p>
    <w:p>
      <w:pPr>
        <w:pStyle w:val="ListBullet"/>
        <w:spacing w:after="60"/>
      </w:pPr>
      <w:r>
        <w:rPr>
          <w:b/>
        </w:rPr>
        <w:t xml:space="preserve">One row </w:t>
      </w:r>
      <w:r>
        <w:t>in core.fieldMetadata describing the field</w:t>
      </w:r>
    </w:p>
    <w:p>
      <w:pPr>
        <w:pStyle w:val="ListBullet"/>
        <w:spacing w:after="60"/>
      </w:pPr>
      <w:r>
        <w:rPr>
          <w:b/>
        </w:rPr>
        <w:t xml:space="preserve">One new column </w:t>
      </w:r>
      <w:r>
        <w:t>on the visit table in the workspace schema</w:t>
      </w:r>
    </w:p>
    <w:p>
      <w:r>
        <w:t>This is precisely why the data model never travelled with a Jenkins deploy: it is data sitting in a database, not code sitting in the repository. Deploying code does not copy database rows.</w:t>
      </w:r>
    </w:p>
    <w:p>
      <w:pPr>
        <w:pStyle w:val="Heading2"/>
      </w:pPr>
      <w:r>
        <w:t>The identifier that makes everything work</w:t>
      </w:r>
    </w:p>
    <w:p>
      <w:r>
        <w:t>Every metadata row carries two identifiers, and the difference between them is the foundation of the whole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19"/>
              </w:rPr>
              <w:t>Column</w:t>
            </w:r>
          </w:p>
        </w:tc>
        <w:tc>
          <w:tcPr>
            <w:tcW w:type="dxa" w:w="4896"/>
          </w:tcPr>
          <w:p>
            <w:r/>
            <w:r>
              <w:rPr>
                <w:b/>
                <w:sz w:val="19"/>
              </w:rPr>
              <w:t>Behaviour</w:t>
            </w:r>
          </w:p>
        </w:tc>
        <w:tc>
          <w:tcPr>
            <w:tcW w:type="dxa" w:w="2592"/>
          </w:tcPr>
          <w:p>
            <w:r/>
            <w:r>
              <w:rPr>
                <w:b/>
                <w:sz w:val="19"/>
              </w:rPr>
              <w:t>Example</w:t>
            </w:r>
          </w:p>
        </w:tc>
      </w:tr>
      <w:tr>
        <w:tc>
          <w:tcPr>
            <w:tcW w:type="dxa" w:w="2304"/>
          </w:tcPr>
          <w:p>
            <w:r/>
            <w:r>
              <w:rPr>
                <w:rFonts w:ascii="Consolas" w:hAnsi="Consolas"/>
                <w:sz w:val="17"/>
              </w:rPr>
              <w:t>id</w:t>
            </w:r>
          </w:p>
        </w:tc>
        <w:tc>
          <w:tcPr>
            <w:tcW w:type="dxa" w:w="4896"/>
          </w:tcPr>
          <w:p>
            <w:r/>
            <w:r>
              <w:rPr>
                <w:sz w:val="19"/>
              </w:rPr>
              <w:t>Local to each database. Dev and prod always differ.</w:t>
            </w:r>
          </w:p>
        </w:tc>
        <w:tc>
          <w:tcPr>
            <w:tcW w:type="dxa" w:w="2592"/>
          </w:tcPr>
          <w:p>
            <w:r/>
            <w:r>
              <w:rPr>
                <w:sz w:val="19"/>
              </w:rPr>
              <w:t>dev a3f1… / prod 9c22…</w:t>
            </w:r>
          </w:p>
        </w:tc>
      </w:tr>
      <w:tr>
        <w:tc>
          <w:tcPr>
            <w:tcW w:type="dxa" w:w="2304"/>
          </w:tcPr>
          <w:p>
            <w:r/>
            <w:r>
              <w:rPr>
                <w:rFonts w:ascii="Consolas" w:hAnsi="Consolas"/>
                <w:sz w:val="17"/>
              </w:rPr>
              <w:t>universalIdentifier</w:t>
            </w:r>
          </w:p>
        </w:tc>
        <w:tc>
          <w:tcPr>
            <w:tcW w:type="dxa" w:w="4896"/>
          </w:tcPr>
          <w:p>
            <w:r/>
            <w:r>
              <w:rPr>
                <w:sz w:val="19"/>
              </w:rPr>
              <w:t>Meant to be identical on every instance. Copied from dev to prod.</w:t>
            </w:r>
          </w:p>
        </w:tc>
        <w:tc>
          <w:tcPr>
            <w:tcW w:type="dxa" w:w="2592"/>
          </w:tcPr>
          <w:p>
            <w:r/>
            <w:r>
              <w:rPr>
                <w:sz w:val="19"/>
              </w:rPr>
              <w:t>8015… on both</w:t>
            </w:r>
          </w:p>
        </w:tc>
      </w:tr>
    </w:tbl>
    <w:p>
      <w:pPr>
        <w:spacing w:after="40"/>
      </w:pPr>
    </w:p>
    <w:p>
      <w:r>
        <w:t>The sync copies universalIdentifier verbatim from dev, through the repository, into production. Because both sides share it, production recognises a renamed field as the same field and performs a rename that keeps the data — instead of dropping the old column and creating an empty new one.</w:t>
      </w:r>
    </w:p>
    <w:p>
      <w:pPr>
        <w:spacing w:before="120" w:after="200"/>
        <w:ind w:left="173"/>
        <w:shd w:val="clear" w:fill="FFF4E5"/>
      </w:pPr>
      <w:r>
        <w:rPr>
          <w:b/>
        </w:rPr>
        <w:t xml:space="preserve">Why this matters:  </w:t>
      </w:r>
      <w:r>
        <w:t>get identifiers wrong and every deployment silently destroys and recreates columns, losing their contents. This is also why generated files must never be edited by hand.</w:t>
      </w:r>
    </w:p>
    <w:p>
      <w:pPr>
        <w:pStyle w:val="Heading1"/>
      </w:pPr>
      <w:r>
        <w:t>3. Reading the model out of dev</w:t>
      </w:r>
    </w:p>
    <w:p>
      <w:r>
        <w:t>Command:</w:t>
      </w:r>
    </w:p>
    <w:p>
      <w:pPr>
        <w:spacing w:before="80" w:after="160" w:line="240" w:lineRule="auto"/>
        <w:ind w:left="317"/>
        <w:shd w:val="clear" w:fill="F2F3F5"/>
      </w:pPr>
      <w:r>
        <w:rPr>
          <w:rFonts w:ascii="Consolas" w:hAnsi="Consolas"/>
          <w:sz w:val="18"/>
        </w:rPr>
        <w:t>cd packages/twenty-apps/floranow/data-model</w:t>
        <w:br/>
        <w:t>yarn model:pull</w:t>
      </w:r>
    </w:p>
    <w:p>
      <w:r>
        <w:t>This runs scripts/pull-model.ts. It opens a direct PostgreSQL connection to the dev database and runs SELECT statements against sixteen tables in the core schema. It reads only — it never writes to dev.</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9"/>
              </w:rPr>
              <w:t>Item</w:t>
            </w:r>
          </w:p>
        </w:tc>
        <w:tc>
          <w:tcPr>
            <w:tcW w:type="dxa" w:w="6912"/>
          </w:tcPr>
          <w:p>
            <w:r/>
            <w:r>
              <w:rPr>
                <w:b/>
                <w:sz w:val="19"/>
              </w:rPr>
              <w:t>Detail</w:t>
            </w:r>
          </w:p>
        </w:tc>
      </w:tr>
      <w:tr>
        <w:tc>
          <w:tcPr>
            <w:tcW w:type="dxa" w:w="2160"/>
          </w:tcPr>
          <w:p>
            <w:r/>
            <w:r>
              <w:rPr>
                <w:sz w:val="19"/>
              </w:rPr>
              <w:t>Mechanism</w:t>
            </w:r>
          </w:p>
        </w:tc>
        <w:tc>
          <w:tcPr>
            <w:tcW w:type="dxa" w:w="6912"/>
          </w:tcPr>
          <w:p>
            <w:r/>
            <w:r>
              <w:rPr>
                <w:sz w:val="19"/>
              </w:rPr>
              <w:t>Direct PostgreSQL connection (SELECT only)</w:t>
            </w:r>
          </w:p>
        </w:tc>
      </w:tr>
      <w:tr>
        <w:tc>
          <w:tcPr>
            <w:tcW w:type="dxa" w:w="2160"/>
          </w:tcPr>
          <w:p>
            <w:r/>
            <w:r>
              <w:rPr>
                <w:sz w:val="19"/>
              </w:rPr>
              <w:t>Credential</w:t>
            </w:r>
          </w:p>
        </w:tc>
        <w:tc>
          <w:tcPr>
            <w:tcW w:type="dxa" w:w="6912"/>
          </w:tcPr>
          <w:p>
            <w:r/>
            <w:r>
              <w:rPr>
                <w:sz w:val="19"/>
              </w:rPr>
              <w:t>`TWENTY_DEV_DATABASE_URL` — a read-only database role</w:t>
            </w:r>
          </w:p>
        </w:tc>
      </w:tr>
      <w:tr>
        <w:tc>
          <w:tcPr>
            <w:tcW w:type="dxa" w:w="2160"/>
          </w:tcPr>
          <w:p>
            <w:r/>
            <w:r>
              <w:rPr>
                <w:sz w:val="19"/>
              </w:rPr>
              <w:t>Target</w:t>
            </w:r>
          </w:p>
        </w:tc>
        <w:tc>
          <w:tcPr>
            <w:tcW w:type="dxa" w:w="6912"/>
          </w:tcPr>
          <w:p>
            <w:r/>
            <w:r>
              <w:rPr>
                <w:sz w:val="19"/>
              </w:rPr>
              <w:t>floranow-dev2…rds.amazonaws.com (private address, VPN required)</w:t>
            </w:r>
          </w:p>
        </w:tc>
      </w:tr>
      <w:tr>
        <w:tc>
          <w:tcPr>
            <w:tcW w:type="dxa" w:w="2160"/>
          </w:tcPr>
          <w:p>
            <w:r/>
            <w:r>
              <w:rPr>
                <w:sz w:val="19"/>
              </w:rPr>
              <w:t>Writes to dev?</w:t>
            </w:r>
          </w:p>
        </w:tc>
        <w:tc>
          <w:tcPr>
            <w:tcW w:type="dxa" w:w="6912"/>
          </w:tcPr>
          <w:p>
            <w:r/>
            <w:r>
              <w:rPr>
                <w:sz w:val="19"/>
              </w:rPr>
              <w:t>Never</w:t>
            </w:r>
          </w:p>
        </w:tc>
      </w:tr>
    </w:tbl>
    <w:p>
      <w:pPr>
        <w:spacing w:after="40"/>
      </w:pPr>
    </w:p>
    <w:p>
      <w:pPr>
        <w:pStyle w:val="Heading2"/>
      </w:pPr>
      <w:r>
        <w:t>Why the database and not the API</w:t>
      </w:r>
    </w:p>
    <w:p>
      <w:r>
        <w:t>Twenty's GraphQL API does not expose universalIdentifier on views, page layout tabs or widgets — the field the entire sync depends on. The database has it. Reading from the database is therefore not a shortcut; it is the only place the necessary information exists.</w:t>
      </w:r>
    </w:p>
    <w:p>
      <w:pPr>
        <w:spacing w:before="120" w:after="200"/>
        <w:ind w:left="173"/>
        <w:shd w:val="clear" w:fill="FFF4E5"/>
      </w:pPr>
      <w:r>
        <w:rPr>
          <w:b/>
        </w:rPr>
        <w:t xml:space="preserve">Security note:  </w:t>
      </w:r>
      <w:r>
        <w:t>the read-only role should be granted SELECT on the metadata tables only. It then cannot see the workspace_* schemas where every customer record lives — a narrower permission than any API key could have. The SQL to create it is in the package README.</w:t>
      </w:r>
    </w:p>
    <w:p>
      <w:pPr>
        <w:pStyle w:val="Heading2"/>
      </w:pPr>
      <w:r>
        <w:t>What the pull produces</w:t>
      </w:r>
    </w:p>
    <w:p>
      <w:r>
        <w:t>The script turns each database row into a readable TypeScript file. For example, the Company field "Account Status" becomes:</w:t>
      </w:r>
    </w:p>
    <w:p>
      <w:pPr>
        <w:spacing w:before="80" w:after="160" w:line="240" w:lineRule="auto"/>
        <w:ind w:left="317"/>
        <w:shd w:val="clear" w:fill="F2F3F5"/>
      </w:pPr>
      <w:r>
        <w:rPr>
          <w:rFonts w:ascii="Consolas" w:hAnsi="Consolas"/>
          <w:sz w:val="18"/>
        </w:rPr>
        <w:t>export default defineField({</w:t>
        <w:br/>
        <w:t xml:space="preserve">  universalIdentifier: "ab2fd4ee-e098-58ab-9e2d-b37674758415",</w:t>
        <w:br/>
        <w:t xml:space="preserve">  objectUniversalIdentifier: "20202020-…"  /* company */,</w:t>
        <w:br/>
        <w:t xml:space="preserve">  type: FieldType.SELECT,</w:t>
        <w:br/>
        <w:t xml:space="preserve">  name: "accountStatus",</w:t>
        <w:br/>
        <w:t xml:space="preserve">  label: "Account Status",</w:t>
        <w:br/>
        <w:t xml:space="preserve">  options: [ … 7 options … ],</w:t>
        <w:br/>
        <w:t>});</w:t>
      </w:r>
    </w:p>
    <w:p>
      <w:r>
        <w:t>Roughly 210 such files are produced, covering objects, fields, views, view fields, page layouts, navigation entries and indexes.</w:t>
      </w:r>
    </w:p>
    <w:p>
      <w:pPr>
        <w:spacing w:before="120" w:after="200"/>
        <w:ind w:left="173"/>
        <w:shd w:val="clear" w:fill="FFF4E5"/>
      </w:pPr>
      <w:r>
        <w:rPr>
          <w:b/>
        </w:rPr>
        <w:t xml:space="preserve">Important:  </w:t>
      </w:r>
      <w:r>
        <w:t>model:pull captures the ENTIRE dev model, not only your change. If a colleague has half-finished work in dev when you pull, it is captured too and will travel to production with your change. Always read git diff after pulling.</w:t>
      </w:r>
    </w:p>
    <w:p>
      <w:pPr>
        <w:pStyle w:val="Heading1"/>
      </w:pPr>
      <w:r>
        <w:t>4. Why the model is written into the repository</w:t>
      </w:r>
    </w:p>
    <w:p>
      <w:r>
        <w:t>The generated files live in:</w:t>
      </w:r>
    </w:p>
    <w:p>
      <w:pPr>
        <w:spacing w:before="80" w:after="160" w:line="240" w:lineRule="auto"/>
        <w:ind w:left="317"/>
        <w:shd w:val="clear" w:fill="F2F3F5"/>
      </w:pPr>
      <w:r>
        <w:rPr>
          <w:rFonts w:ascii="Consolas" w:hAnsi="Consolas"/>
          <w:sz w:val="18"/>
        </w:rPr>
        <w:t>packages/twenty-apps/floranow/data-model/</w:t>
      </w:r>
    </w:p>
    <w:p>
      <w:pPr>
        <w:pStyle w:val="Heading2"/>
      </w:pPr>
      <w:r>
        <w:t>What packages/twenty-apps is</w:t>
      </w:r>
    </w:p>
    <w:p>
      <w:r>
        <w:t>This directory is part of Twenty itself and arrived with the very first commit of the Floranow fork. It is where Twenty applications live — installable packages that extend a Twenty instance. Twenty ships around a dozen of its own there: twenty-slack, twenty-linear, twenty-discord, call-recording and others, alongside examples and test fixtures.</w:t>
      </w:r>
    </w:p>
    <w:p>
      <w:r>
        <w:t>An application can contain backend logic functions, custom UI components, OAuth connection providers, command menu entries, roles and metadata. The Floranow data model app uses only the metadata portion — no code, no UI, no integrations. It is the emptiest possible application: pure data model.</w:t>
      </w:r>
    </w:p>
    <w:p>
      <w:r>
        <w:t>Each application is a standalone project with its own package.json and yarn.lock, deliberately outside the root Yarn workspace. That is why adding it cannot affect the existing dev or prod builds.</w:t>
      </w:r>
    </w:p>
    <w:p>
      <w:pPr>
        <w:pStyle w:val="Heading2"/>
      </w:pPr>
      <w:r>
        <w:t>Why this format and not something simpler</w:t>
      </w:r>
    </w:p>
    <w:p>
      <w:pPr>
        <w:pStyle w:val="ListBullet"/>
        <w:spacing w:after="60"/>
      </w:pPr>
      <w:r>
        <w:rPr>
          <w:b/>
        </w:rPr>
        <w:t xml:space="preserve">It is the official channel. </w:t>
      </w:r>
      <w:r>
        <w:t>app:publish and app:install are Twenty's own commands, and they only accept this package format. Using anything else would mean writing to production's database directly, which is far riskier.</w:t>
      </w:r>
    </w:p>
    <w:p>
      <w:pPr>
        <w:pStyle w:val="ListBullet"/>
        <w:spacing w:after="60"/>
      </w:pPr>
      <w:r>
        <w:rPr>
          <w:b/>
        </w:rPr>
        <w:t xml:space="preserve">It is reviewable. </w:t>
      </w:r>
      <w:r>
        <w:t>The .ts files compile into a single 287 KB manifest.json. Nobody can review a 287 KB JSON blob in a pull request, but git diff on the source files shows "one field added to Company" in three lines.</w:t>
      </w:r>
    </w:p>
    <w:p>
      <w:pPr>
        <w:pStyle w:val="ListBullet"/>
        <w:spacing w:after="60"/>
      </w:pPr>
      <w:r>
        <w:rPr>
          <w:b/>
        </w:rPr>
        <w:t xml:space="preserve">Upstream merges stay clean. </w:t>
      </w:r>
      <w:r>
        <w:t>twenty-apps/floranow/ is a directory Twenty does not have, so pulling newer Twenty versions will not conflict with it.</w:t>
      </w:r>
    </w:p>
    <w:p>
      <w:pPr>
        <w:pStyle w:val="Heading2"/>
      </w:pPr>
      <w:r>
        <w:t>Why Git is involved at all</w:t>
      </w:r>
    </w:p>
    <w:p>
      <w:r>
        <w:t>Strictly speaking the mechanism works without Git — model:pull, dev:build, app:publish and app:install all run from a laptop. Git is not part of that chain. What it adds is:</w:t>
      </w:r>
    </w:p>
    <w:p>
      <w:pPr>
        <w:pStyle w:val="ListBullet"/>
        <w:spacing w:after="60"/>
      </w:pPr>
      <w:r>
        <w:rPr>
          <w:b/>
        </w:rPr>
        <w:t xml:space="preserve">Review before production changes. </w:t>
      </w:r>
      <w:r>
        <w:t>git diff shows exactly what will change, before anything is published.</w:t>
      </w:r>
    </w:p>
    <w:p>
      <w:pPr>
        <w:pStyle w:val="ListBullet"/>
        <w:spacing w:after="60"/>
      </w:pPr>
      <w:r>
        <w:rPr>
          <w:b/>
        </w:rPr>
        <w:t xml:space="preserve">History. </w:t>
      </w:r>
      <w:r>
        <w:t>What did the model look like last month, and who changed it? The dev database only knows its current state; Twenty does not version metadata.</w:t>
      </w:r>
    </w:p>
    <w:p>
      <w:pPr>
        <w:pStyle w:val="ListBullet"/>
        <w:spacing w:after="60"/>
      </w:pPr>
      <w:r>
        <w:rPr>
          <w:b/>
        </w:rPr>
        <w:t xml:space="preserve">Repeatability. </w:t>
      </w:r>
      <w:r>
        <w:t>Once committed, Jenkins or a colleague can deploy exactly what was reviewed.</w:t>
      </w:r>
    </w:p>
    <w:p>
      <w:pPr>
        <w:pStyle w:val="ListBullet"/>
        <w:spacing w:after="60"/>
      </w:pPr>
      <w:r>
        <w:rPr>
          <w:b/>
        </w:rPr>
        <w:t xml:space="preserve">Recovery. </w:t>
      </w:r>
      <w:r>
        <w:t>If someone deletes an object in the dev UI, dev has already forgotten it. Git still has it.</w:t>
      </w:r>
    </w:p>
    <w:p>
      <w:r>
        <w:t>In short: Git is not required to move the model. It is required to know what was moved and to be able to move it again.</w:t>
      </w:r>
    </w:p>
    <w:p>
      <w:pPr>
        <w:pStyle w:val="Heading2"/>
      </w:pPr>
      <w:r>
        <w:t>What is committed and what is not</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Committed to GitHub</w:t>
            </w:r>
          </w:p>
        </w:tc>
        <w:tc>
          <w:tcPr>
            <w:tcW w:type="dxa" w:w="4464"/>
          </w:tcPr>
          <w:p>
            <w:r/>
            <w:r>
              <w:rPr>
                <w:b/>
                <w:sz w:val="19"/>
              </w:rPr>
              <w:t>Not committed</w:t>
            </w:r>
          </w:p>
        </w:tc>
      </w:tr>
      <w:tr>
        <w:tc>
          <w:tcPr>
            <w:tcW w:type="dxa" w:w="4608"/>
          </w:tcPr>
          <w:p>
            <w:r/>
            <w:r>
              <w:rPr>
                <w:sz w:val="19"/>
              </w:rPr>
              <w:t>214 source files under src/ (the readable model)</w:t>
            </w:r>
          </w:p>
        </w:tc>
        <w:tc>
          <w:tcPr>
            <w:tcW w:type="dxa" w:w="4464"/>
          </w:tcPr>
          <w:p>
            <w:r/>
            <w:r>
              <w:rPr>
                <w:sz w:val="19"/>
              </w:rPr>
              <w:t>manifest.json — build output, rebuilt on every deploy</w:t>
            </w:r>
          </w:p>
        </w:tc>
      </w:tr>
      <w:tr>
        <w:tc>
          <w:tcPr>
            <w:tcW w:type="dxa" w:w="4608"/>
          </w:tcPr>
          <w:p>
            <w:r/>
            <w:r>
              <w:rPr>
                <w:sz w:val="19"/>
              </w:rPr>
              <w:t>6 scripts under scripts/</w:t>
            </w:r>
          </w:p>
        </w:tc>
        <w:tc>
          <w:tcPr>
            <w:tcW w:type="dxa" w:w="4464"/>
          </w:tcPr>
          <w:p>
            <w:r/>
            <w:r>
              <w:rPr>
                <w:sz w:val="19"/>
              </w:rPr>
              <w:t>The .tgz package uploaded to production</w:t>
            </w:r>
          </w:p>
        </w:tc>
      </w:tr>
      <w:tr>
        <w:tc>
          <w:tcPr>
            <w:tcW w:type="dxa" w:w="4608"/>
          </w:tcPr>
          <w:p>
            <w:r/>
            <w:r>
              <w:rPr>
                <w:sz w:val="19"/>
              </w:rPr>
              <w:t>README.md, WORKFLOW.md, Jenkinsfiles</w:t>
            </w:r>
          </w:p>
        </w:tc>
        <w:tc>
          <w:tcPr>
            <w:tcW w:type="dxa" w:w="4464"/>
          </w:tcPr>
          <w:p>
            <w:r/>
            <w:r>
              <w:rPr>
                <w:sz w:val="19"/>
              </w:rPr>
              <w:t>node_modules/</w:t>
            </w:r>
          </w:p>
        </w:tc>
      </w:tr>
      <w:tr>
        <w:tc>
          <w:tcPr>
            <w:tcW w:type="dxa" w:w="4608"/>
          </w:tcPr>
          <w:p>
            <w:r/>
            <w:r>
              <w:rPr>
                <w:sz w:val="19"/>
              </w:rPr>
              <w:t>package.json, yarn.lock, tsconfig.json</w:t>
            </w:r>
          </w:p>
        </w:tc>
        <w:tc>
          <w:tcPr>
            <w:tcW w:type="dxa" w:w="4464"/>
          </w:tcPr>
          <w:p>
            <w:r/>
            <w:r>
              <w:rPr>
                <w:sz w:val="19"/>
              </w:rPr>
            </w:r>
          </w:p>
        </w:tc>
      </w:tr>
    </w:tbl>
    <w:p>
      <w:pPr>
        <w:spacing w:after="40"/>
      </w:pPr>
    </w:p>
    <w:p>
      <w:r>
        <w:t>manifest.json is deliberately excluded (.gitignore covers .twenty/). It is regenerated from the source files each time, exactly as compiled JavaScript is not committed alongside TypeScript.</w:t>
      </w:r>
    </w:p>
    <w:p>
      <w:pPr>
        <w:pStyle w:val="Heading1"/>
      </w:pPr>
      <w:r>
        <w:t>5. Getting the model into production</w:t>
      </w:r>
    </w:p>
    <w:p>
      <w:r>
        <w:t>Two commands, both over HTTPS, both authenticated with a production API key.</w:t>
      </w:r>
    </w:p>
    <w:p>
      <w:pPr>
        <w:pStyle w:val="Heading2"/>
      </w:pPr>
      <w:r>
        <w:t>Step one — publish</w:t>
      </w:r>
    </w:p>
    <w:p>
      <w:pPr>
        <w:spacing w:before="80" w:after="160" w:line="240" w:lineRule="auto"/>
        <w:ind w:left="317"/>
        <w:shd w:val="clear" w:fill="F2F3F5"/>
      </w:pPr>
      <w:r>
        <w:rPr>
          <w:rFonts w:ascii="Consolas" w:hAnsi="Consolas"/>
          <w:sz w:val="18"/>
        </w:rPr>
        <w:t>yarn twenty app:publish --private --remote prod</w:t>
      </w:r>
    </w:p>
    <w:p>
      <w:r>
        <w:t>The 214 source files are compiled into a single manifest.json, packed into a tarball containing exactly two files, and uploaded to production's application registry:</w:t>
      </w:r>
    </w:p>
    <w:p>
      <w:pPr>
        <w:spacing w:before="80" w:after="160" w:line="240" w:lineRule="auto"/>
        <w:ind w:left="317"/>
        <w:shd w:val="clear" w:fill="F2F3F5"/>
      </w:pPr>
      <w:r>
        <w:rPr>
          <w:rFonts w:ascii="Consolas" w:hAnsi="Consolas"/>
          <w:sz w:val="18"/>
        </w:rPr>
        <w:t>package/manifest.json      (287 KB)</w:t>
        <w:br/>
        <w:t>package/package.json</w:t>
      </w:r>
    </w:p>
    <w:p>
      <w:r>
        <w:t>Nothing in production's data model has changed yet. The package is simply stored, like uploading a file.</w:t>
      </w:r>
    </w:p>
    <w:p>
      <w:pPr>
        <w:spacing w:before="120" w:after="200"/>
        <w:ind w:left="173"/>
        <w:shd w:val="clear" w:fill="FFF4E5"/>
      </w:pPr>
      <w:r>
        <w:rPr>
          <w:b/>
        </w:rPr>
        <w:t xml:space="preserve">Version numbers:  </w:t>
      </w:r>
      <w:r>
        <w:t>app:publish refuses to overwrite a version that is already deployed. The version in package.json must be increased before every publish, otherwise the next install silently reuses the previous package.</w:t>
      </w:r>
    </w:p>
    <w:p>
      <w:pPr>
        <w:pStyle w:val="Heading2"/>
      </w:pPr>
      <w:r>
        <w:t>Step two — install</w:t>
      </w:r>
    </w:p>
    <w:p>
      <w:pPr>
        <w:spacing w:before="80" w:after="160" w:line="240" w:lineRule="auto"/>
        <w:ind w:left="317"/>
        <w:shd w:val="clear" w:fill="F2F3F5"/>
      </w:pPr>
      <w:r>
        <w:rPr>
          <w:rFonts w:ascii="Consolas" w:hAnsi="Consolas"/>
          <w:sz w:val="18"/>
        </w:rPr>
        <w:t>yarn twenty app:install --remote prod</w:t>
      </w:r>
    </w:p>
    <w:p>
      <w:r>
        <w:t>This is a single HTTPS call telling production: install version 0.1.4. From that moment production's own server does all the work:</w:t>
      </w:r>
    </w:p>
    <w:p>
      <w:pPr>
        <w:pStyle w:val="ListNumber"/>
        <w:spacing w:after="60"/>
      </w:pPr>
      <w:r>
        <w:t>Reads the manifest from its registry</w:t>
      </w:r>
    </w:p>
    <w:p>
      <w:pPr>
        <w:pStyle w:val="ListNumber"/>
        <w:spacing w:after="60"/>
      </w:pPr>
      <w:r>
        <w:t>Loads what this application currently owns in production</w:t>
      </w:r>
    </w:p>
    <w:p>
      <w:pPr>
        <w:pStyle w:val="ListNumber"/>
        <w:spacing w:after="60"/>
      </w:pPr>
      <w:r>
        <w:t>Compares the two and computes the difference</w:t>
      </w:r>
    </w:p>
    <w:p>
      <w:pPr>
        <w:pStyle w:val="ListNumber"/>
        <w:spacing w:after="60"/>
      </w:pPr>
      <w:r>
        <w:t>Builds a database migration from that difference</w:t>
      </w:r>
    </w:p>
    <w:p>
      <w:pPr>
        <w:pStyle w:val="ListNumber"/>
        <w:spacing w:after="60"/>
      </w:pPr>
      <w:r>
        <w:t>Runs it — for example ALTER TABLE "company" ADD COLUMN "accountStatus"</w:t>
      </w:r>
    </w:p>
    <w:p>
      <w:pPr>
        <w:spacing w:before="120" w:after="200"/>
        <w:ind w:left="173"/>
        <w:shd w:val="clear" w:fill="EAF6EC"/>
      </w:pPr>
      <w:r>
        <w:rPr>
          <w:b/>
        </w:rPr>
        <w:t xml:space="preserve">The key safety property:  </w:t>
      </w:r>
      <w:r>
        <w:t>no SQL from this workflow ever runs against production. Production migrates itself, using the same internal code path it uses when someone clicks in its own settings screen. That is why existing production records are never at risk.</w:t>
      </w:r>
    </w:p>
    <w:p>
      <w:pPr>
        <w:pStyle w:val="Heading2"/>
      </w:pPr>
      <w:r>
        <w:t>Why the difference step matters</w:t>
      </w:r>
    </w:p>
    <w:p>
      <w:r>
        <w:t>The first install created everything. The next time a single field is added, the manifest holds 117 fields while production already has 116. The difference is one field, so production runs one ADD COLUMN and touches nothing else. Because universalIdentifier is shared, production recognises the other 116 as the same fields rather than as new ones.</w:t>
      </w:r>
    </w:p>
    <w:p>
      <w:pPr>
        <w:pStyle w:val="Heading2"/>
      </w:pPr>
      <w:r>
        <w:t>Step three — what the manifest cannot carry</w:t>
      </w:r>
    </w:p>
    <w:p>
      <w:pPr>
        <w:spacing w:before="80" w:after="160" w:line="240" w:lineRule="auto"/>
        <w:ind w:left="317"/>
        <w:shd w:val="clear" w:fill="F2F3F5"/>
      </w:pPr>
      <w:r>
        <w:rPr>
          <w:rFonts w:ascii="Consolas" w:hAnsi="Consolas"/>
          <w:sz w:val="18"/>
        </w:rPr>
        <w:t>yarn model:post-install            # dry run — prints the plan</w:t>
        <w:br/>
        <w:t>yarn model:post-install --apply</w:t>
      </w:r>
    </w:p>
    <w:p>
      <w:r>
        <w:t>A few customisations live on entities the application does not own, so they cannot be expressed in the manifest. This script applies them through GraphQL mutations instead. It is idempotent and safe to re-run.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What</w:t>
            </w:r>
          </w:p>
        </w:tc>
        <w:tc>
          <w:tcPr>
            <w:tcW w:type="dxa" w:w="3600"/>
          </w:tcPr>
          <w:p>
            <w:r/>
            <w:r>
              <w:rPr>
                <w:b/>
                <w:sz w:val="19"/>
              </w:rPr>
              <w:t>Why the manifest cannot carry it</w:t>
            </w:r>
          </w:p>
        </w:tc>
        <w:tc>
          <w:tcPr>
            <w:tcW w:type="dxa" w:w="2592"/>
          </w:tcPr>
          <w:p>
            <w:r/>
            <w:r>
              <w:rPr>
                <w:b/>
                <w:sz w:val="19"/>
              </w:rPr>
              <w:t>How it is applied</w:t>
            </w:r>
          </w:p>
        </w:tc>
      </w:tr>
      <w:tr>
        <w:tc>
          <w:tcPr>
            <w:tcW w:type="dxa" w:w="2880"/>
          </w:tcPr>
          <w:p>
            <w:r/>
            <w:r>
              <w:rPr>
                <w:sz w:val="19"/>
              </w:rPr>
              <w:t>Renames of built-in objects — showing Opportunity as "Lead"</w:t>
            </w:r>
          </w:p>
        </w:tc>
        <w:tc>
          <w:tcPr>
            <w:tcW w:type="dxa" w:w="3600"/>
          </w:tcPr>
          <w:p>
            <w:r/>
            <w:r>
              <w:rPr>
                <w:sz w:val="19"/>
              </w:rPr>
              <w:t>Stored as standardOverrides on a standard object the app does not own</w:t>
            </w:r>
          </w:p>
        </w:tc>
        <w:tc>
          <w:tcPr>
            <w:tcW w:type="dxa" w:w="2592"/>
          </w:tcPr>
          <w:p>
            <w:r/>
            <w:r>
              <w:rPr>
                <w:sz w:val="19"/>
              </w:rPr>
              <w:t>updateOneObject / updateOneField</w:t>
            </w:r>
          </w:p>
        </w:tc>
      </w:tr>
      <w:tr>
        <w:tc>
          <w:tcPr>
            <w:tcW w:type="dxa" w:w="2880"/>
          </w:tcPr>
          <w:p>
            <w:r/>
            <w:r>
              <w:rPr>
                <w:sz w:val="19"/>
              </w:rPr>
              <w:t>Record page sections — the groups on the Company page</w:t>
            </w:r>
          </w:p>
        </w:tc>
        <w:tc>
          <w:tcPr>
            <w:tcW w:type="dxa" w:w="3600"/>
          </w:tcPr>
          <w:p>
            <w:r/>
            <w:r>
              <w:rPr>
                <w:sz w:val="19"/>
              </w:rPr>
              <w:t>There is no defineViewFieldGroup, and the create API hides universalIdentifier</w:t>
            </w:r>
          </w:p>
        </w:tc>
        <w:tc>
          <w:tcPr>
            <w:tcW w:type="dxa" w:w="2592"/>
          </w:tcPr>
          <w:p>
            <w:r/>
            <w:r>
              <w:rPr>
                <w:sz w:val="19"/>
              </w:rPr>
              <w:t>upsertFieldsWidget, matching groups by name</w:t>
            </w:r>
          </w:p>
        </w:tc>
      </w:tr>
    </w:tbl>
    <w:p>
      <w:pPr>
        <w:spacing w:after="40"/>
      </w:pPr>
    </w:p>
    <w:p>
      <w:pPr>
        <w:pStyle w:val="Heading2"/>
      </w:pPr>
      <w:r>
        <w:t>Step four — verify</w:t>
      </w:r>
    </w:p>
    <w:p>
      <w:pPr>
        <w:spacing w:before="80" w:after="160" w:line="240" w:lineRule="auto"/>
        <w:ind w:left="317"/>
        <w:shd w:val="clear" w:fill="F2F3F5"/>
      </w:pPr>
      <w:r>
        <w:rPr>
          <w:rFonts w:ascii="Consolas" w:hAnsi="Consolas"/>
          <w:sz w:val="18"/>
        </w:rPr>
        <w:t>yarn model:verify</w:t>
      </w:r>
    </w:p>
    <w:p>
      <w:r>
        <w:t>Compares production against the manifest — objects and fields matched on universalIdentifier, views on name, layouts by tab and widget — and exits with an error if anything is missing. A clean run prints:</w:t>
      </w:r>
    </w:p>
    <w:p>
      <w:pPr>
        <w:spacing w:before="80" w:after="160" w:line="240" w:lineRule="auto"/>
        <w:ind w:left="317"/>
        <w:shd w:val="clear" w:fill="EAF6EC"/>
      </w:pPr>
      <w:r>
        <w:rPr>
          <w:rFonts w:ascii="Consolas" w:hAnsi="Consolas"/>
          <w:sz w:val="18"/>
        </w:rPr>
        <w:t>objects checked        6</w:t>
        <w:br/>
        <w:t>fields checked         234</w:t>
        <w:br/>
        <w:t>views checked          13</w:t>
        <w:br/>
        <w:t>page layouts checked   8</w:t>
        <w:br/>
        <w:t xml:space="preserve">  tabs                 32</w:t>
        <w:br/>
        <w:t xml:space="preserve">  widgets              30</w:t>
        <w:br/>
        <w:br/>
        <w:t>Target matches the manifest.</w:t>
      </w:r>
    </w:p>
    <w:p>
      <w:pPr>
        <w:pStyle w:val="Heading1"/>
      </w:pPr>
      <w:r>
        <w:t>6. The complete orchestration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9"/>
              </w:rPr>
              <w:t>Step</w:t>
            </w:r>
          </w:p>
        </w:tc>
        <w:tc>
          <w:tcPr>
            <w:tcW w:type="dxa" w:w="1296"/>
          </w:tcPr>
          <w:p>
            <w:r/>
            <w:r>
              <w:rPr>
                <w:b/>
                <w:sz w:val="19"/>
              </w:rPr>
              <w:t>Direction</w:t>
            </w:r>
          </w:p>
        </w:tc>
        <w:tc>
          <w:tcPr>
            <w:tcW w:type="dxa" w:w="3600"/>
          </w:tcPr>
          <w:p>
            <w:r/>
            <w:r>
              <w:rPr>
                <w:b/>
                <w:sz w:val="19"/>
              </w:rPr>
              <w:t>Mechanism</w:t>
            </w:r>
          </w:p>
        </w:tc>
        <w:tc>
          <w:tcPr>
            <w:tcW w:type="dxa" w:w="1872"/>
          </w:tcPr>
          <w:p>
            <w:r/>
            <w:r>
              <w:rPr>
                <w:b/>
                <w:sz w:val="19"/>
              </w:rPr>
              <w:t>Credential</w:t>
            </w:r>
          </w:p>
        </w:tc>
      </w:tr>
      <w:tr>
        <w:tc>
          <w:tcPr>
            <w:tcW w:type="dxa" w:w="2304"/>
          </w:tcPr>
          <w:p>
            <w:r/>
            <w:r>
              <w:rPr>
                <w:sz w:val="19"/>
              </w:rPr>
              <w:t>You click in the dev UI</w:t>
            </w:r>
          </w:p>
        </w:tc>
        <w:tc>
          <w:tcPr>
            <w:tcW w:type="dxa" w:w="1296"/>
          </w:tcPr>
          <w:p>
            <w:r/>
            <w:r>
              <w:rPr>
                <w:sz w:val="19"/>
              </w:rPr>
              <w:t>→ dev</w:t>
            </w:r>
          </w:p>
        </w:tc>
        <w:tc>
          <w:tcPr>
            <w:tcW w:type="dxa" w:w="3600"/>
          </w:tcPr>
          <w:p>
            <w:r/>
            <w:r>
              <w:rPr>
                <w:sz w:val="19"/>
              </w:rPr>
              <w:t>Front end → metadata API → dev database</w:t>
            </w:r>
          </w:p>
        </w:tc>
        <w:tc>
          <w:tcPr>
            <w:tcW w:type="dxa" w:w="1872"/>
          </w:tcPr>
          <w:p>
            <w:r/>
            <w:r>
              <w:rPr>
                <w:sz w:val="19"/>
              </w:rPr>
              <w:t>Your login</w:t>
            </w:r>
          </w:p>
        </w:tc>
      </w:tr>
      <w:tr>
        <w:tc>
          <w:tcPr>
            <w:tcW w:type="dxa" w:w="2304"/>
          </w:tcPr>
          <w:p>
            <w:r/>
            <w:r>
              <w:rPr>
                <w:rFonts w:ascii="Consolas" w:hAnsi="Consolas"/>
                <w:sz w:val="17"/>
              </w:rPr>
              <w:t>yarn model:pull</w:t>
            </w:r>
          </w:p>
        </w:tc>
        <w:tc>
          <w:tcPr>
            <w:tcW w:type="dxa" w:w="1296"/>
          </w:tcPr>
          <w:p>
            <w:r/>
            <w:r>
              <w:rPr>
                <w:sz w:val="19"/>
              </w:rPr>
              <w:t>← dev</w:t>
            </w:r>
          </w:p>
        </w:tc>
        <w:tc>
          <w:tcPr>
            <w:tcW w:type="dxa" w:w="3600"/>
          </w:tcPr>
          <w:p>
            <w:r/>
            <w:r>
              <w:rPr>
                <w:sz w:val="19"/>
              </w:rPr>
              <w:t>Direct PostgreSQL SELECT</w:t>
            </w:r>
          </w:p>
        </w:tc>
        <w:tc>
          <w:tcPr>
            <w:tcW w:type="dxa" w:w="1872"/>
          </w:tcPr>
          <w:p>
            <w:r/>
            <w:r>
              <w:rPr>
                <w:sz w:val="19"/>
              </w:rPr>
              <w:t>Dev read-only database URL</w:t>
            </w:r>
          </w:p>
        </w:tc>
      </w:tr>
      <w:tr>
        <w:tc>
          <w:tcPr>
            <w:tcW w:type="dxa" w:w="2304"/>
          </w:tcPr>
          <w:p>
            <w:r/>
            <w:r>
              <w:rPr>
                <w:rFonts w:ascii="Consolas" w:hAnsi="Consolas"/>
                <w:sz w:val="17"/>
              </w:rPr>
              <w:t>git commit` / `push</w:t>
            </w:r>
          </w:p>
        </w:tc>
        <w:tc>
          <w:tcPr>
            <w:tcW w:type="dxa" w:w="1296"/>
          </w:tcPr>
          <w:p>
            <w:r/>
            <w:r>
              <w:rPr>
                <w:sz w:val="19"/>
              </w:rPr>
              <w:t>—</w:t>
            </w:r>
          </w:p>
        </w:tc>
        <w:tc>
          <w:tcPr>
            <w:tcW w:type="dxa" w:w="3600"/>
          </w:tcPr>
          <w:p>
            <w:r/>
            <w:r>
              <w:rPr>
                <w:sz w:val="19"/>
              </w:rPr>
              <w:t>Git</w:t>
            </w:r>
          </w:p>
        </w:tc>
        <w:tc>
          <w:tcPr>
            <w:tcW w:type="dxa" w:w="1872"/>
          </w:tcPr>
          <w:p>
            <w:r/>
            <w:r>
              <w:rPr>
                <w:sz w:val="19"/>
              </w:rPr>
              <w:t>GitHub</w:t>
            </w:r>
          </w:p>
        </w:tc>
      </w:tr>
      <w:tr>
        <w:tc>
          <w:tcPr>
            <w:tcW w:type="dxa" w:w="2304"/>
          </w:tcPr>
          <w:p>
            <w:r/>
            <w:r>
              <w:rPr>
                <w:rFonts w:ascii="Consolas" w:hAnsi="Consolas"/>
                <w:sz w:val="17"/>
              </w:rPr>
              <w:t>app:publish</w:t>
            </w:r>
          </w:p>
        </w:tc>
        <w:tc>
          <w:tcPr>
            <w:tcW w:type="dxa" w:w="1296"/>
          </w:tcPr>
          <w:p>
            <w:r/>
            <w:r>
              <w:rPr>
                <w:sz w:val="19"/>
              </w:rPr>
              <w:t>→ prod</w:t>
            </w:r>
          </w:p>
        </w:tc>
        <w:tc>
          <w:tcPr>
            <w:tcW w:type="dxa" w:w="3600"/>
          </w:tcPr>
          <w:p>
            <w:r/>
            <w:r>
              <w:rPr>
                <w:sz w:val="19"/>
              </w:rPr>
              <w:t>HTTPS upload of the package</w:t>
            </w:r>
          </w:p>
        </w:tc>
        <w:tc>
          <w:tcPr>
            <w:tcW w:type="dxa" w:w="1872"/>
          </w:tcPr>
          <w:p>
            <w:r/>
            <w:r>
              <w:rPr>
                <w:sz w:val="19"/>
              </w:rPr>
              <w:t>Prod API key</w:t>
            </w:r>
          </w:p>
        </w:tc>
      </w:tr>
      <w:tr>
        <w:tc>
          <w:tcPr>
            <w:tcW w:type="dxa" w:w="2304"/>
          </w:tcPr>
          <w:p>
            <w:r/>
            <w:r>
              <w:rPr>
                <w:rFonts w:ascii="Consolas" w:hAnsi="Consolas"/>
                <w:sz w:val="17"/>
              </w:rPr>
              <w:t>app:install</w:t>
            </w:r>
          </w:p>
        </w:tc>
        <w:tc>
          <w:tcPr>
            <w:tcW w:type="dxa" w:w="1296"/>
          </w:tcPr>
          <w:p>
            <w:r/>
            <w:r>
              <w:rPr>
                <w:sz w:val="19"/>
              </w:rPr>
              <w:t>→ prod</w:t>
            </w:r>
          </w:p>
        </w:tc>
        <w:tc>
          <w:tcPr>
            <w:tcW w:type="dxa" w:w="3600"/>
          </w:tcPr>
          <w:p>
            <w:r/>
            <w:r>
              <w:rPr>
                <w:sz w:val="19"/>
              </w:rPr>
              <w:t>HTTPS call; prod migrates itself</w:t>
            </w:r>
          </w:p>
        </w:tc>
        <w:tc>
          <w:tcPr>
            <w:tcW w:type="dxa" w:w="1872"/>
          </w:tcPr>
          <w:p>
            <w:r/>
            <w:r>
              <w:rPr>
                <w:sz w:val="19"/>
              </w:rPr>
              <w:t>Prod API key</w:t>
            </w:r>
          </w:p>
        </w:tc>
      </w:tr>
      <w:tr>
        <w:tc>
          <w:tcPr>
            <w:tcW w:type="dxa" w:w="2304"/>
          </w:tcPr>
          <w:p>
            <w:r/>
            <w:r>
              <w:rPr>
                <w:rFonts w:ascii="Consolas" w:hAnsi="Consolas"/>
                <w:sz w:val="17"/>
              </w:rPr>
              <w:t>model:post-install</w:t>
            </w:r>
          </w:p>
        </w:tc>
        <w:tc>
          <w:tcPr>
            <w:tcW w:type="dxa" w:w="1296"/>
          </w:tcPr>
          <w:p>
            <w:r/>
            <w:r>
              <w:rPr>
                <w:sz w:val="19"/>
              </w:rPr>
              <w:t>→ prod</w:t>
            </w:r>
          </w:p>
        </w:tc>
        <w:tc>
          <w:tcPr>
            <w:tcW w:type="dxa" w:w="3600"/>
          </w:tcPr>
          <w:p>
            <w:r/>
            <w:r>
              <w:rPr>
                <w:sz w:val="19"/>
              </w:rPr>
              <w:t>GraphQL mutations</w:t>
            </w:r>
          </w:p>
        </w:tc>
        <w:tc>
          <w:tcPr>
            <w:tcW w:type="dxa" w:w="1872"/>
          </w:tcPr>
          <w:p>
            <w:r/>
            <w:r>
              <w:rPr>
                <w:sz w:val="19"/>
              </w:rPr>
              <w:t>Prod API key</w:t>
            </w:r>
          </w:p>
        </w:tc>
      </w:tr>
      <w:tr>
        <w:tc>
          <w:tcPr>
            <w:tcW w:type="dxa" w:w="2304"/>
          </w:tcPr>
          <w:p>
            <w:r/>
            <w:r>
              <w:rPr>
                <w:rFonts w:ascii="Consolas" w:hAnsi="Consolas"/>
                <w:sz w:val="17"/>
              </w:rPr>
              <w:t>model:verify</w:t>
            </w:r>
          </w:p>
        </w:tc>
        <w:tc>
          <w:tcPr>
            <w:tcW w:type="dxa" w:w="1296"/>
          </w:tcPr>
          <w:p>
            <w:r/>
            <w:r>
              <w:rPr>
                <w:sz w:val="19"/>
              </w:rPr>
              <w:t>← prod</w:t>
            </w:r>
          </w:p>
        </w:tc>
        <w:tc>
          <w:tcPr>
            <w:tcW w:type="dxa" w:w="3600"/>
          </w:tcPr>
          <w:p>
            <w:r/>
            <w:r>
              <w:rPr>
                <w:sz w:val="19"/>
              </w:rPr>
              <w:t>GraphQL queries</w:t>
            </w:r>
          </w:p>
        </w:tc>
        <w:tc>
          <w:tcPr>
            <w:tcW w:type="dxa" w:w="1872"/>
          </w:tcPr>
          <w:p>
            <w:r/>
            <w:r>
              <w:rPr>
                <w:sz w:val="19"/>
              </w:rPr>
              <w:t>Prod API key</w:t>
            </w:r>
          </w:p>
        </w:tc>
      </w:tr>
    </w:tbl>
    <w:p>
      <w:pPr>
        <w:spacing w:after="40"/>
      </w:pPr>
    </w:p>
    <w:p>
      <w:pPr>
        <w:spacing w:before="120" w:after="200"/>
        <w:ind w:left="173"/>
        <w:shd w:val="clear" w:fill="EAF6EC"/>
      </w:pPr>
      <w:r>
        <w:rPr>
          <w:b/>
        </w:rPr>
        <w:t xml:space="preserve">The rule of thumb:  </w:t>
      </w:r>
      <w:r>
        <w:t>read from dev using the database; write to production using the API. Never the other way round.</w:t>
      </w:r>
    </w:p>
    <w:p/>
    <w:p>
      <w:pPr>
        <w:spacing w:before="80" w:after="160" w:line="240" w:lineRule="auto"/>
        <w:ind w:left="317"/>
        <w:shd w:val="clear" w:fill="F2F3F5"/>
      </w:pPr>
      <w:r>
        <w:rPr>
          <w:rFonts w:ascii="Consolas" w:hAnsi="Consolas"/>
          <w:sz w:val="18"/>
        </w:rPr>
        <w:t xml:space="preserve">  dev database  ──SQL read──▶  .ts files  ──build──▶  manifest.json</w:t>
        <w:br/>
        <w:t xml:space="preserve">                                   │                        │</w:t>
        <w:br/>
        <w:t xml:space="preserve">                                   ▼                        ▼</w:t>
        <w:br/>
        <w:t xml:space="preserve">                             Git (review,            HTTPS upload</w:t>
        <w:br/>
        <w:t xml:space="preserve">                              history)                      │</w:t>
        <w:br/>
        <w:t xml:space="preserve">                                                            ▼</w:t>
        <w:br/>
        <w:t xml:space="preserve">                                            production server migrates itself</w:t>
      </w:r>
    </w:p>
    <w:p>
      <w:pPr>
        <w:pStyle w:val="Heading1"/>
      </w:pPr>
      <w:r>
        <w:t>7. Everyday workflow</w:t>
      </w:r>
    </w:p>
    <w:p>
      <w:r>
        <w:t>Worked example: adding a "Delivery Window" field to Visit and showing it in the Visits table.</w:t>
      </w:r>
    </w:p>
    <w:p>
      <w:pPr>
        <w:pStyle w:val="Heading2"/>
      </w:pPr>
      <w:r>
        <w:t>In dev — unchanged from how you work today</w:t>
      </w:r>
    </w:p>
    <w:p>
      <w:r>
        <w:t>Settings → Data model → Visit → add a Text field. Drag the column into the view. Create a test record and check it looks right. The change is already live on dev; nothing needs deploying there.</w:t>
      </w:r>
    </w:p>
    <w:p>
      <w:pPr>
        <w:pStyle w:val="Heading2"/>
      </w:pPr>
      <w:r>
        <w:t>Record it</w:t>
      </w:r>
    </w:p>
    <w:p>
      <w:pPr>
        <w:spacing w:before="80" w:after="160" w:line="240" w:lineRule="auto"/>
        <w:ind w:left="317"/>
        <w:shd w:val="clear" w:fill="F2F3F5"/>
      </w:pPr>
      <w:r>
        <w:rPr>
          <w:rFonts w:ascii="Consolas" w:hAnsi="Consolas"/>
          <w:sz w:val="18"/>
        </w:rPr>
        <w:t>cd packages/twenty-apps/floranow/data-model</w:t>
        <w:br/>
        <w:t>yarn model:pull</w:t>
        <w:br/>
        <w:t>git diff                    # review: +1 field, +1 view column</w:t>
        <w:br/>
        <w:t>git add -A &amp;&amp; git commit -m "Add Delivery Window to Visit"</w:t>
        <w:br/>
        <w:t>git push</w:t>
      </w:r>
    </w:p>
    <w:p>
      <w:pPr>
        <w:pStyle w:val="Heading2"/>
      </w:pPr>
      <w:r>
        <w:t>Branches</w:t>
      </w:r>
    </w:p>
    <w:p>
      <w:r>
        <w:t>The data model follows exactly the same branch path as the code: a feature branch, a pull request into dev, then dev merged into main. Merging to main does not by itself change production's data model — it only moves files in GitHub. Production changes only when app:install runs.</w:t>
      </w:r>
    </w:p>
    <w:p>
      <w:pPr>
        <w:pStyle w:val="Heading2"/>
      </w:pPr>
      <w:r>
        <w:t>Send it to production</w:t>
      </w:r>
    </w:p>
    <w:p>
      <w:pPr>
        <w:spacing w:before="80" w:after="160" w:line="240" w:lineRule="auto"/>
        <w:ind w:left="317"/>
        <w:shd w:val="clear" w:fill="F2F3F5"/>
      </w:pPr>
      <w:r>
        <w:rPr>
          <w:rFonts w:ascii="Consolas" w:hAnsi="Consolas"/>
          <w:sz w:val="18"/>
        </w:rPr>
        <w:t>yarn twenty app:publish --private --remote prod</w:t>
        <w:br/>
        <w:t>yarn twenty app:install  --remote prod</w:t>
        <w:br/>
        <w:t>yarn model:post-install --apply</w:t>
        <w:br/>
        <w:t>yarn model:verify</w:t>
      </w:r>
    </w:p>
    <w:p>
      <w:r>
        <w:t>Production gains the new field. Every existing record keeps its data and shows the new field as empty. Elapsed time: a couple of minutes.</w:t>
      </w:r>
    </w:p>
    <w:p>
      <w:pPr>
        <w:pStyle w:val="Heading2"/>
      </w:pPr>
      <w:r>
        <w:t>What each kind of change does to production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b/>
                <w:sz w:val="19"/>
              </w:rPr>
              <w:t>Change made in dev</w:t>
            </w:r>
          </w:p>
        </w:tc>
        <w:tc>
          <w:tcPr>
            <w:tcW w:type="dxa" w:w="4176"/>
          </w:tcPr>
          <w:p>
            <w:r/>
            <w:r>
              <w:rPr>
                <w:b/>
                <w:sz w:val="19"/>
              </w:rPr>
              <w:t>Result on production</w:t>
            </w:r>
          </w:p>
        </w:tc>
        <w:tc>
          <w:tcPr>
            <w:tcW w:type="dxa" w:w="1584"/>
          </w:tcPr>
          <w:p>
            <w:r/>
            <w:r>
              <w:rPr>
                <w:b/>
                <w:sz w:val="19"/>
              </w:rPr>
              <w:t>Risk</w:t>
            </w:r>
          </w:p>
        </w:tc>
      </w:tr>
      <w:tr>
        <w:tc>
          <w:tcPr>
            <w:tcW w:type="dxa" w:w="3312"/>
          </w:tcPr>
          <w:p>
            <w:r/>
            <w:r>
              <w:rPr>
                <w:sz w:val="19"/>
              </w:rPr>
              <w:t>Add a field</w:t>
            </w:r>
          </w:p>
        </w:tc>
        <w:tc>
          <w:tcPr>
            <w:tcW w:type="dxa" w:w="4176"/>
          </w:tcPr>
          <w:p>
            <w:r/>
            <w:r>
              <w:rPr>
                <w:sz w:val="19"/>
              </w:rPr>
              <w:t>Column added; existing records keep their data</w:t>
            </w:r>
          </w:p>
        </w:tc>
        <w:tc>
          <w:tcPr>
            <w:tcW w:type="dxa" w:w="1584"/>
          </w:tcPr>
          <w:p>
            <w:r/>
            <w:r>
              <w:rPr>
                <w:sz w:val="19"/>
              </w:rPr>
              <w:t>None</w:t>
            </w:r>
          </w:p>
        </w:tc>
      </w:tr>
      <w:tr>
        <w:tc>
          <w:tcPr>
            <w:tcW w:type="dxa" w:w="3312"/>
          </w:tcPr>
          <w:p>
            <w:r/>
            <w:r>
              <w:rPr>
                <w:sz w:val="19"/>
              </w:rPr>
              <w:t>Add an object</w:t>
            </w:r>
          </w:p>
        </w:tc>
        <w:tc>
          <w:tcPr>
            <w:tcW w:type="dxa" w:w="4176"/>
          </w:tcPr>
          <w:p>
            <w:r/>
            <w:r>
              <w:rPr>
                <w:sz w:val="19"/>
              </w:rPr>
              <w:t>New empty table</w:t>
            </w:r>
          </w:p>
        </w:tc>
        <w:tc>
          <w:tcPr>
            <w:tcW w:type="dxa" w:w="1584"/>
          </w:tcPr>
          <w:p>
            <w:r/>
            <w:r>
              <w:rPr>
                <w:sz w:val="19"/>
              </w:rPr>
              <w:t>None</w:t>
            </w:r>
          </w:p>
        </w:tc>
      </w:tr>
      <w:tr>
        <w:tc>
          <w:tcPr>
            <w:tcW w:type="dxa" w:w="3312"/>
          </w:tcPr>
          <w:p>
            <w:r/>
            <w:r>
              <w:rPr>
                <w:sz w:val="19"/>
              </w:rPr>
              <w:t>Add or edit a view, reorder columns</w:t>
            </w:r>
          </w:p>
        </w:tc>
        <w:tc>
          <w:tcPr>
            <w:tcW w:type="dxa" w:w="4176"/>
          </w:tcPr>
          <w:p>
            <w:r/>
            <w:r>
              <w:rPr>
                <w:sz w:val="19"/>
              </w:rPr>
              <w:t>View updated</w:t>
            </w:r>
          </w:p>
        </w:tc>
        <w:tc>
          <w:tcPr>
            <w:tcW w:type="dxa" w:w="1584"/>
          </w:tcPr>
          <w:p>
            <w:r/>
            <w:r>
              <w:rPr>
                <w:sz w:val="19"/>
              </w:rPr>
              <w:t>None</w:t>
            </w:r>
          </w:p>
        </w:tc>
      </w:tr>
      <w:tr>
        <w:tc>
          <w:tcPr>
            <w:tcW w:type="dxa" w:w="3312"/>
          </w:tcPr>
          <w:p>
            <w:r/>
            <w:r>
              <w:rPr>
                <w:sz w:val="19"/>
              </w:rPr>
              <w:t>Rename a label, change an icon, add a select option</w:t>
            </w:r>
          </w:p>
        </w:tc>
        <w:tc>
          <w:tcPr>
            <w:tcW w:type="dxa" w:w="4176"/>
          </w:tcPr>
          <w:p>
            <w:r/>
            <w:r>
              <w:rPr>
                <w:sz w:val="19"/>
              </w:rPr>
              <w:t>Updated in place</w:t>
            </w:r>
          </w:p>
        </w:tc>
        <w:tc>
          <w:tcPr>
            <w:tcW w:type="dxa" w:w="1584"/>
          </w:tcPr>
          <w:p>
            <w:r/>
            <w:r>
              <w:rPr>
                <w:sz w:val="19"/>
              </w:rPr>
              <w:t>None</w:t>
            </w:r>
          </w:p>
        </w:tc>
      </w:tr>
      <w:tr>
        <w:tc>
          <w:tcPr>
            <w:tcW w:type="dxa" w:w="3312"/>
          </w:tcPr>
          <w:p>
            <w:r/>
            <w:r>
              <w:rPr>
                <w:sz w:val="19"/>
              </w:rPr>
              <w:t>Rename a field's API name</w:t>
            </w:r>
          </w:p>
        </w:tc>
        <w:tc>
          <w:tcPr>
            <w:tcW w:type="dxa" w:w="4176"/>
          </w:tcPr>
          <w:p>
            <w:r/>
            <w:r>
              <w:rPr>
                <w:sz w:val="19"/>
              </w:rPr>
              <w:t>Renamed; data preserved</w:t>
            </w:r>
          </w:p>
        </w:tc>
        <w:tc>
          <w:tcPr>
            <w:tcW w:type="dxa" w:w="1584"/>
          </w:tcPr>
          <w:p>
            <w:r/>
            <w:r>
              <w:rPr>
                <w:sz w:val="19"/>
              </w:rPr>
              <w:t>None</w:t>
            </w:r>
          </w:p>
        </w:tc>
      </w:tr>
      <w:tr>
        <w:tc>
          <w:tcPr>
            <w:tcW w:type="dxa" w:w="3312"/>
          </w:tcPr>
          <w:p>
            <w:r/>
            <w:r>
              <w:rPr>
                <w:sz w:val="19"/>
              </w:rPr>
              <w:t>Delete a field</w:t>
            </w:r>
          </w:p>
        </w:tc>
        <w:tc>
          <w:tcPr>
            <w:tcW w:type="dxa" w:w="4176"/>
          </w:tcPr>
          <w:p>
            <w:r/>
            <w:r>
              <w:rPr>
                <w:sz w:val="19"/>
              </w:rPr>
              <w:t>Column dropped and all its values lost permanently</w:t>
            </w:r>
          </w:p>
        </w:tc>
        <w:tc>
          <w:tcPr>
            <w:tcW w:type="dxa" w:w="1584"/>
          </w:tcPr>
          <w:p>
            <w:r/>
            <w:r>
              <w:rPr>
                <w:sz w:val="19"/>
              </w:rPr>
              <w:t>High — gated</w:t>
            </w:r>
          </w:p>
        </w:tc>
      </w:tr>
      <w:tr>
        <w:tc>
          <w:tcPr>
            <w:tcW w:type="dxa" w:w="3312"/>
          </w:tcPr>
          <w:p>
            <w:r/>
            <w:r>
              <w:rPr>
                <w:sz w:val="19"/>
              </w:rPr>
              <w:t>Change a field's type</w:t>
            </w:r>
          </w:p>
        </w:tc>
        <w:tc>
          <w:tcPr>
            <w:tcW w:type="dxa" w:w="4176"/>
          </w:tcPr>
          <w:p>
            <w:r/>
            <w:r>
              <w:rPr>
                <w:sz w:val="19"/>
              </w:rPr>
              <w:t>Some allowed, some refused by the server</w:t>
            </w:r>
          </w:p>
        </w:tc>
        <w:tc>
          <w:tcPr>
            <w:tcW w:type="dxa" w:w="1584"/>
          </w:tcPr>
          <w:p>
            <w:r/>
            <w:r>
              <w:rPr>
                <w:sz w:val="19"/>
              </w:rPr>
              <w:t>May fail</w:t>
            </w:r>
          </w:p>
        </w:tc>
      </w:tr>
      <w:tr>
        <w:tc>
          <w:tcPr>
            <w:tcW w:type="dxa" w:w="3312"/>
          </w:tcPr>
          <w:p>
            <w:r/>
            <w:r>
              <w:rPr>
                <w:sz w:val="19"/>
              </w:rPr>
              <w:t>Enter records in dev</w:t>
            </w:r>
          </w:p>
        </w:tc>
        <w:tc>
          <w:tcPr>
            <w:tcW w:type="dxa" w:w="4176"/>
          </w:tcPr>
          <w:p>
            <w:r/>
            <w:r>
              <w:rPr>
                <w:sz w:val="19"/>
              </w:rPr>
              <w:t>Nothing — records never travel</w:t>
            </w:r>
          </w:p>
        </w:tc>
        <w:tc>
          <w:tcPr>
            <w:tcW w:type="dxa" w:w="1584"/>
          </w:tcPr>
          <w:p>
            <w:r/>
            <w:r>
              <w:rPr>
                <w:sz w:val="19"/>
              </w:rPr>
              <w:t>None</w:t>
            </w:r>
          </w:p>
        </w:tc>
      </w:tr>
    </w:tbl>
    <w:p>
      <w:pPr>
        <w:spacing w:after="40"/>
      </w:pPr>
    </w:p>
    <w:p>
      <w:pPr>
        <w:pStyle w:val="Heading1"/>
      </w:pPr>
      <w:r>
        <w:t>8. Rules and limitations</w:t>
      </w:r>
    </w:p>
    <w:p>
      <w:pPr>
        <w:pStyle w:val="Heading2"/>
      </w:pPr>
      <w:r>
        <w:t>Two rules for the team</w:t>
      </w:r>
    </w:p>
    <w:p>
      <w:pPr>
        <w:pStyle w:val="ListBullet"/>
        <w:spacing w:after="60"/>
      </w:pPr>
      <w:r>
        <w:rPr>
          <w:b/>
        </w:rPr>
        <w:t xml:space="preserve">Nobody changes the data model in the production UI. </w:t>
      </w:r>
      <w:r>
        <w:t>Production is generated. A field created there by hand is invisible to Git and will be deleted by the next install.</w:t>
      </w:r>
    </w:p>
    <w:p>
      <w:pPr>
        <w:pStyle w:val="ListBullet"/>
        <w:spacing w:after="60"/>
      </w:pPr>
      <w:r>
        <w:rPr>
          <w:b/>
        </w:rPr>
        <w:t xml:space="preserve">Dev is the drawing board, Git is the record. </w:t>
      </w:r>
      <w:r>
        <w:t>If it is not in Git, it will never reach production.</w:t>
      </w:r>
    </w:p>
    <w:p>
      <w:pPr>
        <w:pStyle w:val="Heading2"/>
      </w:pPr>
      <w:r>
        <w:t>What deliberately does not travel</w:t>
      </w:r>
    </w:p>
    <w:p>
      <w:pPr>
        <w:pStyle w:val="ListBullet"/>
        <w:spacing w:after="60"/>
      </w:pPr>
      <w:r>
        <w:rPr>
          <w:b/>
        </w:rPr>
        <w:t xml:space="preserve">Records. </w:t>
      </w:r>
      <w:r>
        <w:t>Only the shape of the data moves, never the data itself.</w:t>
      </w:r>
    </w:p>
    <w:p>
      <w:pPr>
        <w:pStyle w:val="ListBullet"/>
        <w:spacing w:after="60"/>
      </w:pPr>
      <w:r>
        <w:rPr>
          <w:b/>
        </w:rPr>
        <w:t xml:space="preserve">Roles and role assignments. </w:t>
      </w:r>
      <w:r>
        <w:t>Production has its own users.</w:t>
      </w:r>
    </w:p>
    <w:p>
      <w:pPr>
        <w:pStyle w:val="ListBullet"/>
        <w:spacing w:after="60"/>
      </w:pPr>
      <w:r>
        <w:rPr>
          <w:b/>
        </w:rPr>
        <w:t xml:space="preserve">Reserved names. </w:t>
      </w:r>
      <w:r>
        <w:t>An installed application may not use names such as role, user or workspace. The field person.role is excluded for this reason; renaming it in dev would allow it through.</w:t>
      </w:r>
    </w:p>
    <w:p>
      <w:pPr>
        <w:pStyle w:val="ListBullet"/>
        <w:spacing w:after="60"/>
      </w:pPr>
      <w:r>
        <w:rPr>
          <w:b/>
        </w:rPr>
        <w:t xml:space="preserve">Indexes on objects the app does not own. </w:t>
      </w:r>
      <w:r>
        <w:t>The unique index on company.debtorNumber must be recreated by hand on production if that constraint matters there.</w:t>
      </w:r>
    </w:p>
    <w:p>
      <w:pPr>
        <w:pStyle w:val="ListBullet"/>
        <w:spacing w:after="60"/>
      </w:pPr>
      <w:r>
        <w:rPr>
          <w:b/>
        </w:rPr>
        <w:t xml:space="preserve">One pinned widget. </w:t>
      </w:r>
      <w:r>
        <w:t>The Company field pinned to Visit's Home tab stores its target by a database-local id with no portable equivalent.</w:t>
      </w:r>
    </w:p>
    <w:p>
      <w:pPr>
        <w:pStyle w:val="ListBullet"/>
        <w:spacing w:after="60"/>
      </w:pPr>
      <w:r>
        <w:rPr>
          <w:b/>
        </w:rPr>
        <w:t xml:space="preserve">Active/inactive state. </w:t>
      </w:r>
      <w:r>
        <w:t>Anything deactivated in dev arrives active on production. The pull warns when it finds one.</w:t>
      </w:r>
    </w:p>
    <w:p>
      <w:pPr>
        <w:pStyle w:val="Heading2"/>
      </w:pPr>
      <w:r>
        <w:t>When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19"/>
              </w:rPr>
              <w:t>Situation</w:t>
            </w:r>
          </w:p>
        </w:tc>
        <w:tc>
          <w:tcPr>
            <w:tcW w:type="dxa" w:w="5760"/>
          </w:tcPr>
          <w:p>
            <w:r/>
            <w:r>
              <w:rPr>
                <w:b/>
                <w:sz w:val="19"/>
              </w:rPr>
              <w:t>What to do</w:t>
            </w:r>
          </w:p>
        </w:tc>
      </w:tr>
      <w:tr>
        <w:tc>
          <w:tcPr>
            <w:tcW w:type="dxa" w:w="3312"/>
          </w:tcPr>
          <w:p>
            <w:r/>
            <w:r>
              <w:rPr>
                <w:sz w:val="19"/>
              </w:rPr>
              <w:t>Forgot to pull before merging</w:t>
            </w:r>
          </w:p>
        </w:tc>
        <w:tc>
          <w:tcPr>
            <w:tcW w:type="dxa" w:w="5760"/>
          </w:tcPr>
          <w:p>
            <w:r/>
            <w:r>
              <w:rPr>
                <w:sz w:val="19"/>
              </w:rPr>
              <w:t>Production simply misses the change. Pull, commit, deploy again. No damage.</w:t>
            </w:r>
          </w:p>
        </w:tc>
      </w:tr>
      <w:tr>
        <w:tc>
          <w:tcPr>
            <w:tcW w:type="dxa" w:w="3312"/>
          </w:tcPr>
          <w:p>
            <w:r/>
            <w:r>
              <w:rPr>
                <w:sz w:val="19"/>
              </w:rPr>
              <w:t>The plan shows a deletion you did not intend</w:t>
            </w:r>
          </w:p>
        </w:tc>
        <w:tc>
          <w:tcPr>
            <w:tcW w:type="dxa" w:w="5760"/>
          </w:tcPr>
          <w:p>
            <w:r/>
            <w:r>
              <w:rPr>
                <w:sz w:val="19"/>
              </w:rPr>
              <w:t>Someone deleted it in dev. Restore it there, pull again, and the deletion disappears.</w:t>
            </w:r>
          </w:p>
        </w:tc>
      </w:tr>
      <w:tr>
        <w:tc>
          <w:tcPr>
            <w:tcW w:type="dxa" w:w="3312"/>
          </w:tcPr>
          <w:p>
            <w:r/>
            <w:r>
              <w:rPr>
                <w:sz w:val="19"/>
              </w:rPr>
              <w:t>Install fails partway</w:t>
            </w:r>
          </w:p>
        </w:tc>
        <w:tc>
          <w:tcPr>
            <w:tcW w:type="dxa" w:w="5760"/>
          </w:tcPr>
          <w:p>
            <w:r/>
            <w:r>
              <w:rPr>
                <w:sz w:val="19"/>
              </w:rPr>
              <w:t>Fix the cause and re-run; the sync is idempotent.</w:t>
            </w:r>
          </w:p>
        </w:tc>
      </w:tr>
      <w:tr>
        <w:tc>
          <w:tcPr>
            <w:tcW w:type="dxa" w:w="3312"/>
          </w:tcPr>
          <w:p>
            <w:r/>
            <w:r>
              <w:rPr>
                <w:sz w:val="19"/>
              </w:rPr>
              <w:t>A bad change is already on production</w:t>
            </w:r>
          </w:p>
        </w:tc>
        <w:tc>
          <w:tcPr>
            <w:tcW w:type="dxa" w:w="5760"/>
          </w:tcPr>
          <w:p>
            <w:r/>
            <w:r>
              <w:rPr>
                <w:sz w:val="19"/>
              </w:rPr>
              <w:t>Fix it in dev, pull, deploy. Forward is the only path — a dropped column cannot be rolled back, which is why the gate exists.</w:t>
            </w:r>
          </w:p>
        </w:tc>
      </w:tr>
    </w:tbl>
    <w:p>
      <w:pPr>
        <w:spacing w:after="40"/>
      </w:pPr>
    </w:p>
    <w:p>
      <w:pPr>
        <w:pStyle w:val="Heading1"/>
      </w:pPr>
      <w:r>
        <w:t>9. Command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Command</w:t>
            </w:r>
          </w:p>
        </w:tc>
        <w:tc>
          <w:tcPr>
            <w:tcW w:type="dxa" w:w="4608"/>
          </w:tcPr>
          <w:p>
            <w:r/>
            <w:r>
              <w:rPr>
                <w:b/>
                <w:sz w:val="19"/>
              </w:rPr>
              <w:t>What it does</w:t>
            </w:r>
          </w:p>
        </w:tc>
        <w:tc>
          <w:tcPr>
            <w:tcW w:type="dxa" w:w="1584"/>
          </w:tcPr>
          <w:p>
            <w:r/>
            <w:r>
              <w:rPr>
                <w:b/>
                <w:sz w:val="19"/>
              </w:rPr>
              <w:t>Touches</w:t>
            </w:r>
          </w:p>
        </w:tc>
      </w:tr>
      <w:tr>
        <w:tc>
          <w:tcPr>
            <w:tcW w:type="dxa" w:w="2880"/>
          </w:tcPr>
          <w:p>
            <w:r/>
            <w:r>
              <w:rPr>
                <w:rFonts w:ascii="Consolas" w:hAnsi="Consolas"/>
                <w:sz w:val="17"/>
              </w:rPr>
              <w:t>yarn model:pull</w:t>
            </w:r>
          </w:p>
        </w:tc>
        <w:tc>
          <w:tcPr>
            <w:tcW w:type="dxa" w:w="4608"/>
          </w:tcPr>
          <w:p>
            <w:r/>
            <w:r>
              <w:rPr>
                <w:sz w:val="19"/>
              </w:rPr>
              <w:t>Reads dev's database and regenerates src/</w:t>
            </w:r>
          </w:p>
        </w:tc>
        <w:tc>
          <w:tcPr>
            <w:tcW w:type="dxa" w:w="1584"/>
          </w:tcPr>
          <w:p>
            <w:r/>
            <w:r>
              <w:rPr>
                <w:sz w:val="19"/>
              </w:rPr>
              <w:t>Reads dev only</w:t>
            </w:r>
          </w:p>
        </w:tc>
      </w:tr>
      <w:tr>
        <w:tc>
          <w:tcPr>
            <w:tcW w:type="dxa" w:w="2880"/>
          </w:tcPr>
          <w:p>
            <w:r/>
            <w:r>
              <w:rPr>
                <w:rFonts w:ascii="Consolas" w:hAnsi="Consolas"/>
                <w:sz w:val="17"/>
              </w:rPr>
              <w:t>yarn model:check</w:t>
            </w:r>
          </w:p>
        </w:tc>
        <w:tc>
          <w:tcPr>
            <w:tcW w:type="dxa" w:w="4608"/>
          </w:tcPr>
          <w:p>
            <w:r/>
            <w:r>
              <w:rPr>
                <w:sz w:val="19"/>
              </w:rPr>
              <w:t>Fails if the committed snapshot no longer matches dev</w:t>
            </w:r>
          </w:p>
        </w:tc>
        <w:tc>
          <w:tcPr>
            <w:tcW w:type="dxa" w:w="1584"/>
          </w:tcPr>
          <w:p>
            <w:r/>
            <w:r>
              <w:rPr>
                <w:sz w:val="19"/>
              </w:rPr>
              <w:t>Reads dev only</w:t>
            </w:r>
          </w:p>
        </w:tc>
      </w:tr>
      <w:tr>
        <w:tc>
          <w:tcPr>
            <w:tcW w:type="dxa" w:w="2880"/>
          </w:tcPr>
          <w:p>
            <w:r/>
            <w:r>
              <w:rPr>
                <w:rFonts w:ascii="Consolas" w:hAnsi="Consolas"/>
                <w:sz w:val="17"/>
              </w:rPr>
              <w:t>yarn twenty dev:build .</w:t>
            </w:r>
          </w:p>
        </w:tc>
        <w:tc>
          <w:tcPr>
            <w:tcW w:type="dxa" w:w="4608"/>
          </w:tcPr>
          <w:p>
            <w:r/>
            <w:r>
              <w:rPr>
                <w:sz w:val="19"/>
              </w:rPr>
              <w:t>Compiles src/ into manifest.json and type-checks it</w:t>
            </w:r>
          </w:p>
        </w:tc>
        <w:tc>
          <w:tcPr>
            <w:tcW w:type="dxa" w:w="1584"/>
          </w:tcPr>
          <w:p>
            <w:r/>
            <w:r>
              <w:rPr>
                <w:sz w:val="19"/>
              </w:rPr>
              <w:t>Nothing</w:t>
            </w:r>
          </w:p>
        </w:tc>
      </w:tr>
      <w:tr>
        <w:tc>
          <w:tcPr>
            <w:tcW w:type="dxa" w:w="2880"/>
          </w:tcPr>
          <w:p>
            <w:r/>
            <w:r>
              <w:rPr>
                <w:rFonts w:ascii="Consolas" w:hAnsi="Consolas"/>
                <w:sz w:val="17"/>
              </w:rPr>
              <w:t>yarn model:plan</w:t>
            </w:r>
          </w:p>
        </w:tc>
        <w:tc>
          <w:tcPr>
            <w:tcW w:type="dxa" w:w="4608"/>
          </w:tcPr>
          <w:p>
            <w:r/>
            <w:r>
              <w:rPr>
                <w:sz w:val="19"/>
              </w:rPr>
              <w:t>Asks a target what would change; changes nothing</w:t>
            </w:r>
          </w:p>
        </w:tc>
        <w:tc>
          <w:tcPr>
            <w:tcW w:type="dxa" w:w="1584"/>
          </w:tcPr>
          <w:p>
            <w:r/>
            <w:r>
              <w:rPr>
                <w:sz w:val="19"/>
              </w:rPr>
              <w:t>Reads target</w:t>
            </w:r>
          </w:p>
        </w:tc>
      </w:tr>
      <w:tr>
        <w:tc>
          <w:tcPr>
            <w:tcW w:type="dxa" w:w="2880"/>
          </w:tcPr>
          <w:p>
            <w:r/>
            <w:r>
              <w:rPr>
                <w:rFonts w:ascii="Consolas" w:hAnsi="Consolas"/>
                <w:sz w:val="17"/>
              </w:rPr>
              <w:t>yarn twenty app:publish</w:t>
            </w:r>
          </w:p>
        </w:tc>
        <w:tc>
          <w:tcPr>
            <w:tcW w:type="dxa" w:w="4608"/>
          </w:tcPr>
          <w:p>
            <w:r/>
            <w:r>
              <w:rPr>
                <w:sz w:val="19"/>
              </w:rPr>
              <w:t>Uploads the package to a target's registry</w:t>
            </w:r>
          </w:p>
        </w:tc>
        <w:tc>
          <w:tcPr>
            <w:tcW w:type="dxa" w:w="1584"/>
          </w:tcPr>
          <w:p>
            <w:r/>
            <w:r>
              <w:rPr>
                <w:sz w:val="19"/>
              </w:rPr>
              <w:t>Writes target</w:t>
            </w:r>
          </w:p>
        </w:tc>
      </w:tr>
      <w:tr>
        <w:tc>
          <w:tcPr>
            <w:tcW w:type="dxa" w:w="2880"/>
          </w:tcPr>
          <w:p>
            <w:r/>
            <w:r>
              <w:rPr>
                <w:rFonts w:ascii="Consolas" w:hAnsi="Consolas"/>
                <w:sz w:val="17"/>
              </w:rPr>
              <w:t>yarn twenty app:install</w:t>
            </w:r>
          </w:p>
        </w:tc>
        <w:tc>
          <w:tcPr>
            <w:tcW w:type="dxa" w:w="4608"/>
          </w:tcPr>
          <w:p>
            <w:r/>
            <w:r>
              <w:rPr>
                <w:sz w:val="19"/>
              </w:rPr>
              <w:t>Tells the target to apply the manifest</w:t>
            </w:r>
          </w:p>
        </w:tc>
        <w:tc>
          <w:tcPr>
            <w:tcW w:type="dxa" w:w="1584"/>
          </w:tcPr>
          <w:p>
            <w:r/>
            <w:r>
              <w:rPr>
                <w:sz w:val="19"/>
              </w:rPr>
              <w:t>Writes target</w:t>
            </w:r>
          </w:p>
        </w:tc>
      </w:tr>
      <w:tr>
        <w:tc>
          <w:tcPr>
            <w:tcW w:type="dxa" w:w="2880"/>
          </w:tcPr>
          <w:p>
            <w:r/>
            <w:r>
              <w:rPr>
                <w:rFonts w:ascii="Consolas" w:hAnsi="Consolas"/>
                <w:sz w:val="17"/>
              </w:rPr>
              <w:t>yarn model:post-install</w:t>
            </w:r>
          </w:p>
        </w:tc>
        <w:tc>
          <w:tcPr>
            <w:tcW w:type="dxa" w:w="4608"/>
          </w:tcPr>
          <w:p>
            <w:r/>
            <w:r>
              <w:rPr>
                <w:sz w:val="19"/>
              </w:rPr>
              <w:t>Applies renames and record page sections</w:t>
            </w:r>
          </w:p>
        </w:tc>
        <w:tc>
          <w:tcPr>
            <w:tcW w:type="dxa" w:w="1584"/>
          </w:tcPr>
          <w:p>
            <w:r/>
            <w:r>
              <w:rPr>
                <w:sz w:val="19"/>
              </w:rPr>
              <w:t>Writes target</w:t>
            </w:r>
          </w:p>
        </w:tc>
      </w:tr>
      <w:tr>
        <w:tc>
          <w:tcPr>
            <w:tcW w:type="dxa" w:w="2880"/>
          </w:tcPr>
          <w:p>
            <w:r/>
            <w:r>
              <w:rPr>
                <w:rFonts w:ascii="Consolas" w:hAnsi="Consolas"/>
                <w:sz w:val="17"/>
              </w:rPr>
              <w:t>yarn model:verify</w:t>
            </w:r>
          </w:p>
        </w:tc>
        <w:tc>
          <w:tcPr>
            <w:tcW w:type="dxa" w:w="4608"/>
          </w:tcPr>
          <w:p>
            <w:r/>
            <w:r>
              <w:rPr>
                <w:sz w:val="19"/>
              </w:rPr>
              <w:t>Confirms the target matches the manifest</w:t>
            </w:r>
          </w:p>
        </w:tc>
        <w:tc>
          <w:tcPr>
            <w:tcW w:type="dxa" w:w="1584"/>
          </w:tcPr>
          <w:p>
            <w:r/>
            <w:r>
              <w:rPr>
                <w:sz w:val="19"/>
              </w:rPr>
              <w:t>Reads target</w:t>
            </w:r>
          </w:p>
        </w:tc>
      </w:tr>
      <w:tr>
        <w:tc>
          <w:tcPr>
            <w:tcW w:type="dxa" w:w="2880"/>
          </w:tcPr>
          <w:p>
            <w:r/>
            <w:r>
              <w:rPr>
                <w:rFonts w:ascii="Consolas" w:hAnsi="Consolas"/>
                <w:sz w:val="17"/>
              </w:rPr>
              <w:t>yarn model:wipe</w:t>
            </w:r>
          </w:p>
        </w:tc>
        <w:tc>
          <w:tcPr>
            <w:tcW w:type="dxa" w:w="4608"/>
          </w:tcPr>
          <w:p>
            <w:r/>
            <w:r>
              <w:rPr>
                <w:sz w:val="19"/>
              </w:rPr>
              <w:t>One-time cutover only — removes a hand-built model</w:t>
            </w:r>
          </w:p>
        </w:tc>
        <w:tc>
          <w:tcPr>
            <w:tcW w:type="dxa" w:w="1584"/>
          </w:tcPr>
          <w:p>
            <w:r/>
            <w:r>
              <w:rPr>
                <w:sz w:val="19"/>
              </w:rPr>
              <w:t>Writes target</w:t>
            </w:r>
          </w:p>
        </w:tc>
      </w:tr>
    </w:tbl>
    <w:p>
      <w:pPr>
        <w:spacing w:after="40"/>
      </w:pPr>
    </w:p>
    <w:p/>
    <w:p>
      <w:r>
        <w:t>Further detail lives beside the code: WORKFLOW.md explains the reasoning and the day-to-day loop; README.md is the command, credential and security reference. Both are in packages/twenty-apps/floranow/data-model/.</w:t>
      </w:r>
    </w:p>
    <w:p>
      <w:r>
        <w:rPr>
          <w:i/>
          <w:color w:val="5A5A5A"/>
          <w:sz w:val="18"/>
        </w:rPr>
        <w:t>Generated as a reference for the Floranow CRM data model synchronisation.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