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0"/>
      </w:pPr>
    </w:p>
    <w:p>
      <w:pPr>
        <w:spacing w:after="360"/>
        <w:jc w:val="center"/>
      </w:pPr>
      <w:r>
        <w:rPr>
          <w:rFonts w:ascii="Calibri" w:hAnsi="Calibri" w:eastAsia="Yu Gothic"/>
          <w:b/>
          <w:color w:val="B58120"/>
          <w:sz w:val="21"/>
        </w:rPr>
        <w:t>MVP DESIGN PACKAGE</w:t>
      </w:r>
    </w:p>
    <w:p>
      <w:pPr>
        <w:pStyle w:val="Title"/>
        <w:jc w:val="center"/>
      </w:pPr>
      <w:r>
        <w:rPr>
          <w:rFonts w:ascii="Calibri" w:hAnsi="Calibri" w:eastAsia="Yu Gothic"/>
        </w:rPr>
        <w:t>Horse Asset Manager</w:t>
      </w:r>
    </w:p>
    <w:p>
      <w:pPr>
        <w:pStyle w:val="Title"/>
        <w:spacing w:after="200"/>
        <w:jc w:val="center"/>
      </w:pPr>
      <w:r>
        <w:rPr>
          <w:rFonts w:ascii="Calibri" w:hAnsi="Calibri" w:eastAsia="Yu Gothic"/>
        </w:rPr>
        <w:t>設計資料一式</w:t>
      </w:r>
    </w:p>
    <w:p>
      <w:pPr>
        <w:pStyle w:val="Subtitle"/>
        <w:jc w:val="center"/>
      </w:pPr>
      <w:r>
        <w:rPr>
          <w:rFonts w:ascii="Calibri" w:hAnsi="Calibri" w:eastAsia="Yu Gothic"/>
        </w:rPr>
        <w:t>要件定義・構成図・DB/API/UI・セキュリティ・テスト・運用</w:t>
      </w:r>
    </w:p>
    <w:p>
      <w:pPr>
        <w:spacing w:after="1480"/>
        <w:jc w:val="center"/>
      </w:pPr>
      <w:r>
        <w:rPr>
          <w:rFonts w:ascii="Calibri" w:hAnsi="Calibri" w:eastAsia="Yu Gothic"/>
          <w:b/>
          <w:color w:val="B58120"/>
          <w:sz w:val="22"/>
        </w:rPr>
        <w:t>一口馬主活動の、過去と未来のお金を管理する</w:t>
      </w:r>
    </w:p>
    <w:p>
      <w:pPr>
        <w:spacing w:after="60"/>
        <w:jc w:val="center"/>
      </w:pPr>
      <w:r>
        <w:rPr>
          <w:rFonts w:ascii="Calibri" w:hAnsi="Calibri" w:eastAsia="Yu Gothic"/>
          <w:b/>
          <w:color w:val="5F6B78"/>
          <w:sz w:val="20"/>
        </w:rPr>
        <w:t>文書版 1.1</w:t>
      </w:r>
    </w:p>
    <w:p>
      <w:pPr>
        <w:spacing w:after="60"/>
        <w:jc w:val="center"/>
      </w:pPr>
      <w:r>
        <w:rPr>
          <w:rFonts w:ascii="Calibri" w:hAnsi="Calibri" w:eastAsia="Yu Gothic"/>
          <w:b w:val="0"/>
          <w:color w:val="5F6B78"/>
          <w:sz w:val="20"/>
        </w:rPr>
        <w:t>基準日 2026年8月12日</w:t>
      </w:r>
    </w:p>
    <w:p>
      <w:pPr>
        <w:spacing w:after="60"/>
        <w:jc w:val="center"/>
      </w:pPr>
      <w:r>
        <w:rPr>
          <w:rFonts w:ascii="Calibri" w:hAnsi="Calibri" w:eastAsia="Yu Gothic"/>
          <w:b w:val="0"/>
          <w:color w:val="5F6B78"/>
          <w:sz w:val="20"/>
        </w:rPr>
        <w:t>対象実装 自分専用安定運用版（2026-08-12作業ツリー）</w:t>
      </w:r>
    </w:p>
    <w:p>
      <w:pPr>
        <w:spacing w:after="560"/>
      </w:pPr>
    </w:p>
    <w:p>
      <w:pPr>
        <w:shd w:val="clear" w:fill="FFF8E8"/>
        <w:keepNext w:val="0"/>
        <w:keepLines/>
        <w:widowControl/>
        <w:pBdr>
          <w:top w:val="single" w:sz="5" w:space="6" w:color="D5DEE8"/>
          <w:left w:val="single" w:sz="5" w:space="6" w:color="D5DEE8"/>
          <w:bottom w:val="single" w:sz="5" w:space="6" w:color="D5DEE8"/>
          <w:right w:val="single" w:sz="5" w:space="6" w:color="D5DEE8"/>
        </w:pBdr>
        <w:spacing w:before="100" w:after="180" w:line="276" w:lineRule="auto"/>
        <w:ind w:left="120" w:right="120"/>
      </w:pPr>
      <w:r>
        <w:rPr>
          <w:rFonts w:ascii="Calibri" w:hAnsi="Calibri" w:eastAsia="Yu Gothic"/>
          <w:b/>
          <w:color w:val="B58120"/>
          <w:sz w:val="21"/>
        </w:rPr>
        <w:t xml:space="preserve">スコープ  </w:t>
      </w:r>
      <w:r>
        <w:rPr>
          <w:rFonts w:ascii="Calibri" w:hAnsi="Calibri" w:eastAsia="Yu Gothic"/>
          <w:color w:val="1C2733"/>
          <w:sz w:val="21"/>
        </w:rPr>
        <w:t>本アプリは競馬予想・投資推奨ではありません。出資金、維持費、会費、保険料、分配金、精算金と将来予定を管理します。</w:t>
      </w:r>
    </w:p>
    <w:p>
      <w:r>
        <w:rPr>
          <w:rFonts w:ascii="Calibri" w:hAnsi="Calibri" w:eastAsia="Yu Gothic"/>
        </w:rPr>
        <w:br w:type="page"/>
      </w:r>
    </w:p>
    <w:p>
      <w:pPr>
        <w:pStyle w:val="Heading1"/>
      </w:pPr>
      <w:r>
        <w:rPr>
          <w:rFonts w:ascii="Calibri" w:hAnsi="Calibri" w:eastAsia="Yu Gothic"/>
        </w:rPr>
        <w:t>文書ガイド</w:t>
      </w:r>
    </w:p>
    <w:p>
      <w:pPr>
        <w:keepNext w:val="0"/>
        <w:keepLines w:val="0"/>
        <w:widowControl/>
      </w:pPr>
      <w:r>
        <w:rPr>
          <w:rFonts w:ascii="Calibri" w:hAnsi="Calibri" w:eastAsia="Yu Gothic"/>
        </w:rPr>
        <w:t>本Word版はレビュー・配布用の統合概要です。詳細と更新の正本はリポジトリの docs/README.md 以下にあるMarkdown資料です。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CD5DF"/>
          <w:left w:val="single" w:sz="6" w:space="0" w:color="CCD5DF"/>
          <w:bottom w:val="single" w:sz="6" w:space="0" w:color="CCD5DF"/>
          <w:right w:val="single" w:sz="6" w:space="0" w:color="CCD5DF"/>
          <w:insideH w:val="single" w:sz="6" w:space="0" w:color="CCD5DF"/>
          <w:insideV w:val="single" w:sz="6" w:space="0" w:color="CCD5DF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/>
              <w:widowControl/>
              <w:spacing w:before="20" w:after="20" w:line="252" w:lineRule="auto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8"/>
              </w:rPr>
              <w:t>項目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/>
              <w:widowControl/>
              <w:spacing w:before="20" w:after="20" w:line="252" w:lineRule="auto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1900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8"/>
              </w:rPr>
              <w:t>対象</w:t>
            </w:r>
          </w:p>
        </w:tc>
        <w:tc>
          <w:tcPr>
            <w:tcW w:type="dxa" w:w="746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8"/>
              </w:rPr>
              <w:t>Windows Web版MVP / Chrome・Edge</w:t>
            </w:r>
          </w:p>
        </w:tc>
      </w:tr>
      <w:tr>
        <w:tc>
          <w:tcPr>
            <w:tcW w:type="dxa" w:w="190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8"/>
              </w:rPr>
              <w:t>現状</w:t>
            </w:r>
          </w:p>
        </w:tc>
        <w:tc>
          <w:tcPr>
            <w:tcW w:type="dxa" w:w="746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8"/>
              </w:rPr>
              <w:t>本人限定の安定運用改善まで実装済み。一般公開prodは延期</w:t>
            </w:r>
          </w:p>
        </w:tc>
      </w:tr>
      <w:tr>
        <w:tc>
          <w:tcPr>
            <w:tcW w:type="dxa" w:w="1900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8"/>
              </w:rPr>
              <w:t>技術</w:t>
            </w:r>
          </w:p>
        </w:tc>
        <w:tc>
          <w:tcPr>
            <w:tcW w:type="dxa" w:w="746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8"/>
              </w:rPr>
              <w:t>React + TypeScript + Vite / Hono Worker / D1 / Drizzle / Zod</w:t>
            </w:r>
          </w:p>
        </w:tc>
      </w:tr>
      <w:tr>
        <w:tc>
          <w:tcPr>
            <w:tcW w:type="dxa" w:w="190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8"/>
              </w:rPr>
              <w:t>最重要ルール</w:t>
            </w:r>
          </w:p>
        </w:tc>
        <w:tc>
          <w:tcPr>
            <w:tcW w:type="dxa" w:w="746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8"/>
              </w:rPr>
              <w:t>実績集計はcashflowsのconfirmedのみ。金額は円整数</w:t>
            </w:r>
          </w:p>
        </w:tc>
      </w:tr>
      <w:tr>
        <w:tc>
          <w:tcPr>
            <w:tcW w:type="dxa" w:w="1900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8"/>
              </w:rPr>
              <w:t>個人運用判定</w:t>
            </w:r>
          </w:p>
        </w:tc>
        <w:tc>
          <w:tcPr>
            <w:tcW w:type="dxa" w:w="746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8"/>
              </w:rPr>
              <w:t>Access本人限定、登録停止、D1統合、バックアップ・復元を必須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Yu Gothic"/>
        </w:rPr>
        <w:t>収録内容</w:t>
      </w:r>
    </w:p>
    <w:p>
      <w:pPr>
        <w:ind w:left="461" w:hanging="288"/>
      </w:pPr>
      <w:r>
        <w:rPr>
          <w:rFonts w:ascii="Calibri" w:hAnsi="Calibri" w:eastAsia="Yu Gothic"/>
        </w:rPr>
        <w:t>1. プロジェクト概要と業務ルール</w:t>
      </w:r>
    </w:p>
    <w:p>
      <w:pPr>
        <w:ind w:left="461" w:hanging="288"/>
      </w:pPr>
      <w:r>
        <w:rPr>
          <w:rFonts w:ascii="Calibri" w:hAnsi="Calibri" w:eastAsia="Yu Gothic"/>
        </w:rPr>
        <w:t>2. MVP要件と受入条件</w:t>
      </w:r>
    </w:p>
    <w:p>
      <w:pPr>
        <w:ind w:left="461" w:hanging="288"/>
      </w:pPr>
      <w:r>
        <w:rPr>
          <w:rFonts w:ascii="Calibri" w:hAnsi="Calibri" w:eastAsia="Yu Gothic"/>
        </w:rPr>
        <w:t>3. システム構成・データフロー</w:t>
      </w:r>
    </w:p>
    <w:p>
      <w:pPr>
        <w:ind w:left="461" w:hanging="288"/>
      </w:pPr>
      <w:r>
        <w:rPr>
          <w:rFonts w:ascii="Calibri" w:hAnsi="Calibri" w:eastAsia="Yu Gothic"/>
        </w:rPr>
        <w:t>4. データベース・API・画面設計</w:t>
      </w:r>
    </w:p>
    <w:p>
      <w:pPr>
        <w:ind w:left="461" w:hanging="288"/>
      </w:pPr>
      <w:r>
        <w:rPr>
          <w:rFonts w:ascii="Calibri" w:hAnsi="Calibri" w:eastAsia="Yu Gothic"/>
        </w:rPr>
        <w:t>5. セキュリティ・データ保護</w:t>
      </w:r>
    </w:p>
    <w:p>
      <w:pPr>
        <w:ind w:left="461" w:hanging="288"/>
      </w:pPr>
      <w:r>
        <w:rPr>
          <w:rFonts w:ascii="Calibri" w:hAnsi="Calibri" w:eastAsia="Yu Gothic"/>
        </w:rPr>
        <w:t>6. テスト・運用・コスト設計</w:t>
      </w:r>
    </w:p>
    <w:p>
      <w:pPr>
        <w:ind w:left="461" w:hanging="288"/>
      </w:pPr>
      <w:r>
        <w:rPr>
          <w:rFonts w:ascii="Calibri" w:hAnsi="Calibri" w:eastAsia="Yu Gothic"/>
        </w:rPr>
        <w:t>7. ロードマップ・主要リスク・未決事項</w:t>
      </w:r>
    </w:p>
    <w:p>
      <w:pPr>
        <w:shd w:val="clear" w:fill="EDF7F1"/>
        <w:keepNext w:val="0"/>
        <w:keepLines/>
        <w:widowControl/>
        <w:pBdr>
          <w:top w:val="single" w:sz="5" w:space="6" w:color="D5DEE8"/>
          <w:left w:val="single" w:sz="5" w:space="6" w:color="D5DEE8"/>
          <w:bottom w:val="single" w:sz="5" w:space="6" w:color="D5DEE8"/>
          <w:right w:val="single" w:sz="5" w:space="6" w:color="D5DEE8"/>
        </w:pBdr>
        <w:spacing w:before="100" w:after="180" w:line="276" w:lineRule="auto"/>
        <w:ind w:left="120" w:right="120"/>
      </w:pPr>
      <w:r>
        <w:rPr>
          <w:rFonts w:ascii="Calibri" w:hAnsi="Calibri" w:eastAsia="Yu Gothic"/>
          <w:b/>
          <w:color w:val="2E6B4E"/>
          <w:sz w:val="21"/>
        </w:rPr>
        <w:t xml:space="preserve">安定運用の重点  </w:t>
      </w:r>
      <w:r>
        <w:rPr>
          <w:rFonts w:ascii="Calibri" w:hAnsi="Calibri" w:eastAsia="Yu Gothic"/>
          <w:color w:val="1C2733"/>
          <w:sz w:val="21"/>
        </w:rPr>
        <w:t>精算完了は状態条件・利用者単位の冪等性キー・D1 batchで保護し、連続・同時再実行を409で拒否します。一般公開向け認証・規約・prod構築は延期します。</w:t>
      </w:r>
    </w:p>
    <w:p>
      <w:pPr>
        <w:pStyle w:val="Heading1"/>
      </w:pPr>
      <w:r>
        <w:rPr>
          <w:rFonts w:ascii="Calibri" w:hAnsi="Calibri" w:eastAsia="Yu Gothic"/>
        </w:rPr>
        <w:t>1. プロジェクト概要</w:t>
      </w:r>
    </w:p>
    <w:p>
      <w:pPr>
        <w:keepNext w:val="0"/>
        <w:keepLines w:val="0"/>
        <w:widowControl/>
      </w:pPr>
      <w:r>
        <w:rPr>
          <w:rFonts w:ascii="Calibri" w:hAnsi="Calibri" w:eastAsia="Yu Gothic"/>
        </w:rPr>
        <w:t>Horse Asset Managerは、一口馬主活動における資金移動を、出資検討から引退・精算完了まで一元管理するWebサービスです。過去の記録だけでなく、支払い予定、予算超過、出資可能額を見える化します。</w:t>
      </w:r>
    </w:p>
    <w:p>
      <w:pPr>
        <w:pStyle w:val="Heading2"/>
      </w:pPr>
      <w:r>
        <w:rPr>
          <w:rFonts w:ascii="Calibri" w:hAnsi="Calibri" w:eastAsia="Yu Gothic"/>
        </w:rPr>
        <w:t>1.1 利用者価値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今月と今後12か月の支出予定を把握できる。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年間・月間予算に対する実績、未払い予定、見込、残額を分けて確認できる。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候補馬の初回、月額、初年度、想定期間の資金影響を比較できる。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馬・クラブ・カテゴリー・月ごとの支出、入金、損益、回収率を確認できる。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馬名変更や引退後も同じ馬IDで精算完了まで追跡できる。</w:t>
      </w:r>
    </w:p>
    <w:p>
      <w:pPr>
        <w:pStyle w:val="Heading2"/>
      </w:pPr>
      <w:r>
        <w:rPr>
          <w:rFonts w:ascii="Calibri" w:hAnsi="Calibri" w:eastAsia="Yu Gothic"/>
        </w:rPr>
        <w:t>1.2 スコープ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CD5DF"/>
          <w:left w:val="single" w:sz="6" w:space="0" w:color="CCD5DF"/>
          <w:bottom w:val="single" w:sz="6" w:space="0" w:color="CCD5DF"/>
          <w:right w:val="single" w:sz="6" w:space="0" w:color="CCD5DF"/>
          <w:insideH w:val="single" w:sz="6" w:space="0" w:color="CCD5DF"/>
          <w:insideV w:val="single" w:sz="6" w:space="0" w:color="CCD5DF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/>
              <w:widowControl/>
              <w:spacing w:before="20" w:after="20" w:line="252" w:lineRule="auto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8"/>
              </w:rPr>
              <w:t>MVP対象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/>
              <w:widowControl/>
              <w:spacing w:before="20" w:after="20" w:line="252" w:lineRule="auto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8"/>
              </w:rPr>
              <w:t>MVP対象外</w:t>
            </w:r>
          </w:p>
        </w:tc>
      </w:tr>
      <w:tr>
        <w:tc>
          <w:tcPr>
            <w:tcW w:type="dxa" w:w="4680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8"/>
              </w:rPr>
              <w:t>Windows 10/11、Chrome、Edge</w:t>
            </w:r>
          </w:p>
        </w:tc>
        <w:tc>
          <w:tcPr>
            <w:tcW w:type="dxa" w:w="468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8"/>
              </w:rPr>
              <w:t>iOS/Android/Swiftネイティブ</w:t>
            </w:r>
          </w:p>
        </w:tc>
      </w:tr>
      <w:tr>
        <w:tc>
          <w:tcPr>
            <w:tcW w:type="dxa" w:w="468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8"/>
              </w:rPr>
              <w:t>出資・収支・予定・予算・精算</w:t>
            </w:r>
          </w:p>
        </w:tc>
        <w:tc>
          <w:tcPr>
            <w:tcW w:type="dxa" w:w="468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8"/>
              </w:rPr>
              <w:t>レース・馬券予想</w:t>
            </w:r>
          </w:p>
        </w:tc>
      </w:tr>
      <w:tr>
        <w:tc>
          <w:tcPr>
            <w:tcW w:type="dxa" w:w="4680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8"/>
              </w:rPr>
              <w:t>馬別・クラブ別・カテゴリー別分析</w:t>
            </w:r>
          </w:p>
        </w:tc>
        <w:tc>
          <w:tcPr>
            <w:tcW w:type="dxa" w:w="468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8"/>
              </w:rPr>
              <w:t>血統・調教・馬体評価</w:t>
            </w:r>
          </w:p>
        </w:tc>
      </w:tr>
      <w:tr>
        <w:tc>
          <w:tcPr>
            <w:tcW w:type="dxa" w:w="468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8"/>
              </w:rPr>
              <w:t>対応PDFのブラウザ内解析</w:t>
            </w:r>
          </w:p>
        </w:tc>
        <w:tc>
          <w:tcPr>
            <w:tcW w:type="dxa" w:w="468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8"/>
              </w:rPr>
              <w:t>AI OCR・画像/暗号化/未対応PDF</w:t>
            </w:r>
          </w:p>
        </w:tc>
      </w:tr>
      <w:tr>
        <w:tc>
          <w:tcPr>
            <w:tcW w:type="dxa" w:w="4680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8"/>
              </w:rPr>
              <w:t>アプリ内通知、CSV</w:t>
            </w:r>
          </w:p>
        </w:tc>
        <w:tc>
          <w:tcPr>
            <w:tcW w:type="dxa" w:w="468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8"/>
              </w:rPr>
              <w:t>課金、一般公開、コミュニティ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Yu Gothic"/>
        </w:rPr>
        <w:t>1.3 重要な業務ルール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CD5DF"/>
          <w:left w:val="single" w:sz="6" w:space="0" w:color="CCD5DF"/>
          <w:bottom w:val="single" w:sz="6" w:space="0" w:color="CCD5DF"/>
          <w:right w:val="single" w:sz="6" w:space="0" w:color="CCD5DF"/>
          <w:insideH w:val="single" w:sz="6" w:space="0" w:color="CCD5DF"/>
          <w:insideV w:val="single" w:sz="6" w:space="0" w:color="CCD5DF"/>
        </w:tblBorders>
      </w:tblPr>
      <w:tblGrid>
        <w:gridCol w:w="1350"/>
        <w:gridCol w:w="8010"/>
      </w:tblGrid>
      <w:tr>
        <w:trPr>
          <w:tblHeader w:val="true"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/>
              <w:widowControl/>
              <w:spacing w:before="20" w:after="20" w:line="252" w:lineRule="auto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8"/>
              </w:rPr>
              <w:t>ID</w:t>
            </w:r>
          </w:p>
        </w:tc>
        <w:tc>
          <w:tcPr>
            <w:tcW w:type="dxa" w:w="8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/>
              <w:widowControl/>
              <w:spacing w:before="20" w:after="20" w:line="252" w:lineRule="auto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8"/>
              </w:rPr>
              <w:t>ルール</w:t>
            </w:r>
          </w:p>
        </w:tc>
      </w:tr>
      <w:tr>
        <w:tc>
          <w:tcPr>
            <w:tcW w:type="dxa" w:w="1350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8"/>
              </w:rPr>
              <w:t>BR-01</w:t>
            </w:r>
          </w:p>
        </w:tc>
        <w:tc>
          <w:tcPr>
            <w:tcW w:type="dxa" w:w="801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8"/>
              </w:rPr>
              <w:t>金額は円単位の安全な整数。小数を保存しない。</w:t>
            </w:r>
          </w:p>
        </w:tc>
      </w:tr>
      <w:tr>
        <w:tc>
          <w:tcPr>
            <w:tcW w:type="dxa" w:w="135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8"/>
              </w:rPr>
              <w:t>BR-02</w:t>
            </w:r>
          </w:p>
        </w:tc>
        <w:tc>
          <w:tcPr>
            <w:tcW w:type="dxa" w:w="801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8"/>
              </w:rPr>
              <w:t>実績集計の正本はcashflows.status=confirmedだけ。</w:t>
            </w:r>
          </w:p>
        </w:tc>
      </w:tr>
      <w:tr>
        <w:tc>
          <w:tcPr>
            <w:tcW w:type="dxa" w:w="1350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8"/>
              </w:rPr>
              <w:t>BR-03</w:t>
            </w:r>
          </w:p>
        </w:tc>
        <w:tc>
          <w:tcPr>
            <w:tcW w:type="dxa" w:w="801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8"/>
              </w:rPr>
              <w:t>馬代回収率=入金÷出資元本、総合回収率=入金÷実績支出。分母0は算出不可。</w:t>
            </w:r>
          </w:p>
        </w:tc>
      </w:tr>
      <w:tr>
        <w:tc>
          <w:tcPr>
            <w:tcW w:type="dxa" w:w="135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8"/>
              </w:rPr>
              <w:t>BR-04</w:t>
            </w:r>
          </w:p>
        </w:tc>
        <w:tc>
          <w:tcPr>
            <w:tcW w:type="dxa" w:w="801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8"/>
              </w:rPr>
              <w:t>出資可能額=max(0, 年間予算-実績支出-未払い予定支出)。</w:t>
            </w:r>
          </w:p>
        </w:tc>
      </w:tr>
      <w:tr>
        <w:tc>
          <w:tcPr>
            <w:tcW w:type="dxa" w:w="1350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8"/>
              </w:rPr>
              <w:t>BR-05</w:t>
            </w:r>
          </w:p>
        </w:tc>
        <w:tc>
          <w:tcPr>
            <w:tcW w:type="dxa" w:w="801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8"/>
              </w:rPr>
              <w:t>馬ステータスは整理ラベル。状態変更だけで金融データを変えない。</w:t>
            </w:r>
          </w:p>
        </w:tc>
      </w:tr>
      <w:tr>
        <w:tc>
          <w:tcPr>
            <w:tcW w:type="dxa" w:w="135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8"/>
              </w:rPr>
              <w:t>BR-06</w:t>
            </w:r>
          </w:p>
        </w:tc>
        <w:tc>
          <w:tcPr>
            <w:tcW w:type="dxa" w:w="801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8"/>
              </w:rPr>
              <w:t>現在名と旧名を保持し、収支は馬IDで結び付ける。</w:t>
            </w:r>
          </w:p>
        </w:tc>
      </w:tr>
      <w:tr>
        <w:tc>
          <w:tcPr>
            <w:tcW w:type="dxa" w:w="1350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8"/>
              </w:rPr>
              <w:t>BR-07</w:t>
            </w:r>
          </w:p>
        </w:tc>
        <w:tc>
          <w:tcPr>
            <w:tcW w:type="dxa" w:w="801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8"/>
              </w:rPr>
              <w:t>馬だけは名前完全一致後に関連データを完全削除。通常はアーカイブ。</w:t>
            </w:r>
          </w:p>
        </w:tc>
      </w:tr>
      <w:tr>
        <w:tc>
          <w:tcPr>
            <w:tcW w:type="dxa" w:w="135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8"/>
              </w:rPr>
              <w:t>BR-08</w:t>
            </w:r>
          </w:p>
        </w:tc>
        <w:tc>
          <w:tcPr>
            <w:tcW w:type="dxa" w:w="801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8"/>
              </w:rPr>
              <w:t>PDF本体・抽出全文はサーバーへ送信・保存しない。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 w:eastAsia="Yu Gothic"/>
        </w:rPr>
        <w:t>2. MVP要件</w:t>
      </w:r>
    </w:p>
    <w:p>
      <w:pPr>
        <w:keepNext w:val="0"/>
        <w:keepLines w:val="0"/>
        <w:widowControl/>
      </w:pPr>
      <w:r>
        <w:rPr>
          <w:rFonts w:ascii="Calibri" w:hAnsi="Calibri" w:eastAsia="Yu Gothic"/>
        </w:rPr>
        <w:t>要件IDは設計、実装、テスト、課題管理で共通利用します。詳細な受入条件は docs/01_requirements.md を正本とします。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CD5DF"/>
          <w:left w:val="single" w:sz="6" w:space="0" w:color="CCD5DF"/>
          <w:bottom w:val="single" w:sz="6" w:space="0" w:color="CCD5DF"/>
          <w:right w:val="single" w:sz="6" w:space="0" w:color="CCD5DF"/>
          <w:insideH w:val="single" w:sz="6" w:space="0" w:color="CCD5DF"/>
          <w:insideV w:val="single" w:sz="6" w:space="0" w:color="CCD5DF"/>
        </w:tblBorders>
      </w:tblPr>
      <w:tblGrid>
        <w:gridCol w:w="1900"/>
        <w:gridCol w:w="5860"/>
        <w:gridCol w:w="1600"/>
      </w:tblGrid>
      <w:tr>
        <w:trPr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/>
              <w:widowControl/>
              <w:spacing w:before="20" w:after="20" w:line="252" w:lineRule="auto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7"/>
              </w:rPr>
              <w:t>領域</w:t>
            </w:r>
          </w:p>
        </w:tc>
        <w:tc>
          <w:tcPr>
            <w:tcW w:type="dxa" w:w="5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/>
              <w:widowControl/>
              <w:spacing w:before="20" w:after="20" w:line="252" w:lineRule="auto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7"/>
              </w:rPr>
              <w:t>主要要件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/>
              <w:widowControl/>
              <w:spacing w:before="20" w:after="20" w:line="252" w:lineRule="auto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7"/>
              </w:rPr>
              <w:t>状態</w:t>
            </w:r>
          </w:p>
        </w:tc>
      </w:tr>
      <w:tr>
        <w:tc>
          <w:tcPr>
            <w:tcW w:type="dxa" w:w="1900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認証・初期設定</w:t>
            </w:r>
          </w:p>
        </w:tc>
        <w:tc>
          <w:tcPr>
            <w:tcW w:type="dxa" w:w="586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登録許可設定、ログイン、Cookieセッション、初期予算・マスター</w:t>
            </w:r>
          </w:p>
        </w:tc>
        <w:tc>
          <w:tcPr>
            <w:tcW w:type="dxa" w:w="160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実装済み</w:t>
            </w:r>
          </w:p>
        </w:tc>
      </w:tr>
      <w:tr>
        <w:tc>
          <w:tcPr>
            <w:tcW w:type="dxa" w:w="190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馬・出資</w:t>
            </w:r>
          </w:p>
        </w:tc>
        <w:tc>
          <w:tcPr>
            <w:tcW w:type="dxa" w:w="586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候補/出資馬、旧名、出資条件、初回支出、完全削除</w:t>
            </w:r>
          </w:p>
        </w:tc>
        <w:tc>
          <w:tcPr>
            <w:tcW w:type="dxa" w:w="160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実装済み</w:t>
            </w:r>
          </w:p>
        </w:tc>
      </w:tr>
      <w:tr>
        <w:tc>
          <w:tcPr>
            <w:tcW w:type="dxa" w:w="1900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実績収支</w:t>
            </w:r>
          </w:p>
        </w:tc>
        <w:tc>
          <w:tcPr>
            <w:tcW w:type="dxa" w:w="586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支出・入金、絞込、編集、アーカイブ</w:t>
            </w:r>
          </w:p>
        </w:tc>
        <w:tc>
          <w:tcPr>
            <w:tcW w:type="dxa" w:w="160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実装済み</w:t>
            </w:r>
          </w:p>
        </w:tc>
      </w:tr>
      <w:tr>
        <w:tc>
          <w:tcPr>
            <w:tcW w:type="dxa" w:w="190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予定・照合</w:t>
            </w:r>
          </w:p>
        </w:tc>
        <w:tc>
          <w:tcPr>
            <w:tcW w:type="dxa" w:w="586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定期ルール、12か月予定、候補比較、1対1照合・解除</w:t>
            </w:r>
          </w:p>
        </w:tc>
        <w:tc>
          <w:tcPr>
            <w:tcW w:type="dxa" w:w="160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実装済み</w:t>
            </w:r>
          </w:p>
        </w:tc>
      </w:tr>
      <w:tr>
        <w:tc>
          <w:tcPr>
            <w:tcW w:type="dxa" w:w="1900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予算・計画</w:t>
            </w:r>
          </w:p>
        </w:tc>
        <w:tc>
          <w:tcPr>
            <w:tcW w:type="dxa" w:w="586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年/月予算、出資可能額、複数候補シミュレーション</w:t>
            </w:r>
          </w:p>
        </w:tc>
        <w:tc>
          <w:tcPr>
            <w:tcW w:type="dxa" w:w="160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実装済み</w:t>
            </w:r>
          </w:p>
        </w:tc>
      </w:tr>
      <w:tr>
        <w:tc>
          <w:tcPr>
            <w:tcW w:type="dxa" w:w="190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分析・台帳</w:t>
            </w:r>
          </w:p>
        </w:tc>
        <w:tc>
          <w:tcPr>
            <w:tcW w:type="dxa" w:w="586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ダッシュボード、各軸分析、回収率、安全化CSV</w:t>
            </w:r>
          </w:p>
        </w:tc>
        <w:tc>
          <w:tcPr>
            <w:tcW w:type="dxa" w:w="160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実装・D1一致試験済み</w:t>
            </w:r>
          </w:p>
        </w:tc>
      </w:tr>
      <w:tr>
        <w:tc>
          <w:tcPr>
            <w:tcW w:type="dxa" w:w="1900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引退・精算</w:t>
            </w:r>
          </w:p>
        </w:tc>
        <w:tc>
          <w:tcPr>
            <w:tcW w:type="dxa" w:w="586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精算予定、冪等な実績反映、馬の精算完了</w:t>
            </w:r>
          </w:p>
        </w:tc>
        <w:tc>
          <w:tcPr>
            <w:tcW w:type="dxa" w:w="160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実装・並行試験済み</w:t>
            </w:r>
          </w:p>
        </w:tc>
      </w:tr>
      <w:tr>
        <w:tc>
          <w:tcPr>
            <w:tcW w:type="dxa" w:w="190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通知</w:t>
            </w:r>
          </w:p>
        </w:tc>
        <w:tc>
          <w:tcPr>
            <w:tcW w:type="dxa" w:w="586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期限、締切、予算、未入力、集中、既読</w:t>
            </w:r>
          </w:p>
        </w:tc>
        <w:tc>
          <w:tcPr>
            <w:tcW w:type="dxa" w:w="160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実装済み</w:t>
            </w:r>
          </w:p>
        </w:tc>
      </w:tr>
      <w:tr>
        <w:tc>
          <w:tcPr>
            <w:tcW w:type="dxa" w:w="1900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PDF</w:t>
            </w:r>
          </w:p>
        </w:tc>
        <w:tc>
          <w:tcPr>
            <w:tcW w:type="dxa" w:w="586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silk/lord対応、端末内解析、確認、一括登録、重複拒否</w:t>
            </w:r>
          </w:p>
        </w:tc>
        <w:tc>
          <w:tcPr>
            <w:tcW w:type="dxa" w:w="160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実装済み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Yu Gothic"/>
        </w:rPr>
        <w:t>2.1 主要受入シナリオ</w:t>
      </w:r>
    </w:p>
    <w:p>
      <w:pPr>
        <w:ind w:left="461" w:hanging="288"/>
      </w:pPr>
      <w:r>
        <w:rPr>
          <w:rFonts w:ascii="Calibri" w:hAnsi="Calibri" w:eastAsia="Yu Gothic"/>
        </w:rPr>
        <w:t>1. 新規登録→初期設定→候補馬→出資＋初回支出→馬別台帳まで完了できる。</w:t>
      </w:r>
    </w:p>
    <w:p>
      <w:pPr>
        <w:ind w:left="461" w:hanging="288"/>
      </w:pPr>
      <w:r>
        <w:rPr>
          <w:rFonts w:ascii="Calibri" w:hAnsi="Calibri" w:eastAsia="Yu Gothic"/>
        </w:rPr>
        <w:t>2. 定期ルールから予定を生成し、再実行で重複せず、実績と照合できる。</w:t>
      </w:r>
    </w:p>
    <w:p>
      <w:pPr>
        <w:ind w:left="461" w:hanging="288"/>
      </w:pPr>
      <w:r>
        <w:rPr>
          <w:rFonts w:ascii="Calibri" w:hAnsi="Calibri" w:eastAsia="Yu Gothic"/>
        </w:rPr>
        <w:t>3. 対応PDFを確認して予定/実績へ登録し、同じPDFの再取込を拒否する。</w:t>
      </w:r>
    </w:p>
    <w:p>
      <w:pPr>
        <w:ind w:left="461" w:hanging="288"/>
      </w:pPr>
      <w:r>
        <w:rPr>
          <w:rFonts w:ascii="Calibri" w:hAnsi="Calibri" w:eastAsia="Yu Gothic"/>
        </w:rPr>
        <w:t>4. 別利用者の既知IDを使っても詳細・更新・削除・分析・CSVへ混入しない。</w:t>
      </w:r>
    </w:p>
    <w:p>
      <w:pPr>
        <w:ind w:left="461" w:hanging="288"/>
      </w:pPr>
      <w:r>
        <w:rPr>
          <w:rFonts w:ascii="Calibri" w:hAnsi="Calibri" w:eastAsia="Yu Gothic"/>
        </w:rPr>
        <w:t>5. 馬名完全一致時だけ関連データを完全削除し、匿名件数監査だけを残す。</w:t>
      </w:r>
    </w:p>
    <w:p>
      <w:pPr>
        <w:ind w:left="461" w:hanging="288"/>
      </w:pPr>
      <w:r>
        <w:rPr>
          <w:rFonts w:ascii="Calibri" w:hAnsi="Calibri" w:eastAsia="Yu Gothic"/>
        </w:rPr>
        <w:t>6. 精算を一度だけ実績へ反映し、未完了がない場合だけ馬を精算完了にする。</w:t>
      </w:r>
    </w:p>
    <w:p>
      <w:pPr>
        <w:pStyle w:val="Heading1"/>
      </w:pPr>
      <w:r>
        <w:rPr>
          <w:rFonts w:ascii="Calibri" w:hAnsi="Calibri" w:eastAsia="Yu Gothic"/>
        </w:rPr>
        <w:t>3. システム構成</w:t>
      </w:r>
    </w:p>
    <w:p>
      <w:pPr>
        <w:keepNext w:val="0"/>
        <w:keepLines/>
        <w:widowControl/>
        <w:spacing w:before="60" w:after="0"/>
        <w:jc w:val="center"/>
      </w:pPr>
      <w:r>
        <w:rPr>
          <w:rFonts w:ascii="Calibri" w:hAnsi="Calibri" w:eastAsia="Yu Gothic"/>
        </w:rPr>
        <w:drawing>
          <wp:inline xmlns:a="http://schemas.openxmlformats.org/drawingml/2006/main" xmlns:pic="http://schemas.openxmlformats.org/drawingml/2006/picture">
            <wp:extent cx="5715000" cy="3214688"/>
            <wp:docPr id="1" name="Picture 1" descr="利用者ブラウザ、Cloudflare Worker、日次処理、D1、Workers Logsの関係。PDFはブラウザ内で解析する。" title="図1. システム構成概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widowControl/>
        <w:spacing w:before="80" w:after="140"/>
        <w:jc w:val="center"/>
      </w:pPr>
      <w:r>
        <w:rPr>
          <w:rFonts w:ascii="Calibri" w:hAnsi="Calibri" w:eastAsia="Yu Gothic"/>
          <w:i/>
          <w:color w:val="5F6B78"/>
          <w:sz w:val="18"/>
        </w:rPr>
        <w:t>図1. システム構成概要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CD5DF"/>
          <w:left w:val="single" w:sz="6" w:space="0" w:color="CCD5DF"/>
          <w:bottom w:val="single" w:sz="6" w:space="0" w:color="CCD5DF"/>
          <w:right w:val="single" w:sz="6" w:space="0" w:color="CCD5DF"/>
          <w:insideH w:val="single" w:sz="6" w:space="0" w:color="CCD5DF"/>
          <w:insideV w:val="single" w:sz="6" w:space="0" w:color="CCD5DF"/>
        </w:tblBorders>
      </w:tblPr>
      <w:tblGrid>
        <w:gridCol w:w="1800"/>
        <w:gridCol w:w="5000"/>
        <w:gridCol w:w="2560"/>
      </w:tblGrid>
      <w:tr>
        <w:trPr>
          <w:tblHeader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/>
              <w:widowControl/>
              <w:spacing w:before="20" w:after="20" w:line="252" w:lineRule="auto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8"/>
              </w:rPr>
              <w:t>レイヤー</w:t>
            </w:r>
          </w:p>
        </w:tc>
        <w:tc>
          <w:tcPr>
            <w:tcW w:type="dxa" w:w="5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/>
              <w:widowControl/>
              <w:spacing w:before="20" w:after="20" w:line="252" w:lineRule="auto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8"/>
              </w:rPr>
              <w:t>責務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/>
              <w:widowControl/>
              <w:spacing w:before="20" w:after="20" w:line="252" w:lineRule="auto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8"/>
              </w:rPr>
              <w:t>配置</w:t>
            </w:r>
          </w:p>
        </w:tc>
      </w:tr>
      <w:tr>
        <w:tc>
          <w:tcPr>
            <w:tcW w:type="dxa" w:w="1800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8"/>
              </w:rPr>
              <w:t>Web</w:t>
            </w:r>
          </w:p>
        </w:tc>
        <w:tc>
          <w:tcPr>
            <w:tcW w:type="dxa" w:w="500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8"/>
              </w:rPr>
              <w:t>画面、フォーム、ルーティング、チャート、PDF解析</w:t>
            </w:r>
          </w:p>
        </w:tc>
        <w:tc>
          <w:tcPr>
            <w:tcW w:type="dxa" w:w="256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8"/>
              </w:rPr>
              <w:t>apps/web</w:t>
            </w:r>
          </w:p>
        </w:tc>
      </w:tr>
      <w:tr>
        <w:tc>
          <w:tcPr>
            <w:tcW w:type="dxa" w:w="180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8"/>
              </w:rPr>
              <w:t>API</w:t>
            </w:r>
          </w:p>
        </w:tc>
        <w:tc>
          <w:tcPr>
            <w:tcW w:type="dxa" w:w="500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8"/>
              </w:rPr>
              <w:t>認証、Origin、所有権、Zod、集計、CSV</w:t>
            </w:r>
          </w:p>
        </w:tc>
        <w:tc>
          <w:tcPr>
            <w:tcW w:type="dxa" w:w="256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8"/>
              </w:rPr>
              <w:t>apps/api</w:t>
            </w:r>
          </w:p>
        </w:tc>
      </w:tr>
      <w:tr>
        <w:tc>
          <w:tcPr>
            <w:tcW w:type="dxa" w:w="1800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8"/>
              </w:rPr>
              <w:t>共有</w:t>
            </w:r>
          </w:p>
        </w:tc>
        <w:tc>
          <w:tcPr>
            <w:tcW w:type="dxa" w:w="500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8"/>
              </w:rPr>
              <w:t>金額、回収率、予算、日付、予定生成</w:t>
            </w:r>
          </w:p>
        </w:tc>
        <w:tc>
          <w:tcPr>
            <w:tcW w:type="dxa" w:w="256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8"/>
              </w:rPr>
              <w:t>packages/shared</w:t>
            </w:r>
          </w:p>
        </w:tc>
      </w:tr>
      <w:tr>
        <w:tc>
          <w:tcPr>
            <w:tcW w:type="dxa" w:w="180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8"/>
              </w:rPr>
              <w:t>入力契約</w:t>
            </w:r>
          </w:p>
        </w:tc>
        <w:tc>
          <w:tcPr>
            <w:tcW w:type="dxa" w:w="500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8"/>
              </w:rPr>
              <w:t>Web/API共通Zod</w:t>
            </w:r>
          </w:p>
        </w:tc>
        <w:tc>
          <w:tcPr>
            <w:tcW w:type="dxa" w:w="256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8"/>
              </w:rPr>
              <w:t>packages/validation</w:t>
            </w:r>
          </w:p>
        </w:tc>
      </w:tr>
      <w:tr>
        <w:tc>
          <w:tcPr>
            <w:tcW w:type="dxa" w:w="1800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8"/>
              </w:rPr>
              <w:t>DB</w:t>
            </w:r>
          </w:p>
        </w:tc>
        <w:tc>
          <w:tcPr>
            <w:tcW w:type="dxa" w:w="500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8"/>
              </w:rPr>
              <w:t>Drizzle schema、D1接続、制約・索引</w:t>
            </w:r>
          </w:p>
        </w:tc>
        <w:tc>
          <w:tcPr>
            <w:tcW w:type="dxa" w:w="256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8"/>
              </w:rPr>
              <w:t>packages/database</w:t>
            </w:r>
          </w:p>
        </w:tc>
      </w:tr>
      <w:tr>
        <w:tc>
          <w:tcPr>
            <w:tcW w:type="dxa" w:w="180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8"/>
              </w:rPr>
              <w:t>運用</w:t>
            </w:r>
          </w:p>
        </w:tc>
        <w:tc>
          <w:tcPr>
            <w:tcW w:type="dxa" w:w="500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8"/>
              </w:rPr>
              <w:t>日次予定補充、期限、通知、セッション掃除</w:t>
            </w:r>
          </w:p>
        </w:tc>
        <w:tc>
          <w:tcPr>
            <w:tcW w:type="dxa" w:w="256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8"/>
              </w:rPr>
              <w:t>Worker Cron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Yu Gothic"/>
        </w:rPr>
        <w:t>3.1 資金データフロー</w:t>
      </w:r>
    </w:p>
    <w:p>
      <w:pPr>
        <w:keepNext w:val="0"/>
        <w:keepLines/>
        <w:widowControl/>
        <w:spacing w:before="60" w:after="0"/>
        <w:jc w:val="center"/>
      </w:pPr>
      <w:r>
        <w:rPr>
          <w:rFonts w:ascii="Calibri" w:hAnsi="Calibri" w:eastAsia="Yu Gothic"/>
        </w:rPr>
        <w:drawing>
          <wp:inline xmlns:a="http://schemas.openxmlformats.org/drawingml/2006/main" xmlns:pic="http://schemas.openxmlformats.org/drawingml/2006/picture">
            <wp:extent cx="5715000" cy="3214688"/>
            <wp:docPr id="2" name="Picture 2" descr="入力から予定、実績、照合、分析への流れ。実績集計はconfirmed cashflowsだけを使う。" title="図2. 予定・実績・契約・精算の分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ial-data-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widowControl/>
        <w:spacing w:before="80" w:after="140"/>
        <w:jc w:val="center"/>
      </w:pPr>
      <w:r>
        <w:rPr>
          <w:rFonts w:ascii="Calibri" w:hAnsi="Calibri" w:eastAsia="Yu Gothic"/>
          <w:i/>
          <w:color w:val="5F6B78"/>
          <w:sz w:val="18"/>
        </w:rPr>
        <w:t>図2. 予定・実績・契約・精算の分離</w:t>
      </w:r>
    </w:p>
    <w:p>
      <w:pPr>
        <w:pStyle w:val="Heading1"/>
      </w:pPr>
      <w:r>
        <w:rPr>
          <w:rFonts w:ascii="Calibri" w:hAnsi="Calibri" w:eastAsia="Yu Gothic"/>
        </w:rPr>
        <w:t>4. データベース設計</w:t>
      </w:r>
    </w:p>
    <w:p>
      <w:pPr>
        <w:keepNext w:val="0"/>
        <w:keepLines/>
        <w:widowControl/>
        <w:spacing w:before="60" w:after="0"/>
        <w:jc w:val="center"/>
      </w:pPr>
      <w:r>
        <w:rPr>
          <w:rFonts w:ascii="Calibri" w:hAnsi="Calibri" w:eastAsia="Yu Gothic"/>
        </w:rPr>
        <w:drawing>
          <wp:inline xmlns:a="http://schemas.openxmlformats.org/drawingml/2006/main" xmlns:pic="http://schemas.openxmlformats.org/drawingml/2006/picture">
            <wp:extent cx="5715000" cy="3500438"/>
            <wp:docPr id="3" name="Picture 3" descr="19テーブルを利用者、マスター、馬・出資、資金、計画・精算、通知・監査の領域へ分類した概要。" title="図3. データモデル概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-model-over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0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widowControl/>
        <w:spacing w:before="80" w:after="140"/>
        <w:jc w:val="center"/>
      </w:pPr>
      <w:r>
        <w:rPr>
          <w:rFonts w:ascii="Calibri" w:hAnsi="Calibri" w:eastAsia="Yu Gothic"/>
          <w:i/>
          <w:color w:val="5F6B78"/>
          <w:sz w:val="18"/>
        </w:rPr>
        <w:t>図3. データモデル概要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CD5DF"/>
          <w:left w:val="single" w:sz="6" w:space="0" w:color="CCD5DF"/>
          <w:bottom w:val="single" w:sz="6" w:space="0" w:color="CCD5DF"/>
          <w:right w:val="single" w:sz="6" w:space="0" w:color="CCD5DF"/>
          <w:insideH w:val="single" w:sz="6" w:space="0" w:color="CCD5DF"/>
          <w:insideV w:val="single" w:sz="6" w:space="0" w:color="CCD5DF"/>
        </w:tblBorders>
      </w:tblPr>
      <w:tblGrid>
        <w:gridCol w:w="1500"/>
        <w:gridCol w:w="3920"/>
        <w:gridCol w:w="3940"/>
      </w:tblGrid>
      <w:tr>
        <w:trPr>
          <w:tblHeader w:val="true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/>
              <w:widowControl/>
              <w:spacing w:before="20" w:after="20" w:line="252" w:lineRule="auto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7"/>
              </w:rPr>
              <w:t>領域</w:t>
            </w:r>
          </w:p>
        </w:tc>
        <w:tc>
          <w:tcPr>
            <w:tcW w:type="dxa" w:w="3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/>
              <w:widowControl/>
              <w:spacing w:before="20" w:after="20" w:line="252" w:lineRule="auto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7"/>
              </w:rPr>
              <w:t>テーブル</w:t>
            </w:r>
          </w:p>
        </w:tc>
        <w:tc>
          <w:tcPr>
            <w:tcW w:type="dxa" w:w="3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/>
              <w:widowControl/>
              <w:spacing w:before="20" w:after="20" w:line="252" w:lineRule="auto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7"/>
              </w:rPr>
              <w:t>重要制約</w:t>
            </w:r>
          </w:p>
        </w:tc>
      </w:tr>
      <w:tr>
        <w:tc>
          <w:tcPr>
            <w:tcW w:type="dxa" w:w="1500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利用者</w:t>
            </w:r>
          </w:p>
        </w:tc>
        <w:tc>
          <w:tcPr>
            <w:tcW w:type="dxa" w:w="392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users, sessions</w:t>
            </w:r>
          </w:p>
        </w:tc>
        <w:tc>
          <w:tcPr>
            <w:tcW w:type="dxa" w:w="394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メール一意、セッション期限索引</w:t>
            </w:r>
          </w:p>
        </w:tc>
      </w:tr>
      <w:tr>
        <w:tc>
          <w:tcPr>
            <w:tcW w:type="dxa" w:w="150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マスター</w:t>
            </w:r>
          </w:p>
        </w:tc>
        <w:tc>
          <w:tcPr>
            <w:tcW w:type="dxa" w:w="392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clubs, categories, budgets</w:t>
            </w:r>
          </w:p>
        </w:tc>
        <w:tc>
          <w:tcPr>
            <w:tcW w:type="dxa" w:w="394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利用者内名称・期間一意、金額非負</w:t>
            </w:r>
          </w:p>
        </w:tc>
      </w:tr>
      <w:tr>
        <w:tc>
          <w:tcPr>
            <w:tcW w:type="dxa" w:w="1500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馬・出資</w:t>
            </w:r>
          </w:p>
        </w:tc>
        <w:tc>
          <w:tcPr>
            <w:tcW w:type="dxa" w:w="392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horses, horse_name_aliases, investments</w:t>
            </w:r>
          </w:p>
        </w:tc>
        <w:tc>
          <w:tcPr>
            <w:tcW w:type="dxa" w:w="394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旧名一意、1馬1出資、口数正数</w:t>
            </w:r>
          </w:p>
        </w:tc>
      </w:tr>
      <w:tr>
        <w:tc>
          <w:tcPr>
            <w:tcW w:type="dxa" w:w="150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取込・実績</w:t>
            </w:r>
          </w:p>
        </w:tc>
        <w:tc>
          <w:tcPr>
            <w:tcW w:type="dxa" w:w="392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statement_imports, cashflows</w:t>
            </w:r>
          </w:p>
        </w:tc>
        <w:tc>
          <w:tcPr>
            <w:tcW w:type="dxa" w:w="394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PDF hash一意、取込行一意、金額非負</w:t>
            </w:r>
          </w:p>
        </w:tc>
      </w:tr>
      <w:tr>
        <w:tc>
          <w:tcPr>
            <w:tcW w:type="dxa" w:w="1500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予定・照合</w:t>
            </w:r>
          </w:p>
        </w:tc>
        <w:tc>
          <w:tcPr>
            <w:tcW w:type="dxa" w:w="392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recurring_rules, scheduled_cashflows, cashflow_reconciliations</w:t>
            </w:r>
          </w:p>
        </w:tc>
        <w:tc>
          <w:tcPr>
            <w:tcW w:type="dxa" w:w="394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ルール+期日一意、照合1対1</w:t>
            </w:r>
          </w:p>
        </w:tc>
      </w:tr>
      <w:tr>
        <w:tc>
          <w:tcPr>
            <w:tcW w:type="dxa" w:w="150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計画・精算</w:t>
            </w:r>
          </w:p>
        </w:tc>
        <w:tc>
          <w:tcPr>
            <w:tcW w:type="dxa" w:w="392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simulation_scenarios, simulation_items, horse_settlements</w:t>
            </w:r>
          </w:p>
        </w:tc>
        <w:tc>
          <w:tcPr>
            <w:tcW w:type="dxa" w:w="394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明細金額非負、cashflow link一意</w:t>
            </w:r>
          </w:p>
        </w:tc>
      </w:tr>
      <w:tr>
        <w:tc>
          <w:tcPr>
            <w:tcW w:type="dxa" w:w="1500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通知・監査</w:t>
            </w:r>
          </w:p>
        </w:tc>
        <w:tc>
          <w:tcPr>
            <w:tcW w:type="dxa" w:w="392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alert_rules, notifications, audit_logs</w:t>
            </w:r>
          </w:p>
        </w:tc>
        <w:tc>
          <w:tcPr>
            <w:tcW w:type="dxa" w:w="394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利用者+種別/通知key一意、機密値をredact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Yu Gothic"/>
        </w:rPr>
        <w:t>4.1 完全削除</w:t>
      </w:r>
    </w:p>
    <w:p>
      <w:pPr>
        <w:keepNext w:val="0"/>
        <w:keepLines w:val="0"/>
        <w:widowControl/>
      </w:pPr>
      <w:r>
        <w:rPr>
          <w:rFonts w:ascii="Calibri" w:hAnsi="Calibri" w:eastAsia="Yu Gothic"/>
        </w:rPr>
        <w:t>馬の完全削除は、現在名の完全一致確認後、D1 batchで次の依存順に行います。</w:t>
      </w:r>
    </w:p>
    <w:p>
      <w:pPr>
        <w:ind w:left="461" w:hanging="288"/>
      </w:pPr>
      <w:r>
        <w:rPr>
          <w:rFonts w:ascii="Calibri" w:hAnsi="Calibri" w:eastAsia="Yu Gothic"/>
        </w:rPr>
        <w:t>1. 馬名・馬ID・金額を含まない匿名のテーブル別件数監査を先に作成する。</w:t>
      </w:r>
    </w:p>
    <w:p>
      <w:pPr>
        <w:ind w:left="461" w:hanging="288"/>
      </w:pPr>
      <w:r>
        <w:rPr>
          <w:rFonts w:ascii="Calibri" w:hAnsi="Calibri" w:eastAsia="Yu Gothic"/>
        </w:rPr>
        <w:t>2. 対象通知、馬の詳細監査、予定・実績照合、精算を削除する。</w:t>
      </w:r>
    </w:p>
    <w:p>
      <w:pPr>
        <w:ind w:left="461" w:hanging="288"/>
      </w:pPr>
      <w:r>
        <w:rPr>
          <w:rFonts w:ascii="Calibri" w:hAnsi="Calibri" w:eastAsia="Yu Gothic"/>
        </w:rPr>
        <w:t>3. 予定、定期ルール、シミュレーション明細、実績、出資、旧名を削除する。</w:t>
      </w:r>
    </w:p>
    <w:p>
      <w:pPr>
        <w:ind w:left="461" w:hanging="288"/>
      </w:pPr>
      <w:r>
        <w:rPr>
          <w:rFonts w:ascii="Calibri" w:hAnsi="Calibri" w:eastAsia="Yu Gothic"/>
        </w:rPr>
        <w:t>4. 最後に馬本体を削除する。シミュレーションのシナリオ本体は残す。</w:t>
      </w:r>
    </w:p>
    <w:p>
      <w:pPr>
        <w:shd w:val="clear" w:fill="FFF8E8"/>
        <w:keepNext w:val="0"/>
        <w:keepLines/>
        <w:widowControl/>
        <w:pBdr>
          <w:top w:val="single" w:sz="5" w:space="6" w:color="D5DEE8"/>
          <w:left w:val="single" w:sz="5" w:space="6" w:color="D5DEE8"/>
          <w:bottom w:val="single" w:sz="5" w:space="6" w:color="D5DEE8"/>
          <w:right w:val="single" w:sz="5" w:space="6" w:color="D5DEE8"/>
        </w:pBdr>
        <w:spacing w:before="100" w:after="180" w:line="276" w:lineRule="auto"/>
        <w:ind w:left="120" w:right="120"/>
      </w:pPr>
      <w:r>
        <w:rPr>
          <w:rFonts w:ascii="Calibri" w:hAnsi="Calibri" w:eastAsia="Yu Gothic"/>
          <w:b/>
          <w:color w:val="B58120"/>
          <w:sz w:val="21"/>
        </w:rPr>
        <w:t xml:space="preserve">注意  </w:t>
      </w:r>
      <w:r>
        <w:rPr>
          <w:rFonts w:ascii="Calibri" w:hAnsi="Calibri" w:eastAsia="Yu Gothic"/>
          <w:color w:val="1C2733"/>
          <w:sz w:val="21"/>
        </w:rPr>
        <w:t>復元機能はありません。運用者が利用者の代わりに直接SQLで馬を削除しない方針です。</w:t>
      </w:r>
    </w:p>
    <w:p>
      <w:pPr>
        <w:pStyle w:val="Heading1"/>
      </w:pPr>
      <w:r>
        <w:rPr>
          <w:rFonts w:ascii="Calibri" w:hAnsi="Calibri" w:eastAsia="Yu Gothic"/>
        </w:rPr>
        <w:t>5. API設計</w:t>
      </w:r>
    </w:p>
    <w:p>
      <w:pPr>
        <w:keepNext w:val="0"/>
        <w:keepLines w:val="0"/>
        <w:widowControl/>
      </w:pPr>
      <w:r>
        <w:rPr>
          <w:rFonts w:ascii="Calibri" w:hAnsi="Calibri" w:eastAsia="Yu Gothic"/>
        </w:rPr>
        <w:t>APIは /api 配下のREST形式です。成功は data/message、一覧はmeta、エラーはcode/message/detailsで返します。入力不正422、業務競合409、他利用者を含む未検出404を基本とします。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CD5DF"/>
          <w:left w:val="single" w:sz="6" w:space="0" w:color="CCD5DF"/>
          <w:bottom w:val="single" w:sz="6" w:space="0" w:color="CCD5DF"/>
          <w:right w:val="single" w:sz="6" w:space="0" w:color="CCD5DF"/>
          <w:insideH w:val="single" w:sz="6" w:space="0" w:color="CCD5DF"/>
          <w:insideV w:val="single" w:sz="6" w:space="0" w:color="CCD5DF"/>
        </w:tblBorders>
      </w:tblPr>
      <w:tblGrid>
        <w:gridCol w:w="1700"/>
        <w:gridCol w:w="3330"/>
        <w:gridCol w:w="4330"/>
      </w:tblGrid>
      <w:tr>
        <w:trPr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/>
              <w:widowControl/>
              <w:spacing w:before="20" w:after="20" w:line="252" w:lineRule="auto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7"/>
              </w:rPr>
              <w:t>API群</w:t>
            </w:r>
          </w:p>
        </w:tc>
        <w:tc>
          <w:tcPr>
            <w:tcW w:type="dxa" w:w="33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/>
              <w:widowControl/>
              <w:spacing w:before="20" w:after="20" w:line="252" w:lineRule="auto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7"/>
              </w:rPr>
              <w:t>代表パス</w:t>
            </w:r>
          </w:p>
        </w:tc>
        <w:tc>
          <w:tcPr>
            <w:tcW w:type="dxa" w:w="43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/>
              <w:widowControl/>
              <w:spacing w:before="20" w:after="20" w:line="252" w:lineRule="auto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7"/>
              </w:rPr>
              <w:t>設計ポイント</w:t>
            </w:r>
          </w:p>
        </w:tc>
      </w:tr>
      <w:tr>
        <w:tc>
          <w:tcPr>
            <w:tcW w:type="dxa" w:w="1700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認証</w:t>
            </w:r>
          </w:p>
        </w:tc>
        <w:tc>
          <w:tcPr>
            <w:tcW w:type="dxa" w:w="333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/auth/config, /register, /login, /logout, /me</w:t>
            </w:r>
          </w:p>
        </w:tc>
        <w:tc>
          <w:tcPr>
            <w:tcW w:type="dxa" w:w="433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登録許可設定、14日Cookie</w:t>
            </w:r>
          </w:p>
        </w:tc>
      </w:tr>
      <w:tr>
        <w:tc>
          <w:tcPr>
            <w:tcW w:type="dxa" w:w="170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初期設定</w:t>
            </w:r>
          </w:p>
        </w:tc>
        <w:tc>
          <w:tcPr>
            <w:tcW w:type="dxa" w:w="333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/setup, /setup/defaults</w:t>
            </w:r>
          </w:p>
        </w:tc>
        <w:tc>
          <w:tcPr>
            <w:tcW w:type="dxa" w:w="433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予算・マスター・アラート一括</w:t>
            </w:r>
          </w:p>
        </w:tc>
      </w:tr>
      <w:tr>
        <w:tc>
          <w:tcPr>
            <w:tcW w:type="dxa" w:w="1700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馬・出資</w:t>
            </w:r>
          </w:p>
        </w:tc>
        <w:tc>
          <w:tcPr>
            <w:tcW w:type="dxa" w:w="333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/horses, /investments</w:t>
            </w:r>
          </w:p>
        </w:tc>
        <w:tc>
          <w:tcPr>
            <w:tcW w:type="dxa" w:w="433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旧名、所有権、完全削除</w:t>
            </w:r>
          </w:p>
        </w:tc>
      </w:tr>
      <w:tr>
        <w:tc>
          <w:tcPr>
            <w:tcW w:type="dxa" w:w="170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収支</w:t>
            </w:r>
          </w:p>
        </w:tc>
        <w:tc>
          <w:tcPr>
            <w:tcW w:type="dxa" w:w="333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/cashflows</w:t>
            </w:r>
          </w:p>
        </w:tc>
        <w:tc>
          <w:tcPr>
            <w:tcW w:type="dxa" w:w="433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実績正本、最大100件ページング</w:t>
            </w:r>
          </w:p>
        </w:tc>
      </w:tr>
      <w:tr>
        <w:tc>
          <w:tcPr>
            <w:tcW w:type="dxa" w:w="1700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予定</w:t>
            </w:r>
          </w:p>
        </w:tc>
        <w:tc>
          <w:tcPr>
            <w:tcW w:type="dxa" w:w="333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/recurring-rules, /scheduled-cashflows</w:t>
            </w:r>
          </w:p>
        </w:tc>
        <w:tc>
          <w:tcPr>
            <w:tcW w:type="dxa" w:w="433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12か月、ON CONFLICTで冪等</w:t>
            </w:r>
          </w:p>
        </w:tc>
      </w:tr>
      <w:tr>
        <w:tc>
          <w:tcPr>
            <w:tcW w:type="dxa" w:w="170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照合</w:t>
            </w:r>
          </w:p>
        </w:tc>
        <w:tc>
          <w:tcPr>
            <w:tcW w:type="dxa" w:w="333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/reconciliations, /auto-match</w:t>
            </w:r>
          </w:p>
        </w:tc>
        <w:tc>
          <w:tcPr>
            <w:tcW w:type="dxa" w:w="433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予定/実績の1対1、解除・状態復帰</w:t>
            </w:r>
          </w:p>
        </w:tc>
      </w:tr>
      <w:tr>
        <w:tc>
          <w:tcPr>
            <w:tcW w:type="dxa" w:w="1700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分析</w:t>
            </w:r>
          </w:p>
        </w:tc>
        <w:tc>
          <w:tcPr>
            <w:tcW w:type="dxa" w:w="333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/dashboard, /analytics, /ledger</w:t>
            </w:r>
          </w:p>
        </w:tc>
        <w:tc>
          <w:tcPr>
            <w:tcW w:type="dxa" w:w="433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期間限定、confirmed集計</w:t>
            </w:r>
          </w:p>
        </w:tc>
      </w:tr>
      <w:tr>
        <w:tc>
          <w:tcPr>
            <w:tcW w:type="dxa" w:w="170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精算</w:t>
            </w:r>
          </w:p>
        </w:tc>
        <w:tc>
          <w:tcPr>
            <w:tcW w:type="dxa" w:w="333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/settlements/:id/complete</w:t>
            </w:r>
          </w:p>
        </w:tc>
        <w:tc>
          <w:tcPr>
            <w:tcW w:type="dxa" w:w="433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batch・冪等性キー、再実行409</w:t>
            </w:r>
          </w:p>
        </w:tc>
      </w:tr>
      <w:tr>
        <w:tc>
          <w:tcPr>
            <w:tcW w:type="dxa" w:w="1700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PDF</w:t>
            </w:r>
          </w:p>
        </w:tc>
        <w:tc>
          <w:tcPr>
            <w:tcW w:type="dxa" w:w="333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/statement-imports</w:t>
            </w:r>
          </w:p>
        </w:tc>
        <w:tc>
          <w:tcPr>
            <w:tcW w:type="dxa" w:w="433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最大100明細、hash/行key一意</w:t>
            </w:r>
          </w:p>
        </w:tc>
      </w:tr>
      <w:tr>
        <w:tc>
          <w:tcPr>
            <w:tcW w:type="dxa" w:w="170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出力</w:t>
            </w:r>
          </w:p>
        </w:tc>
        <w:tc>
          <w:tcPr>
            <w:tcW w:type="dxa" w:w="333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/export/*.csv</w:t>
            </w:r>
          </w:p>
        </w:tc>
        <w:tc>
          <w:tcPr>
            <w:tcW w:type="dxa" w:w="433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最大5年、UTF-8 BOM、式注入対策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Yu Gothic"/>
        </w:rPr>
        <w:t>5.1 API共通保護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Hono secureHeadersを全ルートへ適用する。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GET/HEAD/OPTIONS以外はOriginを検証する。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認証利用者はCookieから決定し、本文のuser_idを信用しない。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馬・クラブ・カテゴリーなどの参照先を同じuser_idで確認する。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一覧は原則ページングし、pageSizeは最大100とする。</w:t>
      </w:r>
    </w:p>
    <w:p>
      <w:pPr>
        <w:pStyle w:val="Heading1"/>
      </w:pPr>
      <w:r>
        <w:rPr>
          <w:rFonts w:ascii="Calibri" w:hAnsi="Calibri" w:eastAsia="Yu Gothic"/>
        </w:rPr>
        <w:t>6. UI・画面設計</w:t>
      </w:r>
    </w:p>
    <w:p>
      <w:pPr>
        <w:keepNext w:val="0"/>
        <w:keepLines w:val="0"/>
        <w:widowControl/>
      </w:pPr>
      <w:r>
        <w:rPr>
          <w:rFonts w:ascii="Calibri" w:hAnsi="Calibri" w:eastAsia="Yu Gothic"/>
        </w:rPr>
        <w:t>PCでは248pxの左サイドバー、1024px未満では上部ヘッダーと開閉メニューを使います。360px以上で主要操作を可能にし、狭い画面では表をカードへ切り替えます。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CD5DF"/>
          <w:left w:val="single" w:sz="6" w:space="0" w:color="CCD5DF"/>
          <w:bottom w:val="single" w:sz="6" w:space="0" w:color="CCD5DF"/>
          <w:right w:val="single" w:sz="6" w:space="0" w:color="CCD5DF"/>
          <w:insideH w:val="single" w:sz="6" w:space="0" w:color="CCD5DF"/>
          <w:insideV w:val="single" w:sz="6" w:space="0" w:color="CCD5DF"/>
        </w:tblBorders>
      </w:tblPr>
      <w:tblGrid>
        <w:gridCol w:w="1500"/>
        <w:gridCol w:w="3750"/>
        <w:gridCol w:w="4110"/>
      </w:tblGrid>
      <w:tr>
        <w:trPr>
          <w:tblHeader w:val="true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/>
              <w:widowControl/>
              <w:spacing w:before="20" w:after="20" w:line="252" w:lineRule="auto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7"/>
              </w:rPr>
              <w:t>領域</w:t>
            </w:r>
          </w:p>
        </w:tc>
        <w:tc>
          <w:tcPr>
            <w:tcW w:type="dxa" w:w="3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/>
              <w:widowControl/>
              <w:spacing w:before="20" w:after="20" w:line="252" w:lineRule="auto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7"/>
              </w:rPr>
              <w:t>主なルート</w:t>
            </w:r>
          </w:p>
        </w:tc>
        <w:tc>
          <w:tcPr>
            <w:tcW w:type="dxa" w:w="4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/>
              <w:widowControl/>
              <w:spacing w:before="20" w:after="20" w:line="252" w:lineRule="auto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7"/>
              </w:rPr>
              <w:t>主要操作</w:t>
            </w:r>
          </w:p>
        </w:tc>
      </w:tr>
      <w:tr>
        <w:tc>
          <w:tcPr>
            <w:tcW w:type="dxa" w:w="1500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認証</w:t>
            </w:r>
          </w:p>
        </w:tc>
        <w:tc>
          <w:tcPr>
            <w:tcW w:type="dxa" w:w="375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/login, /register, /setup</w:t>
            </w:r>
          </w:p>
        </w:tc>
        <w:tc>
          <w:tcPr>
            <w:tcW w:type="dxa" w:w="411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登録、ログイン、初期予算</w:t>
            </w:r>
          </w:p>
        </w:tc>
      </w:tr>
      <w:tr>
        <w:tc>
          <w:tcPr>
            <w:tcW w:type="dxa" w:w="150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概要</w:t>
            </w:r>
          </w:p>
        </w:tc>
        <w:tc>
          <w:tcPr>
            <w:tcW w:type="dxa" w:w="375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/dashboard, /notifications</w:t>
            </w:r>
          </w:p>
        </w:tc>
        <w:tc>
          <w:tcPr>
            <w:tcW w:type="dxa" w:w="411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月次・年次見込、予定、通知</w:t>
            </w:r>
          </w:p>
        </w:tc>
      </w:tr>
      <w:tr>
        <w:tc>
          <w:tcPr>
            <w:tcW w:type="dxa" w:w="1500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馬</w:t>
            </w:r>
          </w:p>
        </w:tc>
        <w:tc>
          <w:tcPr>
            <w:tcW w:type="dxa" w:w="375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/prospects, /horses, /horses/:id</w:t>
            </w:r>
          </w:p>
        </w:tc>
        <w:tc>
          <w:tcPr>
            <w:tcW w:type="dxa" w:w="411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候補、出資、台帳、精算、削除</w:t>
            </w:r>
          </w:p>
        </w:tc>
      </w:tr>
      <w:tr>
        <w:tc>
          <w:tcPr>
            <w:tcW w:type="dxa" w:w="150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収支</w:t>
            </w:r>
          </w:p>
        </w:tc>
        <w:tc>
          <w:tcPr>
            <w:tcW w:type="dxa" w:w="375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/cashflows, /cashflows/import</w:t>
            </w:r>
          </w:p>
        </w:tc>
        <w:tc>
          <w:tcPr>
            <w:tcW w:type="dxa" w:w="411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実績、PDF確認・一括登録</w:t>
            </w:r>
          </w:p>
        </w:tc>
      </w:tr>
      <w:tr>
        <w:tc>
          <w:tcPr>
            <w:tcW w:type="dxa" w:w="1500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予定</w:t>
            </w:r>
          </w:p>
        </w:tc>
        <w:tc>
          <w:tcPr>
            <w:tcW w:type="dxa" w:w="375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/scheduled, /calendar, /reconciliations</w:t>
            </w:r>
          </w:p>
        </w:tc>
        <w:tc>
          <w:tcPr>
            <w:tcW w:type="dxa" w:w="411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ルール、予定、照合</w:t>
            </w:r>
          </w:p>
        </w:tc>
      </w:tr>
      <w:tr>
        <w:tc>
          <w:tcPr>
            <w:tcW w:type="dxa" w:w="150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計画</w:t>
            </w:r>
          </w:p>
        </w:tc>
        <w:tc>
          <w:tcPr>
            <w:tcW w:type="dxa" w:w="375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/budgets, /simulations</w:t>
            </w:r>
          </w:p>
        </w:tc>
        <w:tc>
          <w:tcPr>
            <w:tcW w:type="dxa" w:w="411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予算、出資可能額、候補比較</w:t>
            </w:r>
          </w:p>
        </w:tc>
      </w:tr>
      <w:tr>
        <w:tc>
          <w:tcPr>
            <w:tcW w:type="dxa" w:w="1500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分析</w:t>
            </w:r>
          </w:p>
        </w:tc>
        <w:tc>
          <w:tcPr>
            <w:tcW w:type="dxa" w:w="375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/analytics</w:t>
            </w:r>
          </w:p>
        </w:tc>
        <w:tc>
          <w:tcPr>
            <w:tcW w:type="dxa" w:w="411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期間と軸、損益・回収率</w:t>
            </w:r>
          </w:p>
        </w:tc>
      </w:tr>
      <w:tr>
        <w:tc>
          <w:tcPr>
            <w:tcW w:type="dxa" w:w="150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設定</w:t>
            </w:r>
          </w:p>
        </w:tc>
        <w:tc>
          <w:tcPr>
            <w:tcW w:type="dxa" w:w="375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/settings/*</w:t>
            </w:r>
          </w:p>
        </w:tc>
        <w:tc>
          <w:tcPr>
            <w:tcW w:type="dxa" w:w="411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クラブ、カテゴリー、アラート、CSV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Yu Gothic"/>
        </w:rPr>
        <w:t>6.1 UI受入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予定・実績・見込を文言で区別し、色だけに頼らない。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入力エラーを項目近くに日本語で示し、APIエラーは内部情報を見せない。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馬の完全削除は影響を表示し、名前一致まで実行ボタンを無効にする。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キーボード、フォーカス、ラベル、ダイアログ、200%ズームを確認する。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WindowsのChrome・Edgeで主要6シナリオを完了する。</w:t>
      </w:r>
    </w:p>
    <w:p>
      <w:pPr>
        <w:pStyle w:val="Heading1"/>
      </w:pPr>
      <w:r>
        <w:rPr>
          <w:rFonts w:ascii="Calibri" w:hAnsi="Calibri" w:eastAsia="Yu Gothic"/>
        </w:rPr>
        <w:t>7. セキュリティ・データ保護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CD5DF"/>
          <w:left w:val="single" w:sz="6" w:space="0" w:color="CCD5DF"/>
          <w:bottom w:val="single" w:sz="6" w:space="0" w:color="CCD5DF"/>
          <w:right w:val="single" w:sz="6" w:space="0" w:color="CCD5DF"/>
          <w:insideH w:val="single" w:sz="6" w:space="0" w:color="CCD5DF"/>
          <w:insideV w:val="single" w:sz="6" w:space="0" w:color="CCD5DF"/>
        </w:tblBorders>
      </w:tblPr>
      <w:tblGrid>
        <w:gridCol w:w="1450"/>
        <w:gridCol w:w="3955"/>
        <w:gridCol w:w="3955"/>
      </w:tblGrid>
      <w:tr>
        <w:trPr>
          <w:tblHeader w:val="true"/>
        </w:trPr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/>
              <w:widowControl/>
              <w:spacing w:before="20" w:after="20" w:line="252" w:lineRule="auto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7"/>
              </w:rPr>
              <w:t>領域</w:t>
            </w:r>
          </w:p>
        </w:tc>
        <w:tc>
          <w:tcPr>
            <w:tcW w:type="dxa" w:w="39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/>
              <w:widowControl/>
              <w:spacing w:before="20" w:after="20" w:line="252" w:lineRule="auto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7"/>
              </w:rPr>
              <w:t>個人運用で実装済み</w:t>
            </w:r>
          </w:p>
        </w:tc>
        <w:tc>
          <w:tcPr>
            <w:tcW w:type="dxa" w:w="39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/>
              <w:widowControl/>
              <w:spacing w:before="20" w:after="20" w:line="252" w:lineRule="auto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7"/>
              </w:rPr>
              <w:t>一般公開時・継続対応</w:t>
            </w:r>
          </w:p>
        </w:tc>
      </w:tr>
      <w:tr>
        <w:tc>
          <w:tcPr>
            <w:tcW w:type="dxa" w:w="1450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認証</w:t>
            </w:r>
          </w:p>
        </w:tc>
        <w:tc>
          <w:tcPr>
            <w:tcW w:type="dxa" w:w="3955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PBKDF2、hash session、Cookie、Access、登録停止</w:t>
            </w:r>
          </w:p>
        </w:tc>
        <w:tc>
          <w:tcPr>
            <w:tcW w:type="dxa" w:w="3955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メール確認、reset、rate limit、IdP再評価</w:t>
            </w:r>
          </w:p>
        </w:tc>
      </w:tr>
      <w:tr>
        <w:tc>
          <w:tcPr>
            <w:tcW w:type="dxa" w:w="145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認可</w:t>
            </w:r>
          </w:p>
        </w:tc>
        <w:tc>
          <w:tcPr>
            <w:tcW w:type="dxa" w:w="3955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全主要表user_id、他者404、主要API D1マトリクス</w:t>
            </w:r>
          </w:p>
        </w:tc>
        <w:tc>
          <w:tcPr>
            <w:tcW w:type="dxa" w:w="3955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新規API追加時の回帰</w:t>
            </w:r>
          </w:p>
        </w:tc>
      </w:tr>
      <w:tr>
        <w:tc>
          <w:tcPr>
            <w:tcW w:type="dxa" w:w="1450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Web</w:t>
            </w:r>
          </w:p>
        </w:tc>
        <w:tc>
          <w:tcPr>
            <w:tcW w:type="dxa" w:w="3955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secureHeaders、更新Origin確認、Access(dev)</w:t>
            </w:r>
          </w:p>
        </w:tc>
        <w:tc>
          <w:tcPr>
            <w:tcW w:type="dxa" w:w="3955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CSP、欠落Origin/CSRF方針、HSTS</w:t>
            </w:r>
          </w:p>
        </w:tc>
      </w:tr>
      <w:tr>
        <w:tc>
          <w:tcPr>
            <w:tcW w:type="dxa" w:w="145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入力</w:t>
            </w:r>
          </w:p>
        </w:tc>
        <w:tc>
          <w:tcPr>
            <w:tcW w:type="dxa" w:w="3955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strict Zod、prepared SQL、DB制約、失敗注入D1統合</w:t>
            </w:r>
          </w:p>
        </w:tc>
        <w:tc>
          <w:tcPr>
            <w:tcW w:type="dxa" w:w="3955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制約境界と大量データを継続</w:t>
            </w:r>
          </w:p>
        </w:tc>
      </w:tr>
      <w:tr>
        <w:tc>
          <w:tcPr>
            <w:tcW w:type="dxa" w:w="1450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PDF</w:t>
            </w:r>
          </w:p>
        </w:tc>
        <w:tc>
          <w:tcPr>
            <w:tcW w:type="dxa" w:w="3955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端末内解析、API最小payload、hash重複拒否</w:t>
            </w:r>
          </w:p>
        </w:tc>
        <w:tc>
          <w:tcPr>
            <w:tcW w:type="dxa" w:w="3955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Network/D1/ログ回帰E2E</w:t>
            </w:r>
          </w:p>
        </w:tc>
      </w:tr>
      <w:tr>
        <w:tc>
          <w:tcPr>
            <w:tcW w:type="dxa" w:w="145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ログ</w:t>
            </w:r>
          </w:p>
        </w:tc>
        <w:tc>
          <w:tcPr>
            <w:tcW w:type="dxa" w:w="3955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requestId・処理時間・エラー種別だけ</w:t>
            </w:r>
          </w:p>
        </w:tc>
        <w:tc>
          <w:tcPr>
            <w:tcW w:type="dxa" w:w="3955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実環境tail、保持、定期監査</w:t>
            </w:r>
          </w:p>
        </w:tc>
      </w:tr>
      <w:tr>
        <w:tc>
          <w:tcPr>
            <w:tcW w:type="dxa" w:w="1450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CSV</w:t>
            </w:r>
          </w:p>
        </w:tc>
        <w:tc>
          <w:tcPr>
            <w:tcW w:type="dxa" w:w="3955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最大5年、BOM、引用、式注入対策とD1試験</w:t>
            </w:r>
          </w:p>
        </w:tc>
        <w:tc>
          <w:tcPr>
            <w:tcW w:type="dxa" w:w="3955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Excel更新時の回帰</w:t>
            </w:r>
          </w:p>
        </w:tc>
      </w:tr>
    </w:tbl>
    <w:p>
      <w:pPr>
        <w:spacing w:after="20"/>
      </w:pPr>
    </w:p>
    <w:p>
      <w:pPr>
        <w:shd w:val="clear" w:fill="FCEBEC"/>
        <w:keepNext w:val="0"/>
        <w:keepLines/>
        <w:widowControl/>
        <w:pBdr>
          <w:top w:val="single" w:sz="5" w:space="6" w:color="D5DEE8"/>
          <w:left w:val="single" w:sz="5" w:space="6" w:color="D5DEE8"/>
          <w:bottom w:val="single" w:sz="5" w:space="6" w:color="D5DEE8"/>
          <w:right w:val="single" w:sz="5" w:space="6" w:color="D5DEE8"/>
        </w:pBdr>
        <w:spacing w:before="100" w:after="180" w:line="276" w:lineRule="auto"/>
        <w:ind w:left="120" w:right="120"/>
      </w:pPr>
      <w:r>
        <w:rPr>
          <w:rFonts w:ascii="Calibri" w:hAnsi="Calibri" w:eastAsia="Yu Gothic"/>
          <w:b/>
          <w:color w:val="9B1C1C"/>
          <w:sz w:val="21"/>
        </w:rPr>
        <w:t xml:space="preserve">最高機密  </w:t>
      </w:r>
      <w:r>
        <w:rPr>
          <w:rFonts w:ascii="Calibri" w:hAnsi="Calibri" w:eastAsia="Yu Gothic"/>
          <w:color w:val="1C2733"/>
          <w:sz w:val="21"/>
        </w:rPr>
        <w:t>PDF本体・抽出全文、パスワード、セッションCookieは、ログや監査JSONへ残しません。</w:t>
      </w:r>
    </w:p>
    <w:p>
      <w:pPr>
        <w:pStyle w:val="Heading1"/>
      </w:pPr>
      <w:r>
        <w:rPr>
          <w:rFonts w:ascii="Calibri" w:hAnsi="Calibri" w:eastAsia="Yu Gothic"/>
        </w:rPr>
        <w:t>8. テスト・受入</w:t>
      </w:r>
    </w:p>
    <w:p>
      <w:pPr>
        <w:keepNext w:val="0"/>
        <w:keepLines w:val="0"/>
        <w:widowControl/>
      </w:pPr>
      <w:r>
        <w:rPr>
          <w:rFonts w:ascii="Calibri" w:hAnsi="Calibri" w:eastAsia="Yu Gothic"/>
        </w:rPr>
        <w:t>単体→API→D1統合→Playwright E2E→手動受入の順で、金額、権限、冪等性、破壊的操作、ブラウザを縦断確認します。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CD5DF"/>
          <w:left w:val="single" w:sz="6" w:space="0" w:color="CCD5DF"/>
          <w:bottom w:val="single" w:sz="6" w:space="0" w:color="CCD5DF"/>
          <w:right w:val="single" w:sz="6" w:space="0" w:color="CCD5DF"/>
          <w:insideH w:val="single" w:sz="6" w:space="0" w:color="CCD5DF"/>
          <w:insideV w:val="single" w:sz="6" w:space="0" w:color="CCD5DF"/>
        </w:tblBorders>
      </w:tblPr>
      <w:tblGrid>
        <w:gridCol w:w="1800"/>
        <w:gridCol w:w="5100"/>
        <w:gridCol w:w="2460"/>
      </w:tblGrid>
      <w:tr>
        <w:trPr>
          <w:tblHeader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/>
              <w:widowControl/>
              <w:spacing w:before="20" w:after="20" w:line="252" w:lineRule="auto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7"/>
              </w:rPr>
              <w:t>シナリオ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/>
              <w:widowControl/>
              <w:spacing w:before="20" w:after="20" w:line="252" w:lineRule="auto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7"/>
              </w:rPr>
              <w:t>確認事項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/>
              <w:widowControl/>
              <w:spacing w:before="20" w:after="20" w:line="252" w:lineRule="auto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7"/>
              </w:rPr>
              <w:t>現状</w:t>
            </w:r>
          </w:p>
        </w:tc>
      </w:tr>
      <w:tr>
        <w:tc>
          <w:tcPr>
            <w:tcW w:type="dxa" w:w="1800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初回利用</w:t>
            </w:r>
          </w:p>
        </w:tc>
        <w:tc>
          <w:tcPr>
            <w:tcW w:type="dxa" w:w="510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登録→設定→候補→出資→収支→台帳</w:t>
            </w:r>
          </w:p>
        </w:tc>
        <w:tc>
          <w:tcPr>
            <w:tcW w:type="dxa" w:w="246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E2E済み</w:t>
            </w:r>
          </w:p>
        </w:tc>
      </w:tr>
      <w:tr>
        <w:tc>
          <w:tcPr>
            <w:tcW w:type="dxa" w:w="180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利用者分離</w:t>
            </w:r>
          </w:p>
        </w:tc>
        <w:tc>
          <w:tcPr>
            <w:tcW w:type="dxa" w:w="510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別利用者の主要リソースを404</w:t>
            </w:r>
          </w:p>
        </w:tc>
        <w:tc>
          <w:tcPr>
            <w:tcW w:type="dxa" w:w="246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D1所有権マトリクス済み</w:t>
            </w:r>
          </w:p>
        </w:tc>
      </w:tr>
      <w:tr>
        <w:tc>
          <w:tcPr>
            <w:tcW w:type="dxa" w:w="1800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予定・照合</w:t>
            </w:r>
          </w:p>
        </w:tc>
        <w:tc>
          <w:tcPr>
            <w:tcW w:type="dxa" w:w="510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月末、12か月、再生成、差額、解除</w:t>
            </w:r>
          </w:p>
        </w:tc>
        <w:tc>
          <w:tcPr>
            <w:tcW w:type="dxa" w:w="246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D1・E2E済み</w:t>
            </w:r>
          </w:p>
        </w:tc>
      </w:tr>
      <w:tr>
        <w:tc>
          <w:tcPr>
            <w:tcW w:type="dxa" w:w="180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PDF</w:t>
            </w:r>
          </w:p>
        </w:tc>
        <w:tc>
          <w:tcPr>
            <w:tcW w:type="dxa" w:w="510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合計、紐付け、hash、非送信</w:t>
            </w:r>
          </w:p>
        </w:tc>
        <w:tc>
          <w:tcPr>
            <w:tcW w:type="dxa" w:w="246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parser単体 / Network E2E追加</w:t>
            </w:r>
          </w:p>
        </w:tc>
      </w:tr>
      <w:tr>
        <w:tc>
          <w:tcPr>
            <w:tcW w:type="dxa" w:w="1800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精算</w:t>
            </w:r>
          </w:p>
        </w:tc>
        <w:tc>
          <w:tcPr>
            <w:tcW w:type="dxa" w:w="510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実績反映は1回、pending中は馬完了不可</w:t>
            </w:r>
          </w:p>
        </w:tc>
        <w:tc>
          <w:tcPr>
            <w:tcW w:type="dxa" w:w="246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連続・同時D1/E2E済み</w:t>
            </w:r>
          </w:p>
        </w:tc>
      </w:tr>
      <w:tr>
        <w:tc>
          <w:tcPr>
            <w:tcW w:type="dxa" w:w="180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完全削除</w:t>
            </w:r>
          </w:p>
        </w:tc>
        <w:tc>
          <w:tcPr>
            <w:tcW w:type="dxa" w:w="510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不一致拒否、依存削除、匿名監査</w:t>
            </w:r>
          </w:p>
        </w:tc>
        <w:tc>
          <w:tcPr>
            <w:tcW w:type="dxa" w:w="246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候補/出資馬E2E済み</w:t>
            </w:r>
          </w:p>
        </w:tc>
      </w:tr>
      <w:tr>
        <w:tc>
          <w:tcPr>
            <w:tcW w:type="dxa" w:w="1800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大量・CSV</w:t>
            </w:r>
          </w:p>
        </w:tc>
        <w:tc>
          <w:tcPr>
            <w:tcW w:type="dxa" w:w="510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BOM・式注入・集計一致</w:t>
            </w:r>
          </w:p>
        </w:tc>
        <w:tc>
          <w:tcPr>
            <w:tcW w:type="dxa" w:w="246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安全化済み / 10,000件は継続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Yu Gothic"/>
        </w:rPr>
        <w:t>8.1 品質ゲート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typecheck、lint、format:check、test、D1統合、build、Chrome/Edge E2Eが成功する。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19テーブル、全migration、foreign_key_check、unique/check、batch失敗を確認する。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固定金額データでdashboard、ledger、analytics、CSVが一致する。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P0/P1不具合が0件である。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Access・登録停止・ログ・SQLバックアップを確認し、次回DB変更前にTime Travelを訓練する。</w:t>
      </w:r>
    </w:p>
    <w:p>
      <w:pPr>
        <w:pStyle w:val="Heading1"/>
      </w:pPr>
      <w:r>
        <w:rPr>
          <w:rFonts w:ascii="Calibri" w:hAnsi="Calibri" w:eastAsia="Yu Gothic"/>
        </w:rPr>
        <w:t>9. 運用・コスト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CD5DF"/>
          <w:left w:val="single" w:sz="6" w:space="0" w:color="CCD5DF"/>
          <w:bottom w:val="single" w:sz="6" w:space="0" w:color="CCD5DF"/>
          <w:right w:val="single" w:sz="6" w:space="0" w:color="CCD5DF"/>
          <w:insideH w:val="single" w:sz="6" w:space="0" w:color="CCD5DF"/>
          <w:insideV w:val="single" w:sz="6" w:space="0" w:color="CCD5DF"/>
        </w:tblBorders>
      </w:tblPr>
      <w:tblGrid>
        <w:gridCol w:w="1500"/>
        <w:gridCol w:w="4400"/>
        <w:gridCol w:w="3460"/>
      </w:tblGrid>
      <w:tr>
        <w:trPr>
          <w:tblHeader w:val="true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/>
              <w:widowControl/>
              <w:spacing w:before="20" w:after="20" w:line="252" w:lineRule="auto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8"/>
              </w:rPr>
              <w:t>環境</w:t>
            </w:r>
          </w:p>
        </w:tc>
        <w:tc>
          <w:tcPr>
            <w:tcW w:type="dxa" w:w="4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/>
              <w:widowControl/>
              <w:spacing w:before="20" w:after="20" w:line="252" w:lineRule="auto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8"/>
              </w:rPr>
              <w:t>Worker / D1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/>
              <w:widowControl/>
              <w:spacing w:before="20" w:after="20" w:line="252" w:lineRule="auto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8"/>
              </w:rPr>
              <w:t>用途</w:t>
            </w:r>
          </w:p>
        </w:tc>
      </w:tr>
      <w:tr>
        <w:tc>
          <w:tcPr>
            <w:tcW w:type="dxa" w:w="1500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8"/>
              </w:rPr>
              <w:t>local</w:t>
            </w:r>
          </w:p>
        </w:tc>
        <w:tc>
          <w:tcPr>
            <w:tcW w:type="dxa" w:w="440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8"/>
              </w:rPr>
              <w:t>local Worker / local D1</w:t>
            </w:r>
          </w:p>
        </w:tc>
        <w:tc>
          <w:tcPr>
            <w:tcW w:type="dxa" w:w="346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8"/>
              </w:rPr>
              <w:t>開発・自動テスト</w:t>
            </w:r>
          </w:p>
        </w:tc>
      </w:tr>
      <w:tr>
        <w:tc>
          <w:tcPr>
            <w:tcW w:type="dxa" w:w="150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8"/>
              </w:rPr>
              <w:t>dev</w:t>
            </w:r>
          </w:p>
        </w:tc>
        <w:tc>
          <w:tcPr>
            <w:tcW w:type="dxa" w:w="440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8"/>
              </w:rPr>
              <w:t>horse-asset-manager-dev / horse_asset_manager_dev</w:t>
            </w:r>
          </w:p>
        </w:tc>
        <w:tc>
          <w:tcPr>
            <w:tcW w:type="dxa" w:w="346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8"/>
              </w:rPr>
              <w:t>Access限定の受入・運用確認</w:t>
            </w:r>
          </w:p>
        </w:tc>
      </w:tr>
      <w:tr>
        <w:tc>
          <w:tcPr>
            <w:tcW w:type="dxa" w:w="1500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8"/>
              </w:rPr>
              <w:t>prod</w:t>
            </w:r>
          </w:p>
        </w:tc>
        <w:tc>
          <w:tcPr>
            <w:tcW w:type="dxa" w:w="440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8"/>
              </w:rPr>
              <w:t>未構築・devと完全分離</w:t>
            </w:r>
          </w:p>
        </w:tc>
        <w:tc>
          <w:tcPr>
            <w:tcW w:type="dxa" w:w="346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8"/>
              </w:rPr>
              <w:t>一般公開を決めた場合だけ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Yu Gothic"/>
        </w:rPr>
        <w:t>9.1 リリースと復旧</w:t>
      </w:r>
    </w:p>
    <w:p>
      <w:pPr>
        <w:ind w:left="461" w:hanging="288"/>
      </w:pPr>
      <w:r>
        <w:rPr>
          <w:rFonts w:ascii="Calibri" w:hAnsi="Calibri" w:eastAsia="Yu Gothic"/>
        </w:rPr>
        <w:t>1. コード品質とE2Eを完了し、D1復旧基準点を記録する。</w:t>
      </w:r>
    </w:p>
    <w:p>
      <w:pPr>
        <w:ind w:left="461" w:hanging="288"/>
      </w:pPr>
      <w:r>
        <w:rPr>
          <w:rFonts w:ascii="Calibri" w:hAnsi="Calibri" w:eastAsia="Yu Gothic"/>
        </w:rPr>
        <w:t>2. devへmigrationを適用し、foreign_key_checkとdry-runを行う。</w:t>
      </w:r>
    </w:p>
    <w:p>
      <w:pPr>
        <w:ind w:left="461" w:hanging="288"/>
      </w:pPr>
      <w:r>
        <w:rPr>
          <w:rFonts w:ascii="Calibri" w:hAnsi="Calibri" w:eastAsia="Yu Gothic"/>
        </w:rPr>
        <w:t>3. deploy後にhealth、Access、認証、主要画面、Cookie、深いSPAルートを確認する。</w:t>
      </w:r>
    </w:p>
    <w:p>
      <w:pPr>
        <w:ind w:left="461" w:hanging="288"/>
      </w:pPr>
      <w:r>
        <w:rPr>
          <w:rFonts w:ascii="Calibri" w:hAnsi="Calibri" w:eastAsia="Yu Gothic"/>
        </w:rPr>
        <w:t>4. 24時間、5xx、Cron、D1 read/write、CPU、費用を監視する。</w:t>
      </w:r>
    </w:p>
    <w:p>
      <w:pPr>
        <w:ind w:left="461" w:hanging="288"/>
      </w:pPr>
      <w:r>
        <w:rPr>
          <w:rFonts w:ascii="Calibri" w:hAnsi="Calibri" w:eastAsia="Yu Gothic"/>
        </w:rPr>
        <w:t>5. 障害時はWorker版とDB互換を確認してrollbackし、必要ならTime Travelで復旧する。</w:t>
      </w:r>
    </w:p>
    <w:p>
      <w:pPr>
        <w:pStyle w:val="Heading2"/>
      </w:pPr>
      <w:r>
        <w:rPr>
          <w:rFonts w:ascii="Calibri" w:hAnsi="Calibri" w:eastAsia="Yu Gothic"/>
        </w:rPr>
        <w:t>9.2 Cloudflare費用前提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CD5DF"/>
          <w:left w:val="single" w:sz="6" w:space="0" w:color="CCD5DF"/>
          <w:bottom w:val="single" w:sz="6" w:space="0" w:color="CCD5DF"/>
          <w:right w:val="single" w:sz="6" w:space="0" w:color="CCD5DF"/>
          <w:insideH w:val="single" w:sz="6" w:space="0" w:color="CCD5DF"/>
          <w:insideV w:val="single" w:sz="6" w:space="0" w:color="CCD5DF"/>
        </w:tblBorders>
      </w:tblPr>
      <w:tblGrid>
        <w:gridCol w:w="1700"/>
        <w:gridCol w:w="3400"/>
        <w:gridCol w:w="4260"/>
      </w:tblGrid>
      <w:tr>
        <w:trPr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/>
              <w:widowControl/>
              <w:spacing w:before="20" w:after="20" w:line="252" w:lineRule="auto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7"/>
              </w:rPr>
              <w:t>項目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/>
              <w:widowControl/>
              <w:spacing w:before="20" w:after="20" w:line="252" w:lineRule="auto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7"/>
              </w:rPr>
              <w:t>2026-08-12時点の前提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/>
              <w:widowControl/>
              <w:spacing w:before="20" w:after="20" w:line="252" w:lineRule="auto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7"/>
              </w:rPr>
              <w:t>ガードレール</w:t>
            </w:r>
          </w:p>
        </w:tc>
      </w:tr>
      <w:tr>
        <w:tc>
          <w:tcPr>
            <w:tcW w:type="dxa" w:w="1700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Workers</w:t>
            </w:r>
          </w:p>
        </w:tc>
        <w:tc>
          <w:tcPr>
            <w:tcW w:type="dxa" w:w="340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Paid最低5 USD/月 + 超過従量</w:t>
            </w:r>
          </w:p>
        </w:tc>
        <w:tc>
          <w:tcPr>
            <w:tcW w:type="dxa" w:w="426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CPU上限、再試行制御、Budget Alert</w:t>
            </w:r>
          </w:p>
        </w:tc>
      </w:tr>
      <w:tr>
        <w:tc>
          <w:tcPr>
            <w:tcW w:type="dxa" w:w="170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D1 read</w:t>
            </w:r>
          </w:p>
        </w:tc>
        <w:tc>
          <w:tcPr>
            <w:tcW w:type="dxa" w:w="340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月250億行含有</w:t>
            </w:r>
          </w:p>
        </w:tc>
        <w:tc>
          <w:tcPr>
            <w:tcW w:type="dxa" w:w="426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期間、pageSize&lt;=100、索引、rows_read監視</w:t>
            </w:r>
          </w:p>
        </w:tc>
      </w:tr>
      <w:tr>
        <w:tc>
          <w:tcPr>
            <w:tcW w:type="dxa" w:w="1700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D1 write</w:t>
            </w:r>
          </w:p>
        </w:tc>
        <w:tc>
          <w:tcPr>
            <w:tcW w:type="dxa" w:w="340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月5,000万行含有</w:t>
            </w:r>
          </w:p>
        </w:tc>
        <w:tc>
          <w:tcPr>
            <w:tcW w:type="dxa" w:w="426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一意制約、dedupe、日次Cron</w:t>
            </w:r>
          </w:p>
        </w:tc>
      </w:tr>
      <w:tr>
        <w:tc>
          <w:tcPr>
            <w:tcW w:type="dxa" w:w="170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D1 storage</w:t>
            </w:r>
          </w:p>
        </w:tc>
        <w:tc>
          <w:tcPr>
            <w:tcW w:type="dxa" w:w="340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月5GB含有、1 DB上限10GB</w:t>
            </w:r>
          </w:p>
        </w:tc>
        <w:tc>
          <w:tcPr>
            <w:tcW w:type="dxa" w:w="426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容量月次確認、巨大JSON/PDFを保存しない</w:t>
            </w:r>
          </w:p>
        </w:tc>
      </w:tr>
      <w:tr>
        <w:tc>
          <w:tcPr>
            <w:tcW w:type="dxa" w:w="1700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復旧</w:t>
            </w:r>
          </w:p>
        </w:tc>
        <w:tc>
          <w:tcPr>
            <w:tcW w:type="dxa" w:w="340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日時付きSQL + Paid Time Travel</w:t>
            </w:r>
          </w:p>
        </w:tc>
        <w:tc>
          <w:tcPr>
            <w:tcW w:type="dxa" w:w="426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local復元済み、dev訓練は次回DB変更前</w:t>
            </w:r>
          </w:p>
        </w:tc>
      </w:tr>
    </w:tbl>
    <w:p>
      <w:pPr>
        <w:spacing w:after="20"/>
      </w:pPr>
    </w:p>
    <w:p>
      <w:pPr>
        <w:keepNext w:val="0"/>
        <w:keepLines w:val="0"/>
        <w:widowControl/>
      </w:pPr>
      <w:r>
        <w:rPr>
          <w:rFonts w:ascii="Calibri" w:hAnsi="Calibri" w:eastAsia="Yu Gothic"/>
        </w:rPr>
        <w:t>公式情報: developers.cloudflare.com/workers/platform/pricing/ および developers.cloudflare.com/d1/platform/pricing/・limits/。公開前に再確認します。</w:t>
      </w:r>
    </w:p>
    <w:p>
      <w:pPr>
        <w:pStyle w:val="Heading1"/>
      </w:pPr>
      <w:r>
        <w:rPr>
          <w:rFonts w:ascii="Calibri" w:hAnsi="Calibri" w:eastAsia="Yu Gothic"/>
        </w:rPr>
        <w:t>10. ロードマップ・主要リスク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CD5DF"/>
          <w:left w:val="single" w:sz="6" w:space="0" w:color="CCD5DF"/>
          <w:bottom w:val="single" w:sz="6" w:space="0" w:color="CCD5DF"/>
          <w:right w:val="single" w:sz="6" w:space="0" w:color="CCD5DF"/>
          <w:insideH w:val="single" w:sz="6" w:space="0" w:color="CCD5DF"/>
          <w:insideV w:val="single" w:sz="6" w:space="0" w:color="CCD5DF"/>
        </w:tblBorders>
      </w:tblPr>
      <w:tblGrid>
        <w:gridCol w:w="1050"/>
        <w:gridCol w:w="3260"/>
        <w:gridCol w:w="5050"/>
      </w:tblGrid>
      <w:tr>
        <w:trPr>
          <w:tblHeader w:val="true"/>
        </w:trP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/>
              <w:widowControl/>
              <w:spacing w:before="20" w:after="20" w:line="252" w:lineRule="auto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7"/>
              </w:rPr>
              <w:t>状態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/>
              <w:widowControl/>
              <w:spacing w:before="20" w:after="20" w:line="252" w:lineRule="auto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7"/>
              </w:rPr>
              <w:t>作業</w:t>
            </w:r>
          </w:p>
        </w:tc>
        <w:tc>
          <w:tcPr>
            <w:tcW w:type="dxa" w:w="5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/>
              <w:widowControl/>
              <w:spacing w:before="20" w:after="20" w:line="252" w:lineRule="auto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7"/>
              </w:rPr>
              <w:t>内容</w:t>
            </w:r>
          </w:p>
        </w:tc>
      </w:tr>
      <w:tr>
        <w:tc>
          <w:tcPr>
            <w:tcW w:type="dxa" w:w="1050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完了</w:t>
            </w:r>
          </w:p>
        </w:tc>
        <w:tc>
          <w:tcPr>
            <w:tcW w:type="dxa" w:w="326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精算完了の再実行防止</w:t>
            </w:r>
          </w:p>
        </w:tc>
        <w:tc>
          <w:tcPr>
            <w:tcW w:type="dxa" w:w="505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状態条件・冪等性キー・再送409・D1並行試験</w:t>
            </w:r>
          </w:p>
        </w:tc>
      </w:tr>
      <w:tr>
        <w:tc>
          <w:tcPr>
            <w:tcW w:type="dxa" w:w="105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完了</w:t>
            </w:r>
          </w:p>
        </w:tc>
        <w:tc>
          <w:tcPr>
            <w:tcW w:type="dxa" w:w="326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D1 batch統合</w:t>
            </w:r>
          </w:p>
        </w:tc>
        <w:tc>
          <w:tcPr>
            <w:tcW w:type="dxa" w:w="505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出資/PDF/定期予定/精算の失敗注入</w:t>
            </w:r>
          </w:p>
        </w:tc>
      </w:tr>
      <w:tr>
        <w:tc>
          <w:tcPr>
            <w:tcW w:type="dxa" w:w="1050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完了</w:t>
            </w:r>
          </w:p>
        </w:tc>
        <w:tc>
          <w:tcPr>
            <w:tcW w:type="dxa" w:w="326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訂正UIとCSV</w:t>
            </w:r>
          </w:p>
        </w:tc>
        <w:tc>
          <w:tcPr>
            <w:tcW w:type="dxa" w:w="505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照合解除・精算状態・BOM・式注入対策</w:t>
            </w:r>
          </w:p>
        </w:tc>
      </w:tr>
      <w:tr>
        <w:tc>
          <w:tcPr>
            <w:tcW w:type="dxa" w:w="105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完了</w:t>
            </w:r>
          </w:p>
        </w:tc>
        <w:tc>
          <w:tcPr>
            <w:tcW w:type="dxa" w:w="326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個人運用保護</w:t>
            </w:r>
          </w:p>
        </w:tc>
        <w:tc>
          <w:tcPr>
            <w:tcW w:type="dxa" w:w="505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Access本人限定、登録停止、最小ログ</w:t>
            </w:r>
          </w:p>
        </w:tc>
      </w:tr>
      <w:tr>
        <w:tc>
          <w:tcPr>
            <w:tcW w:type="dxa" w:w="1050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一部</w:t>
            </w:r>
          </w:p>
        </w:tc>
        <w:tc>
          <w:tcPr>
            <w:tcW w:type="dxa" w:w="326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復旧訓練</w:t>
            </w:r>
          </w:p>
        </w:tc>
        <w:tc>
          <w:tcPr>
            <w:tcW w:type="dxa" w:w="505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local SQL復元済み。dev Time Travelは次回変更前</w:t>
            </w:r>
          </w:p>
        </w:tc>
      </w:tr>
      <w:tr>
        <w:tc>
          <w:tcPr>
            <w:tcW w:type="dxa" w:w="105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継続</w:t>
            </w:r>
          </w:p>
        </w:tc>
        <w:tc>
          <w:tcPr>
            <w:tcW w:type="dxa" w:w="326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A11y・大量データ</w:t>
            </w:r>
          </w:p>
        </w:tc>
        <w:tc>
          <w:tcPr>
            <w:tcW w:type="dxa" w:w="505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手動監査、10,000収支、5年性能</w:t>
            </w:r>
          </w:p>
        </w:tc>
      </w:tr>
      <w:tr>
        <w:tc>
          <w:tcPr>
            <w:tcW w:type="dxa" w:w="1050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延期</w:t>
            </w:r>
          </w:p>
        </w:tc>
        <w:tc>
          <w:tcPr>
            <w:tcW w:type="dxa" w:w="326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一般公開対応</w:t>
            </w:r>
          </w:p>
        </w:tc>
        <w:tc>
          <w:tcPr>
            <w:tcW w:type="dxa" w:w="505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メール確認、reset、rate limit、規約、prod分離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Calibri" w:hAnsi="Calibri" w:eastAsia="Yu Gothic"/>
        </w:rPr>
        <w:t>10.1 採用した主要判断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資金管理に限定し、競馬予想・投資推奨を実装しない。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React SPAとHono APIを同じWorkerから配信する。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環境ごとに1つのD1を使い、行のuser_idで分離する。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予定・実績・出資契約・精算予定を分離する。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馬ステータスは自由ラベル、馬名は旧名履歴を保持する。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馬だけは明示確認後に完全削除する。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PDFは端末内解析し、本体と全文を送らない。</w:t>
      </w:r>
    </w:p>
    <w:p>
      <w:pPr>
        <w:pStyle w:val="Heading1"/>
      </w:pPr>
      <w:r>
        <w:rPr>
          <w:rFonts w:ascii="Calibri" w:hAnsi="Calibri" w:eastAsia="Yu Gothic"/>
        </w:rPr>
        <w:t>付録A. 詳細資料</w:t>
      </w:r>
    </w:p>
    <w:p>
      <w:pPr>
        <w:keepNext w:val="0"/>
        <w:keepLines w:val="0"/>
        <w:widowControl/>
      </w:pPr>
      <w:r>
        <w:rPr>
          <w:rFonts w:ascii="Calibri" w:hAnsi="Calibri" w:eastAsia="Yu Gothic"/>
        </w:rPr>
        <w:t>次のMarkdown資料が詳細と更新の正本です。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CD5DF"/>
          <w:left w:val="single" w:sz="6" w:space="0" w:color="CCD5DF"/>
          <w:bottom w:val="single" w:sz="6" w:space="0" w:color="CCD5DF"/>
          <w:right w:val="single" w:sz="6" w:space="0" w:color="CCD5DF"/>
          <w:insideH w:val="single" w:sz="6" w:space="0" w:color="CCD5DF"/>
          <w:insideV w:val="single" w:sz="6" w:space="0" w:color="CCD5DF"/>
        </w:tblBorders>
      </w:tblPr>
      <w:tblGrid>
        <w:gridCol w:w="4100"/>
        <w:gridCol w:w="5260"/>
      </w:tblGrid>
      <w:tr>
        <w:trPr>
          <w:tblHeader w:val="true"/>
        </w:trPr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/>
              <w:widowControl/>
              <w:spacing w:before="20" w:after="20" w:line="252" w:lineRule="auto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7"/>
              </w:rPr>
              <w:t>ファイル</w:t>
            </w:r>
          </w:p>
        </w:tc>
        <w:tc>
          <w:tcPr>
            <w:tcW w:type="dxa" w:w="5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keepNext w:val="0"/>
              <w:keepLines/>
              <w:widowControl/>
              <w:spacing w:before="20" w:after="20" w:line="252" w:lineRule="auto"/>
              <w:jc w:val="center"/>
            </w:pPr>
            <w:r>
              <w:rPr>
                <w:rFonts w:ascii="Calibri" w:hAnsi="Calibri" w:eastAsia="Yu Gothic"/>
                <w:b/>
                <w:color w:val="0B2545"/>
                <w:sz w:val="17"/>
              </w:rPr>
              <w:t>内容</w:t>
            </w:r>
          </w:p>
        </w:tc>
      </w:tr>
      <w:tr>
        <w:tc>
          <w:tcPr>
            <w:tcW w:type="dxa" w:w="4100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docs/README.md</w:t>
            </w:r>
          </w:p>
        </w:tc>
        <w:tc>
          <w:tcPr>
            <w:tcW w:type="dxa" w:w="526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資料索引・変更管理</w:t>
            </w:r>
          </w:p>
        </w:tc>
      </w:tr>
      <w:tr>
        <w:tc>
          <w:tcPr>
            <w:tcW w:type="dxa" w:w="410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docs/00_project_overview.md</w:t>
            </w:r>
          </w:p>
        </w:tc>
        <w:tc>
          <w:tcPr>
            <w:tcW w:type="dxa" w:w="526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目的・スコープ・業務ルール</w:t>
            </w:r>
          </w:p>
        </w:tc>
      </w:tr>
      <w:tr>
        <w:tc>
          <w:tcPr>
            <w:tcW w:type="dxa" w:w="4100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docs/01_requirements.md</w:t>
            </w:r>
          </w:p>
        </w:tc>
        <w:tc>
          <w:tcPr>
            <w:tcW w:type="dxa" w:w="526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機能・非機能要件と受入</w:t>
            </w:r>
          </w:p>
        </w:tc>
      </w:tr>
      <w:tr>
        <w:tc>
          <w:tcPr>
            <w:tcW w:type="dxa" w:w="410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docs/02_architecture.md</w:t>
            </w:r>
          </w:p>
        </w:tc>
        <w:tc>
          <w:tcPr>
            <w:tcW w:type="dxa" w:w="526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構成・配置・シーケンス・境界</w:t>
            </w:r>
          </w:p>
        </w:tc>
      </w:tr>
      <w:tr>
        <w:tc>
          <w:tcPr>
            <w:tcW w:type="dxa" w:w="4100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docs/03_database_design.md</w:t>
            </w:r>
          </w:p>
        </w:tc>
        <w:tc>
          <w:tcPr>
            <w:tcW w:type="dxa" w:w="526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19テーブル・制約・削除</w:t>
            </w:r>
          </w:p>
        </w:tc>
      </w:tr>
      <w:tr>
        <w:tc>
          <w:tcPr>
            <w:tcW w:type="dxa" w:w="410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docs/04_api_design.md</w:t>
            </w:r>
          </w:p>
        </w:tc>
        <w:tc>
          <w:tcPr>
            <w:tcW w:type="dxa" w:w="526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全API・認証・エラー・冪等</w:t>
            </w:r>
          </w:p>
        </w:tc>
      </w:tr>
      <w:tr>
        <w:tc>
          <w:tcPr>
            <w:tcW w:type="dxa" w:w="4100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docs/05_ui_routes.md</w:t>
            </w:r>
          </w:p>
        </w:tc>
        <w:tc>
          <w:tcPr>
            <w:tcW w:type="dxa" w:w="526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ルート・主要画面・A11y</w:t>
            </w:r>
          </w:p>
        </w:tc>
      </w:tr>
      <w:tr>
        <w:tc>
          <w:tcPr>
            <w:tcW w:type="dxa" w:w="410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docs/06_cost_and_cloudflare_paid_plan.md</w:t>
            </w:r>
          </w:p>
        </w:tc>
        <w:tc>
          <w:tcPr>
            <w:tcW w:type="dxa" w:w="526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価格・制限・監視</w:t>
            </w:r>
          </w:p>
        </w:tc>
      </w:tr>
      <w:tr>
        <w:tc>
          <w:tcPr>
            <w:tcW w:type="dxa" w:w="4100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docs/07_implementation_plan.md</w:t>
            </w:r>
          </w:p>
        </w:tc>
        <w:tc>
          <w:tcPr>
            <w:tcW w:type="dxa" w:w="526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現在地・P0/P1・品質ゲート</w:t>
            </w:r>
          </w:p>
        </w:tc>
      </w:tr>
      <w:tr>
        <w:tc>
          <w:tcPr>
            <w:tcW w:type="dxa" w:w="410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docs/08_security_and_data_protection.md</w:t>
            </w:r>
          </w:p>
        </w:tc>
        <w:tc>
          <w:tcPr>
            <w:tcW w:type="dxa" w:w="526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脅威・保護・残対応</w:t>
            </w:r>
          </w:p>
        </w:tc>
      </w:tr>
      <w:tr>
        <w:tc>
          <w:tcPr>
            <w:tcW w:type="dxa" w:w="4100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docs/09_test_and_acceptance_plan.md</w:t>
            </w:r>
          </w:p>
        </w:tc>
        <w:tc>
          <w:tcPr>
            <w:tcW w:type="dxa" w:w="526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テスト戦略・受入</w:t>
            </w:r>
          </w:p>
        </w:tc>
      </w:tr>
      <w:tr>
        <w:tc>
          <w:tcPr>
            <w:tcW w:type="dxa" w:w="410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docs/10_operations_and_release.md</w:t>
            </w:r>
          </w:p>
        </w:tc>
        <w:tc>
          <w:tcPr>
            <w:tcW w:type="dxa" w:w="526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デプロイ・障害・復旧</w:t>
            </w:r>
          </w:p>
        </w:tc>
      </w:tr>
      <w:tr>
        <w:tc>
          <w:tcPr>
            <w:tcW w:type="dxa" w:w="4100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docs/11_requirements_traceability.md</w:t>
            </w:r>
          </w:p>
        </w:tc>
        <w:tc>
          <w:tcPr>
            <w:tcW w:type="dxa" w:w="5260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要件対応表</w:t>
            </w:r>
          </w:p>
        </w:tc>
      </w:tr>
      <w:tr>
        <w:tc>
          <w:tcPr>
            <w:tcW w:type="dxa" w:w="410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  <w:jc w:val="center"/>
            </w:pPr>
            <w:r>
              <w:rPr>
                <w:rFonts w:ascii="Calibri" w:hAnsi="Calibri" w:eastAsia="Yu Gothic"/>
                <w:b/>
                <w:color w:val="1C2733"/>
                <w:sz w:val="17"/>
              </w:rPr>
              <w:t>docs/12_decisions_and_open_issues.md</w:t>
            </w:r>
          </w:p>
        </w:tc>
        <w:tc>
          <w:tcPr>
            <w:tcW w:type="dxa" w:w="5260"/>
            <w:shd w:fill="FAFBFC" w:val="clear"/>
          </w:tcPr>
          <w:p>
            <w:pPr>
              <w:keepNext w:val="0"/>
              <w:keepLines/>
              <w:widowControl/>
              <w:spacing w:before="20" w:after="20" w:line="264" w:lineRule="auto"/>
            </w:pPr>
            <w:r>
              <w:rPr>
                <w:rFonts w:ascii="Calibri" w:hAnsi="Calibri" w:eastAsia="Yu Gothic"/>
                <w:b w:val="0"/>
                <w:color w:val="1C2733"/>
                <w:sz w:val="17"/>
              </w:rPr>
              <w:t>ADR・リスク・未決事項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 w:eastAsia="Yu Gothic"/>
        </w:rPr>
        <w:t>付録B. 公式参照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Workers Pricing — https://developers.cloudflare.com/workers/platform/pricing/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D1 Pricing — https://developers.cloudflare.com/d1/platform/pricing/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D1 Limits — https://developers.cloudflare.com/d1/platform/limits/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D1 Time Travel — https://developers.cloudflare.com/d1/reference/time-travel/</w:t>
      </w:r>
    </w:p>
    <w:p>
      <w:pPr>
        <w:keepNext w:val="0"/>
        <w:keepLines/>
        <w:widowControl/>
        <w:numPr>
          <w:ilvl w:val="0"/>
          <w:numId w:val="10"/>
        </w:numPr>
        <w:spacing w:after="80" w:line="300" w:lineRule="auto"/>
      </w:pPr>
      <w:r>
        <w:rPr>
          <w:rFonts w:ascii="Calibri" w:hAnsi="Calibri" w:eastAsia="Yu Gothic"/>
        </w:rPr>
        <w:t>Workers Logs — https://developers.cloudflare.com/workers/observability/logs/workers-logs/</w:t>
      </w:r>
    </w:p>
    <w:p>
      <w:pPr>
        <w:shd w:val="clear" w:fill="EAF3FB"/>
        <w:keepNext w:val="0"/>
        <w:keepLines/>
        <w:widowControl/>
        <w:pBdr>
          <w:top w:val="single" w:sz="5" w:space="6" w:color="D5DEE8"/>
          <w:left w:val="single" w:sz="5" w:space="6" w:color="D5DEE8"/>
          <w:bottom w:val="single" w:sz="5" w:space="6" w:color="D5DEE8"/>
          <w:right w:val="single" w:sz="5" w:space="6" w:color="D5DEE8"/>
        </w:pBdr>
        <w:spacing w:before="100" w:after="180" w:line="276" w:lineRule="auto"/>
        <w:ind w:left="120" w:right="120"/>
      </w:pPr>
      <w:r>
        <w:rPr>
          <w:rFonts w:ascii="Calibri" w:hAnsi="Calibri" w:eastAsia="Yu Gothic"/>
          <w:b/>
          <w:color w:val="2E74B5"/>
          <w:sz w:val="21"/>
        </w:rPr>
        <w:t xml:space="preserve">文書管理  </w:t>
      </w:r>
      <w:r>
        <w:rPr>
          <w:rFonts w:ascii="Calibri" w:hAnsi="Calibri" w:eastAsia="Yu Gothic"/>
          <w:color w:val="1C2733"/>
          <w:sz w:val="21"/>
        </w:rPr>
        <w:t>要件、API、DB、画面、テストの変更時は、同じ変更単位で詳細資料とトレーサビリティを更新します。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Yu Gothic"/>
        <w:color w:val="5F6B78"/>
        <w:sz w:val="16"/>
      </w:rPr>
      <w:t xml:space="preserve">INTERNAL DESIGN REFERENCE  •  </w:t>
    </w:r>
    <w:r>
      <w:rPr>
        <w:rFonts w:ascii="Calibri" w:hAnsi="Calibri" w:eastAsia="Yu Gothic"/>
        <w:color w:val="5F6B78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Yu Gothic"/>
        <w:b/>
        <w:color w:val="5F6B78"/>
        <w:sz w:val="17"/>
      </w:rPr>
      <w:t>HORSE ASSET MANAGER  |  MVP DESIGN PACKAGE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Yu Gothic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Yu Gothic"/>
      <w:color w:val="1C27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Yu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Yu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Yu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widowControl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Yu Gothic"/>
      <w:b/>
      <w:color w:val="0B2545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widowControl/>
      <w:numPr>
        <w:ilvl w:val="1"/>
      </w:numPr>
      <w:spacing w:before="0" w:after="240" w:line="240" w:lineRule="auto"/>
    </w:pPr>
    <w:rPr>
      <w:rFonts w:asciiTheme="majorHAnsi" w:eastAsiaTheme="majorEastAsia" w:hAnsiTheme="majorHAnsi" w:cstheme="majorBidi" w:ascii="Calibri" w:hAnsi="Calibri" w:eastAsia="Yu Gothic"/>
      <w:b w:val="0"/>
      <w:i/>
      <w:iCs/>
      <w:color w:val="5F6B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Horse Asset Manager 設計資料一式</dc:title>
  <dc:subject>要件定義・構成図・DB/API/UI・セキュリティ・テスト・運用</dc:subject>
  <dc:creator>Horse Asset Manager Project</dc:creator>
  <cp:keywords>一口馬主, 資金管理, Cloudflare, D1, React, 設計</cp:keywords>
  <dc:description>Generated from repository design sources.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