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动态页面规划测试报告</w:t>
      </w:r>
    </w:p>
    <w:p>
      <w:r>
        <w:t>用于验证一级标题、二级标题与风险章节的页面规划规则。</w:t>
      </w:r>
    </w:p>
    <w:p>
      <w:pPr>
        <w:pStyle w:val="Heading1"/>
      </w:pPr>
      <w:r>
        <w:t>一、有二级标题章节</w:t>
      </w:r>
    </w:p>
    <w:p>
      <w:pPr>
        <w:pStyle w:val="Heading2"/>
      </w:pPr>
      <w:r>
        <w:t>1.1 市场环境</w:t>
      </w:r>
    </w:p>
    <w:p>
      <w:r>
        <w:t>本节包含二级标题。核心判断是流动性环境改善，盈利预期逐步修复。</w:t>
      </w:r>
    </w:p>
    <w:p>
      <w:pPr>
        <w:pStyle w:val="Heading2"/>
      </w:pPr>
      <w:r>
        <w:t>1.2 配置线索</w:t>
      </w:r>
    </w:p>
    <w:p>
      <w:r>
        <w:t>建议关注盈利确定性较高的成长行业，并保留稳健底仓。</w:t>
      </w:r>
    </w:p>
    <w:p>
      <w:pPr>
        <w:pStyle w:val="Heading1"/>
      </w:pPr>
      <w:r>
        <w:t>二、无二级标题章节</w:t>
      </w:r>
    </w:p>
    <w:p>
      <w:r>
        <w:t>本节没有任何二级标题，但一级标题必须独立生成章节页。正文内容用于验证规划器不会跳过该章节。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指标</w:t>
            </w:r>
          </w:p>
        </w:tc>
        <w:tc>
          <w:tcPr>
            <w:tcW w:type="dxa" w:w="4680"/>
          </w:tcPr>
          <w:p>
            <w:r>
              <w:t>判断</w:t>
            </w:r>
          </w:p>
        </w:tc>
      </w:tr>
      <w:tr>
        <w:tc>
          <w:tcPr>
            <w:tcW w:type="dxa" w:w="4680"/>
          </w:tcPr>
          <w:p>
            <w:r>
              <w:t>盈利</w:t>
            </w:r>
          </w:p>
        </w:tc>
        <w:tc>
          <w:tcPr>
            <w:tcW w:type="dxa" w:w="4680"/>
          </w:tcPr>
          <w:p>
            <w:r>
              <w:t>温和改善</w:t>
            </w:r>
          </w:p>
        </w:tc>
      </w:tr>
      <w:tr>
        <w:tc>
          <w:tcPr>
            <w:tcW w:type="dxa" w:w="4680"/>
          </w:tcPr>
          <w:p>
            <w:r>
              <w:t>估值</w:t>
            </w:r>
          </w:p>
        </w:tc>
        <w:tc>
          <w:tcPr>
            <w:tcW w:type="dxa" w:w="4680"/>
          </w:tcPr>
          <w:p>
            <w:r>
              <w:t>结构分化</w:t>
            </w:r>
          </w:p>
        </w:tc>
      </w:tr>
    </w:tbl>
    <w:p>
      <w:pPr>
        <w:pStyle w:val="Heading1"/>
      </w:pPr>
      <w:r>
        <w:t>三、风险提示</w:t>
      </w:r>
    </w:p>
    <w:p>
      <w:r>
        <w:t>海外经济下行超预期；国内需求恢复不及预期；政策落地节奏低于预期。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