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spacing w:before="720" w:after="120"/>
        <w:jc w:val="center"/>
      </w:pPr>
      <w:r>
        <w:rPr>
          <w:rFonts w:ascii="Arial" w:hAnsi="Arial"/>
          <w:b/>
          <w:color w:val="000000"/>
          <w:sz w:val="40"/>
        </w:rPr>
        <w:t>SYSTEM DESIGN &amp; ARCHITECTURE DOCUMENTATION</w:t>
      </w:r>
    </w:p>
    <w:p>
      <w:pPr>
        <w:spacing w:after="960"/>
        <w:jc w:val="center"/>
      </w:pPr>
      <w:r>
        <w:rPr>
          <w:rFonts w:ascii="Arial" w:hAnsi="Arial"/>
          <w:i/>
          <w:color w:val="505050"/>
          <w:sz w:val="26"/>
        </w:rPr>
        <w:t>Stateful RAG Digital Twin of Dr. Richard Feynman</w:t>
      </w:r>
    </w:p>
    <w:p>
      <w:pPr>
        <w:pStyle w:val="Heading1"/>
        <w:spacing w:before="360" w:after="120"/>
      </w:pPr>
      <w:r>
        <w:rPr>
          <w:rFonts w:ascii="Arial" w:hAnsi="Arial"/>
          <w:b/>
          <w:color w:val="000000"/>
        </w:rPr>
        <w:t>1. Project Goal &amp; Overview</w:t>
      </w:r>
    </w:p>
    <w:p>
      <w:pPr>
        <w:spacing w:line="276" w:lineRule="auto" w:after="240"/>
      </w:pPr>
      <w:r>
        <w:t>This project establishes a stateful, interactive digital twin of Nobel laureate physicist Dr. Richard Feynman. Running on the Google Gemini LLM API, the agent does not act as a generic AI chatbot; instead, it adopts Feynman's personality, conversational tone, safe-cracking anecdotes, and signature pedagogical style (the 'Feynman Technique'). It is optimized for university students tackling advanced physics, mathematics, computing, and electrical engineering concepts.</w:t>
      </w:r>
    </w:p>
    <w:p>
      <w:pPr>
        <w:pStyle w:val="Heading1"/>
        <w:spacing w:before="360" w:after="120"/>
      </w:pPr>
      <w:r>
        <w:rPr>
          <w:rFonts w:ascii="Arial" w:hAnsi="Arial"/>
          <w:b/>
          <w:color w:val="000000"/>
        </w:rPr>
        <w:t>2. Technical Stack &amp; Architecture</w:t>
      </w:r>
    </w:p>
    <w:p>
      <w:r>
        <w:t>The application splits logically into a lightweight frontend, robust FastAPI backend, and persistent RAG data pipelines:</w:t>
      </w:r>
    </w:p>
    <w:p>
      <w:pPr>
        <w:pStyle w:val="ListBullet"/>
      </w:pPr>
      <w:r>
        <w:rPr>
          <w:b/>
        </w:rPr>
        <w:t xml:space="preserve">Frontend Web Client: </w:t>
      </w:r>
      <w:r>
        <w:t>Constructed from pure, vanilla HTML5, CSS3, and JavaScript. Employs a glassmorphic dashboard themed with Deep Space Blue (#023047), Sky Blue (#8ecae6), and Amber Flame (#ffb703) color overrides. Features a live particle-wave canvas backdrop.</w:t>
      </w:r>
    </w:p>
    <w:p>
      <w:pPr>
        <w:pStyle w:val="ListBullet"/>
      </w:pPr>
      <w:r>
        <w:rPr>
          <w:b/>
        </w:rPr>
        <w:t xml:space="preserve">FastAPI Backend: </w:t>
      </w:r>
      <w:r>
        <w:t>Provides API request routing, serves static directories, persists dialogue matrixes in SQLite, and serves as the bridge to LangChain pipelines.</w:t>
      </w:r>
    </w:p>
    <w:p>
      <w:pPr>
        <w:pStyle w:val="ListBullet"/>
      </w:pPr>
      <w:r>
        <w:rPr>
          <w:b/>
        </w:rPr>
        <w:t xml:space="preserve">Hybrid RAG Index: </w:t>
      </w:r>
      <w:r>
        <w:t>Combines dense semantic vector stores (using Google text-embedding-004 in Chroma DB) and sparse keyword tables (using BM25Retriever) to serve unified context to the LLM.</w:t>
      </w:r>
    </w:p>
    <w:p>
      <w:pPr>
        <w:pStyle w:val="Heading1"/>
        <w:spacing w:before="360" w:after="120"/>
      </w:pPr>
      <w:r>
        <w:rPr>
          <w:rFonts w:ascii="Arial" w:hAnsi="Arial"/>
          <w:b/>
          <w:color w:val="000000"/>
        </w:rPr>
        <w:t>3. Hybrid RAG Retrieval Pipeline</w:t>
      </w:r>
    </w:p>
    <w:p>
      <w:r>
        <w:t>To ground Feynman's lessons in actual transcripts, we utilize a dual-structured RAG (Retrieval-Augmented Generation) pipeline. The system merges two independent retrieval pathways:</w:t>
      </w:r>
    </w:p>
    <w:p>
      <w:pPr>
        <w:pStyle w:val="ListBullet"/>
      </w:pPr>
      <w:r>
        <w:rPr>
          <w:b/>
        </w:rPr>
        <w:t xml:space="preserve">Dense Embedding Retrieval (70% weight): </w:t>
      </w:r>
      <w:r>
        <w:t>Converts text chunks into 768-dimensional vector spaces via the Google Embeddings API, loaded in Chroma. This ensures the engine retrieves context based on semantic intent, synonyms, and conceptual context.</w:t>
      </w:r>
    </w:p>
    <w:p>
      <w:pPr>
        <w:pStyle w:val="ListBullet"/>
      </w:pPr>
      <w:r>
        <w:rPr>
          <w:b/>
        </w:rPr>
        <w:t xml:space="preserve">Sparse Keyword Retrieval (30% weight): </w:t>
      </w:r>
      <w:r>
        <w:t>Utilizes BM25 frequency indexing. This guarantees the model successfully finds exact mathematical equations, physics variables, specific proper nouns, and code symbols that vector search might skip.</w:t>
      </w:r>
    </w:p>
    <w:p>
      <w:pPr>
        <w:pStyle w:val="ListBullet"/>
      </w:pPr>
      <w:r>
        <w:rPr>
          <w:b/>
        </w:rPr>
        <w:t xml:space="preserve">Ensemble Fusion: </w:t>
      </w:r>
      <w:r>
        <w:t>Both results are synthesized using Reciprocal Rank Fusion (RRF), establishing a grounded, factual context payload that prevents hallucinations.</w:t>
      </w:r>
    </w:p>
    <w:p>
      <w:pPr>
        <w:pStyle w:val="Heading1"/>
        <w:spacing w:before="360" w:after="120"/>
      </w:pPr>
      <w:r>
        <w:rPr>
          <w:rFonts w:ascii="Arial" w:hAnsi="Arial"/>
          <w:b/>
          <w:color w:val="000000"/>
        </w:rPr>
        <w:t>4. Quantum Memory Matrix &amp; Physics Engine</w:t>
      </w:r>
    </w:p>
    <w:p>
      <w:r>
        <w:t>A premium feature of the digital twin is the interactive Quantum Memory Matrix, which visualizes dialogue threads dynamically. This split-component layout consists of:</w:t>
      </w:r>
    </w:p>
    <w:p>
      <w:pPr>
        <w:pStyle w:val="ListBullet"/>
      </w:pPr>
      <w:r>
        <w:rPr>
          <w:b/>
        </w:rPr>
        <w:t xml:space="preserve">Local NLP Concept Extractor (memory_extractor.py): </w:t>
      </w:r>
      <w:r>
        <w:t>Analyzes chat database rows. Matches dialogues against regular expressions of Feynman's lectures, and dynamically discovers capitalized proper nouns (e.g. 'Los Alamos', 'Dirac'). Returns a structured node-link JSON payload without LLM tokens or API calls.</w:t>
      </w:r>
    </w:p>
    <w:p>
      <w:pPr>
        <w:pStyle w:val="ListBullet"/>
      </w:pPr>
      <w:r>
        <w:rPr>
          <w:b/>
        </w:rPr>
        <w:t xml:space="preserve">2D Canvas Physics Engine (script.js): </w:t>
      </w:r>
      <w:r>
        <w:t>Simulates an interactive force-directed graph. Incorporates Coulomb's repulsion (nodes push away), Hooke's spring tensions (connected topics pull together), and center gravity to maintain screen alignment. Renders glowing particle pulses along links representing neural flow.</w:t>
      </w:r>
    </w:p>
    <w:p>
      <w:pPr>
        <w:pStyle w:val="ListBullet"/>
      </w:pPr>
      <w:r>
        <w:rPr>
          <w:b/>
        </w:rPr>
        <w:t xml:space="preserve">Recall Chamber: </w:t>
      </w:r>
      <w:r>
        <w:t>Clicking on nodes inside the physics canvas triggers details fetching, printing exact past dialogue bubbles and chronological milestones on the sidebar.</w:t>
      </w:r>
    </w:p>
    <w:p>
      <w:pPr>
        <w:pStyle w:val="Heading1"/>
        <w:spacing w:before="360" w:after="120"/>
      </w:pPr>
      <w:r>
        <w:rPr>
          <w:rFonts w:ascii="Arial" w:hAnsi="Arial"/>
          <w:b/>
          <w:color w:val="000000"/>
        </w:rPr>
        <w:t>5. Temporal Persona Alignment (Pre-1988 Boundary)</w:t>
      </w:r>
    </w:p>
    <w:p>
      <w:r>
        <w:t>To ensure the digital twin behaves authentically as Richard Feynman when he was alive, the architecture implements strict temporal boundaries. Feynman passed away on February 15, 1988. Allowing the agent to cite papers, discuss historical events, or reference technologies from after his death would break the realism of the persona. We prevent this using three primary methods:</w:t>
      </w:r>
    </w:p>
    <w:p>
      <w:pPr>
        <w:pStyle w:val="ListBullet"/>
      </w:pPr>
      <w:r>
        <w:rPr>
          <w:b/>
        </w:rPr>
        <w:t xml:space="preserve">Chronological RAG Filter: </w:t>
      </w:r>
      <w:r>
        <w:t>The raw vector databases (Chroma and BM25 index) are strictly populated using texts, lecture files, transcripts, and notes written or recorded by Feynman during his lifetime. The document index contains zero references to post-1988 research, avoiding the presence of anachronistic citations in the RAG contexts.</w:t>
      </w:r>
    </w:p>
    <w:p>
      <w:pPr>
        <w:pStyle w:val="ListBullet"/>
      </w:pPr>
      <w:r>
        <w:rPr>
          <w:b/>
        </w:rPr>
        <w:t xml:space="preserve">System Prompt Guardrails: </w:t>
      </w:r>
      <w:r>
        <w:t>The system prompt instructs the LLM that it is not an AI, but Dr. Feynman himself. The LLM is explicitly forbidden from citing post-1988 papers or referring to discoveries that occurred after his lifetime. If asked to write citations, it selects papers from his lifetime (e.g. his 1961 path-integral works or his 1985 nanotech outlines).</w:t>
      </w:r>
    </w:p>
    <w:p>
      <w:pPr>
        <w:pStyle w:val="ListBullet"/>
      </w:pPr>
      <w:r>
        <w:rPr>
          <w:b/>
        </w:rPr>
        <w:t xml:space="preserve">Anachronism Mitigation Strategy: </w:t>
      </w:r>
      <w:r>
        <w:t>When users prompt Feynman with modern concepts (such as modern transformer models or deep learning architectures), the agent is instructed to respond with his characteristic intellectual curiosity. He approaches them as hypothetical future predictions or abstract first-principles computational architectures, keeping character while admitting the concepts are 'from after his time.'</w:t>
      </w:r>
    </w:p>
    <w:p>
      <w:pPr>
        <w:pStyle w:val="Heading1"/>
        <w:spacing w:before="360" w:after="120"/>
      </w:pPr>
      <w:r>
        <w:rPr>
          <w:rFonts w:ascii="Arial" w:hAnsi="Arial"/>
          <w:b/>
          <w:color w:val="000000"/>
        </w:rPr>
        <w:t>6. Hallucination Prevention &amp; Mitigation</w:t>
      </w:r>
    </w:p>
    <w:p>
      <w:r>
        <w:t>Hallucination mitigation is critical in educational contexts. We employ four layers of safety checks to ensure the digital twin remains grounded in authentic source materials:</w:t>
      </w:r>
    </w:p>
    <w:p>
      <w:pPr>
        <w:pStyle w:val="ListBullet"/>
      </w:pPr>
      <w:r>
        <w:rPr>
          <w:b/>
        </w:rPr>
        <w:t xml:space="preserve">Strict Grounding Constraints: </w:t>
      </w:r>
      <w:r>
        <w:t>The prompt template strictly binds the model's responses to the retrieved hybrid RAG context segments using a rigid prompt clause. The model is penalized for bringing in external knowledge bases when answering factual physics questions.</w:t>
      </w:r>
    </w:p>
    <w:p>
      <w:pPr>
        <w:pStyle w:val="ListBullet"/>
      </w:pPr>
      <w:r>
        <w:rPr>
          <w:b/>
        </w:rPr>
        <w:t xml:space="preserve">Intellectual Honesty Injection: </w:t>
      </w:r>
      <w:r>
        <w:t>Feynman's own philosophy of scientific honesty is built into the system prompt. The model is instructed: 'If you don't know something, or if a premise is flawed, bluntly admit it. "I don't know, let's figure it out" is your default stance.' This redirects potential hallucinations into honest admissions.</w:t>
      </w:r>
    </w:p>
    <w:p>
      <w:pPr>
        <w:pStyle w:val="ListBullet"/>
      </w:pPr>
      <w:r>
        <w:rPr>
          <w:b/>
        </w:rPr>
        <w:t xml:space="preserve">Retrieved Context Denseness: </w:t>
      </w:r>
      <w:r>
        <w:t>By merging vector embeddings and keyword indexes (BM25), the retrieval accuracy rises, offering a richer context segment. This reduces the need for the model to fill in details from its own parametric memory.</w:t>
      </w:r>
    </w:p>
    <w:p>
      <w:pPr>
        <w:pStyle w:val="ListBullet"/>
      </w:pPr>
      <w:r>
        <w:rPr>
          <w:b/>
        </w:rPr>
        <w:t xml:space="preserve">Temperature Controls: </w:t>
      </w:r>
      <w:r>
        <w:t>The temperature parameter is locked at 0.7. This allows enough flexibility for storytelling, jokes, and anecdotes (crucial to Feynman's persona) while keeping his scientific explanations grounded and deterministic.</w:t>
      </w:r>
    </w:p>
    <w:p>
      <w:pPr>
        <w:pStyle w:val="Heading1"/>
        <w:spacing w:before="360" w:after="120"/>
      </w:pPr>
      <w:r>
        <w:rPr>
          <w:rFonts w:ascii="Arial" w:hAnsi="Arial"/>
          <w:b/>
          <w:color w:val="000000"/>
        </w:rPr>
        <w:t>7. Database &amp; Memory Management</w:t>
      </w:r>
    </w:p>
    <w:p>
      <w:r>
        <w:t>To handle dialogue persistence, fast semantic retrieval, and real-time context management, the system implements a multi-tier database and memory management architecture:</w:t>
      </w:r>
    </w:p>
    <w:p>
      <w:pPr>
        <w:pStyle w:val="ListBullet"/>
      </w:pPr>
      <w:r>
        <w:rPr>
          <w:b/>
        </w:rPr>
        <w:t xml:space="preserve">SQLite Session Grouping: </w:t>
      </w:r>
      <w:r>
        <w:t>Dialogue sessions are partitioned in a local SQLite database (feynman_memory.db) inside the message_store table using connection pooling. Each conversation is grouped by a unique session_id, ensuring independent, secure, and logically segregated history tracking per topic.</w:t>
      </w:r>
    </w:p>
    <w:p>
      <w:pPr>
        <w:pStyle w:val="ListBullet"/>
      </w:pPr>
      <w:r>
        <w:rPr>
          <w:b/>
        </w:rPr>
        <w:t xml:space="preserve">LangChain History Caching: </w:t>
      </w:r>
      <w:r>
        <w:t>The agent utilizes RunnableWithMessageHistory to dynamically cache chat messages in-memory during active sessions. This caching reduces the overhead of constant database disk I/O, feeding rolling conversational windows directly to the LLM context chain.</w:t>
      </w:r>
    </w:p>
    <w:p>
      <w:pPr>
        <w:pStyle w:val="ListBullet"/>
      </w:pPr>
      <w:r>
        <w:rPr>
          <w:b/>
        </w:rPr>
        <w:t xml:space="preserve">Local Chroma Index Mapping: </w:t>
      </w:r>
      <w:r>
        <w:t>The pre-compiled knowledge base embeddings are mapped to a local disk-based Chroma DB directory (./feynman_twin_db/). This persistent index speeds up dense retrieval by serving pre-computed document vector representations, completely bypassing the need for redundant runtime embedding generation.</w:t>
      </w:r>
    </w:p>
    <w:p>
      <w:pPr>
        <w:pStyle w:val="ListBullet"/>
      </w:pPr>
      <w:r>
        <w:rPr>
          <w:b/>
        </w:rPr>
        <w:t xml:space="preserve">Topic Garbage Collection: </w:t>
      </w:r>
      <w:r>
        <w:t>To prevent database bloat, the system features dynamic garbage collection. When a user deletes a session or topic from the UI, a DELETE query is executed on the SQLite message_store (DELETE FROM message_store WHERE session_id = ?), immediately purging metadata and reclaiming storage space.</w:t>
      </w:r>
    </w:p>
    <w:p>
      <w:pPr>
        <w:pStyle w:val="Heading1"/>
        <w:spacing w:before="480" w:after="120"/>
      </w:pPr>
      <w:r>
        <w:rPr>
          <w:rFonts w:ascii="Arial" w:hAnsi="Arial"/>
          <w:b/>
          <w:color w:val="000000"/>
        </w:rPr>
        <w:t>8. Step-by-Step Prompt Data Flow Example</w:t>
      </w:r>
    </w:p>
    <w:p>
      <w:r>
        <w:t>Below is the comprehensive sequence detailing how a prompt (e.g., "What is a photon?") traverses the system from user input to dynamic rendering:</w:t>
      </w:r>
    </w:p>
    <w:tbl>
      <w:tblPr>
        <w:tblW w:type="auto" w:w="0"/>
        <w:jc w:val="center"/>
        <w:tblLook w:firstColumn="1" w:firstRow="1" w:lastColumn="0" w:lastRow="0" w:noHBand="0" w:noVBand="1" w:val="04A0"/>
      </w:tblPr>
      <w:tblGrid>
        <w:gridCol w:w="9360"/>
      </w:tblGrid>
      <w:tr>
        <w:tc>
          <w:tcPr>
            <w:tcW w:type="dxa" w:w="9360"/>
            <w:shd w:fill="F2F2F2"/>
            <w:tcBorders>
              <w:top w:val="none"/>
              <w:left w:val="single" w:sz="24" w:space="0" w:color="000000"/>
              <w:bottom w:val="none"/>
              <w:right w:val="none"/>
            </w:tcBorders>
          </w:tcPr>
          <w:p>
            <w:pPr>
              <w:spacing w:before="120" w:after="120"/>
              <w:ind w:left="216" w:right="216"/>
            </w:pPr>
            <w:r>
              <w:rPr>
                <w:rFonts w:ascii="Courier New" w:hAnsi="Courier New"/>
                <w:color w:val="000000"/>
                <w:sz w:val="19"/>
              </w:rPr>
              <w:t>=== PROMPT DATA FLOW TIMELINE: "What is a photon?" ===</w:t>
              <w:br/>
              <w:br/>
              <w:t>1. USER INPUT EVENT</w:t>
              <w:br/>
              <w:t xml:space="preserve">   - User types the query and presses Enter.</w:t>
              <w:br/>
              <w:t xml:space="preserve">   - Frontend JavaScript intercepts the form submit event, calls preventDefault(), and parses the input.</w:t>
              <w:br/>
              <w:t xml:space="preserve">   - The script immediately appends a user chat bubble to #messagesContainer, resets the textarea,</w:t>
              <w:br/>
              <w:t xml:space="preserve">     and renders the Feynman 'thinking' typing indicator dot animation.</w:t>
              <w:br/>
              <w:br/>
              <w:t>2. POST DISPATCH TO FASTAPI</w:t>
              <w:br/>
              <w:t xml:space="preserve">   - An asynchronous fetch POST request is sent to http://127.0.0.1:8000/api/chat.</w:t>
              <w:br/>
              <w:t xml:space="preserve">   - Payload structure:</w:t>
              <w:br/>
              <w:t xml:space="preserve">       {</w:t>
              <w:br/>
              <w:t xml:space="preserve">           "message": "What is a photon?",</w:t>
              <w:br/>
              <w:t xml:space="preserve">           "session_id": "feynman_session_hm2iqierz"</w:t>
              <w:br/>
              <w:t xml:space="preserve">       }</w:t>
              <w:br/>
              <w:br/>
              <w:t>3. BACKEND ROUTE HANDLING</w:t>
              <w:br/>
              <w:t xml:space="preserve">   - FastAPI chat_endpoint receives the ChatRequest schema, validates non-empty payloads,</w:t>
              <w:br/>
              <w:t xml:space="preserve">     and routes the prompt to feynman_twin.invoke().</w:t>
              <w:br/>
              <w:br/>
              <w:t>4. DUAL RETRIEVAL STEP</w:t>
              <w:br/>
              <w:t xml:space="preserve">   - Semantic Vector Search: The query is sent to Google Generative AI Embeddings, converted to</w:t>
              <w:br/>
              <w:t xml:space="preserve">     vectors, and Chroma DB returns the top 6 dense document chunks matching the theme.</w:t>
              <w:br/>
              <w:t xml:space="preserve">   - Sparse Keyword Search: BM25Retriever tokenizes the prompt and returns the top 6 matching text</w:t>
              <w:br/>
              <w:t xml:space="preserve">     chunks based on keyword occurrences.</w:t>
              <w:br/>
              <w:br/>
              <w:t>5. ENSEMBLE FUSION AND LLM INFERENCE</w:t>
              <w:br/>
              <w:t xml:space="preserve">   - EnsembleRetriever applies Reciprocal Rank Fusion (weights: 70% vector, 30% keyword) to merge context.</w:t>
              <w:br/>
              <w:t xml:space="preserve">   - SQLite retrieves the conversational history matching feynman_session_hm2iqierz.</w:t>
              <w:br/>
              <w:t xml:space="preserve">   - Prompt Template constructs a final prompt combining: System Prompt + Chat History + RAG Context + User Prompt.</w:t>
              <w:br/>
              <w:t xml:space="preserve">   - gemini-2.5-flash LLM generates Feynman's response, synthesizing the physics answer in his voice.</w:t>
              <w:br/>
              <w:br/>
              <w:t>6. PERSISTENCE LAYER WRITE</w:t>
              <w:br/>
              <w:t xml:space="preserve">   - The prompt and synthesized response are saved as new chat messages in SQLChatMessageHistory.</w:t>
              <w:br/>
              <w:t xml:space="preserve">   - Database records: feynman_memory.db -&gt; table message_store.</w:t>
              <w:br/>
              <w:br/>
              <w:t>7. CLIENT RESPONSE &amp; MD COMPILATION</w:t>
              <w:br/>
              <w:t xml:space="preserve">   - FastAPI responds with HTTP 200 containing JSON ChatResponse: {"answer": "Feynman's response text..."}.</w:t>
              <w:br/>
              <w:t xml:space="preserve">   - script.js deletes the typing animation bubble.</w:t>
              <w:br/>
              <w:t xml:space="preserve">   - The response markdown is parsed locally (converting markdown headers, code segments, and bold strings to HTML).</w:t>
              <w:br/>
              <w:t xml:space="preserve">   - A new feynman-message bubble is appended to the DOM.</w:t>
              <w:br/>
              <w:br/>
              <w:t>8. LATEX TYPESET TRIGGER</w:t>
              <w:br/>
              <w:t xml:space="preserve">   - JavaScript evaluates window.MathJax. If active, it runs MathJax.typesetPromise([msgDiv]).</w:t>
              <w:br/>
              <w:t xml:space="preserve">   - MathJax compiles inline LaTeX ($E = hf$) and block LaTeX ($$c = \lambda f$$) in the bubble,</w:t>
              <w:br/>
              <w:t xml:space="preserve">     rendering publication-grade formulas on screen.</w:t>
              <w:br/>
              <w:t xml:space="preserve">   - Sidebar topics lists are refreshed if it's the first message of the session.</w:t>
            </w:r>
          </w:p>
        </w:tc>
      </w:tr>
    </w:tbl>
    <w:p>
      <w:pPr>
        <w:spacing w:before="240"/>
      </w:pPr>
    </w:p>
    <w:p>
      <w:pPr>
        <w:pStyle w:val="Heading1"/>
        <w:spacing w:before="360" w:after="120"/>
      </w:pPr>
      <w:r>
        <w:rPr>
          <w:rFonts w:ascii="Arial" w:hAnsi="Arial"/>
          <w:b/>
          <w:color w:val="000000"/>
        </w:rPr>
        <w:t>9. Resiliency &amp; Client-Side Protections</w:t>
      </w:r>
    </w:p>
    <w:p>
      <w:pPr>
        <w:pStyle w:val="ListBullet"/>
      </w:pPr>
      <w:r>
        <w:rPr>
          <w:b/>
        </w:rPr>
        <w:t xml:space="preserve">Incognito Mode Protection: </w:t>
      </w:r>
      <w:r>
        <w:t>Wrapped all localStorage interactions in try-catch blocks. If localStorage throws a SecurityError due to privacy blocklists, the script switches to stateful in-memory parameters. This prevents the application from crashing and guarantees interactive elements remain responsive.</w:t>
      </w:r>
    </w:p>
    <w:p>
      <w:pPr>
        <w:pStyle w:val="ListBullet"/>
      </w:pPr>
      <w:r>
        <w:rPr>
          <w:b/>
        </w:rPr>
        <w:t xml:space="preserve">ReadyState Checks: </w:t>
      </w:r>
      <w:r>
        <w:t>Uses document.readyState. If the DOM finishes loading before JavaScript executes, script listeners attach instantly rather than waiting for DOMContentLoaded events that have already been fired.</w:t>
      </w:r>
    </w:p>
    <w:p>
      <w:pPr>
        <w:pStyle w:val="Heading1"/>
        <w:spacing w:before="360" w:after="120"/>
      </w:pPr>
      <w:r>
        <w:rPr>
          <w:rFonts w:ascii="Arial" w:hAnsi="Arial"/>
          <w:b/>
          <w:color w:val="000000"/>
        </w:rPr>
        <w:t>10. Directory Mapping &amp; Repository Policies</w:t>
      </w:r>
    </w:p>
    <w:p>
      <w:pPr>
        <w:pStyle w:val="ListBullet"/>
      </w:pPr>
      <w:r>
        <w:rPr>
          <w:b/>
        </w:rPr>
        <w:t xml:space="preserve">static/: </w:t>
      </w:r>
      <w:r>
        <w:t>Clean separation of frontend scripts. Contains index.html (structure), script.js (UI logic, canvas engines, animations), and style.css (styling variables).</w:t>
      </w:r>
    </w:p>
    <w:p>
      <w:pPr>
        <w:pStyle w:val="ListBullet"/>
      </w:pPr>
      <w:r>
        <w:rPr>
          <w:b/>
        </w:rPr>
        <w:t xml:space="preserve">feynman_memory.db: </w:t>
      </w:r>
      <w:r>
        <w:t>Local SQLite database storing conversational session history.</w:t>
      </w:r>
    </w:p>
    <w:p>
      <w:pPr>
        <w:pStyle w:val="ListBullet"/>
      </w:pPr>
      <w:r>
        <w:rPr>
          <w:b/>
        </w:rPr>
        <w:t xml:space="preserve">feynman_twin_db/: </w:t>
      </w:r>
      <w:r>
        <w:t>Local cache directories hosting vector embeddings database.</w:t>
      </w:r>
    </w:p>
    <w:p>
      <w:pPr>
        <w:pStyle w:val="ListBullet"/>
      </w:pPr>
      <w:r>
        <w:rPr>
          <w:b/>
        </w:rPr>
        <w:t xml:space="preserve">.gitignore: </w:t>
      </w:r>
      <w:r>
        <w:t>Strictly ignores local binaries, DB caches, logs, credentials (.env), and python environments (.venv/) to maintain repository hygiene.</w:t>
      </w:r>
    </w:p>
    <w:p>
      <w:pPr>
        <w:spacing w:before="480"/>
      </w:pPr>
    </w:p>
    <w:p>
      <w:pPr>
        <w:jc w:val="right"/>
      </w:pPr>
      <w:r>
        <w:rPr>
          <w:rFonts w:ascii="Arial" w:hAnsi="Arial"/>
          <w:i/>
          <w:color w:val="8C8C8C"/>
          <w:sz w:val="17"/>
        </w:rPr>
        <w:t>AIMS Feynman Twin System Architecture • v1.4.0</w:t>
      </w:r>
    </w:p>
    <w:sectPr w:rsidR="00FC693F" w:rsidRPr="0006063C" w:rsidSect="00034616">
      <w:pgSz w:w="12240" w:h="15840"/>
      <w:pgMar w:top="1440" w:right="1440" w:bottom="1440" w:left="144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rPr>
      <w:rFonts w:ascii="Arial" w:hAnsi="Arial"/>
      <w:color w:val="000000"/>
      <w:sz w:val="22"/>
    </w:rPr>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