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023047"/>
          <w:sz w:val="44"/>
        </w:rPr>
        <w:t>SYSTEM DESIGN &amp; ARCHITECTURE DOCUMENTATION</w:t>
      </w:r>
    </w:p>
    <w:p>
      <w:pPr>
        <w:spacing w:after="960"/>
        <w:jc w:val="center"/>
      </w:pPr>
      <w:r>
        <w:rPr>
          <w:rFonts w:ascii="Arial" w:hAnsi="Arial"/>
          <w:i/>
          <w:color w:val="219EBC"/>
          <w:sz w:val="28"/>
        </w:rPr>
        <w:t>Stateful RAG Digital Twin of Dr. Richard Feynman</w:t>
      </w:r>
    </w:p>
    <w:p>
      <w:pPr>
        <w:pStyle w:val="Heading1"/>
        <w:spacing w:before="360" w:after="120"/>
      </w:pPr>
      <w:r>
        <w:rPr>
          <w:rFonts w:ascii="Arial" w:hAnsi="Arial"/>
          <w:b/>
          <w:color w:val="023047"/>
        </w:rPr>
        <w:t>1. Project Goal &amp; Overview</w:t>
      </w:r>
    </w:p>
    <w:p>
      <w:pPr>
        <w:spacing w:line="276" w:lineRule="auto" w:after="240"/>
      </w:pPr>
      <w:r>
        <w:t>This project establishes a stateful, interactive digital twin of Nobel laureate physicist Dr. Richard Feynman. Running on the Google Gemini LLM API, the agent does not act as a generic AI chatbot; instead, it adopts Feynman's personality, conversational tone, safe-cracking anecdotes, and signature pedagogical style (the 'Feynman Technique'). It is optimized for university students tackling advanced physics, mathematics, computing, and electrical engineering concepts.</w:t>
      </w:r>
    </w:p>
    <w:p>
      <w:pPr>
        <w:pStyle w:val="Heading1"/>
        <w:spacing w:before="360" w:after="120"/>
      </w:pPr>
      <w:r>
        <w:rPr>
          <w:rFonts w:ascii="Arial" w:hAnsi="Arial"/>
          <w:b/>
          <w:color w:val="023047"/>
        </w:rPr>
        <w:t>2. Technical Stack &amp; Architecture</w:t>
      </w:r>
    </w:p>
    <w:p>
      <w:r>
        <w:t>The application splits logically into a lightweight frontend, robust FastAPI backend, and persistent RAG data pipelines:</w:t>
      </w:r>
    </w:p>
    <w:p>
      <w:pPr>
        <w:pStyle w:val="ListBullet"/>
      </w:pPr>
      <w:r>
        <w:rPr>
          <w:b/>
        </w:rPr>
        <w:t xml:space="preserve">Frontend Web Client: </w:t>
      </w:r>
      <w:r>
        <w:t>Constructed from pure, vanilla HTML5, CSS3, and JavaScript. Employs a glassmorphic dashboard themed with Deep Space Blue (#023047), Sky Blue (#8ecae6), and Amber Flame (#ffb703) color overrides. Features a live particle-wave canvas backdrop.</w:t>
      </w:r>
    </w:p>
    <w:p>
      <w:pPr>
        <w:pStyle w:val="ListBullet"/>
      </w:pPr>
      <w:r>
        <w:rPr>
          <w:b/>
        </w:rPr>
        <w:t xml:space="preserve">FastAPI Backend: </w:t>
      </w:r>
      <w:r>
        <w:t>Provides API request routing, serves static directories, persists dialogue matrixes in SQLite, and serves as the bridge to LangChain pipelines.</w:t>
      </w:r>
    </w:p>
    <w:p>
      <w:pPr>
        <w:pStyle w:val="ListBullet"/>
      </w:pPr>
      <w:r>
        <w:rPr>
          <w:b/>
        </w:rPr>
        <w:t xml:space="preserve">Hybrid RAG Index: </w:t>
      </w:r>
      <w:r>
        <w:t>Combines dense semantic vector stores (using Google text-embedding-004 in Chroma DB) and sparse keyword tables (using BM25Retriever) to serve unified context to the LLM.</w:t>
      </w:r>
    </w:p>
    <w:p>
      <w:pPr>
        <w:pStyle w:val="Heading1"/>
        <w:spacing w:before="360" w:after="120"/>
      </w:pPr>
      <w:r>
        <w:rPr>
          <w:rFonts w:ascii="Arial" w:hAnsi="Arial"/>
          <w:b/>
          <w:color w:val="023047"/>
        </w:rPr>
        <w:t>3. Hybrid RAG Retrieval Pipeline</w:t>
      </w:r>
    </w:p>
    <w:p>
      <w:r>
        <w:t>To grounding Feynman's lessons in actual transcripts, we utilize a dual-structured RAG (Retrieval-Augmented Generation) pipeline. The system merges two independent retrieval pathways:</w:t>
      </w:r>
    </w:p>
    <w:p>
      <w:pPr>
        <w:pStyle w:val="ListBullet"/>
      </w:pPr>
      <w:r>
        <w:rPr>
          <w:b/>
        </w:rPr>
        <w:t xml:space="preserve">Dense Embedding Retrieval (70% weight): </w:t>
      </w:r>
      <w:r>
        <w:t>Converts text chunks into 768-dimensional vector spaces via the Google Embeddings API, loaded in Chroma. This ensures the engine retrieves context based on semantic intent, synonyms, and conceptual context.</w:t>
      </w:r>
    </w:p>
    <w:p>
      <w:pPr>
        <w:pStyle w:val="ListBullet"/>
      </w:pPr>
      <w:r>
        <w:rPr>
          <w:b/>
        </w:rPr>
        <w:t xml:space="preserve">Sparse Keyword Retrieval (30% weight): </w:t>
      </w:r>
      <w:r>
        <w:t>Utilizes BM25 frequency indexing. This guarantees the model successfully finds exact mathematical equations, physics variables, specific proper nouns, and code symbols that vector search might skip.</w:t>
      </w:r>
    </w:p>
    <w:p>
      <w:pPr>
        <w:pStyle w:val="ListBullet"/>
      </w:pPr>
      <w:r>
        <w:rPr>
          <w:b/>
        </w:rPr>
        <w:t xml:space="preserve">Ensemble Fusion: </w:t>
      </w:r>
      <w:r>
        <w:t>Both results are synthesized using Reciprocal Rank Fusion (RRF), establishing a grounded, factual context payload that prevents hallucinations.</w:t>
      </w:r>
    </w:p>
    <w:p>
      <w:pPr>
        <w:pStyle w:val="Heading1"/>
        <w:spacing w:before="360" w:after="120"/>
      </w:pPr>
      <w:r>
        <w:rPr>
          <w:rFonts w:ascii="Arial" w:hAnsi="Arial"/>
          <w:b/>
          <w:color w:val="023047"/>
        </w:rPr>
        <w:t>4. Quantum Memory Matrix &amp; Physics Engine</w:t>
      </w:r>
    </w:p>
    <w:p>
      <w:r>
        <w:t>A premium feature of the digital twin is the interactive Quantum Memory Matrix, which visualizes dialogue threads dynamically. This split-component layout consists of:</w:t>
      </w:r>
    </w:p>
    <w:p>
      <w:pPr>
        <w:pStyle w:val="ListBullet"/>
      </w:pPr>
      <w:r>
        <w:rPr>
          <w:b/>
        </w:rPr>
        <w:t xml:space="preserve">Local NLP Concept Extractor (memory_extractor.py): </w:t>
      </w:r>
      <w:r>
        <w:t>Analyzes chat database rows. Matches dialogues against regular expressions of Feynman's lectures, and dynamically discovers capitalized proper nouns (e.g. 'Los Alamos', 'Dirac'). Returns a structured node-link JSON payload without LLM tokens or API calls.</w:t>
      </w:r>
    </w:p>
    <w:p>
      <w:pPr>
        <w:pStyle w:val="ListBullet"/>
      </w:pPr>
      <w:r>
        <w:rPr>
          <w:b/>
        </w:rPr>
        <w:t xml:space="preserve">2D Canvas Physics Engine (script.js): </w:t>
      </w:r>
      <w:r>
        <w:t>Simulates an interactive force-directed graph. Incorporates Coulomb's repulsion (nodes push away), Hooke's spring tensions (connected topics pull together), and center gravity to maintain screen alignment. Renders glowing particle pulses along links representing neural flow.</w:t>
      </w:r>
    </w:p>
    <w:p>
      <w:pPr>
        <w:pStyle w:val="ListBullet"/>
      </w:pPr>
      <w:r>
        <w:rPr>
          <w:b/>
        </w:rPr>
        <w:t xml:space="preserve">Recall Chamber: </w:t>
      </w:r>
      <w:r>
        <w:t>Clicking on nodes inside the physics canvas triggers details fetching, printing exact past dialogue bubbles and chronological milestones on the sidebar.</w:t>
      </w:r>
    </w:p>
    <w:p>
      <w:pPr>
        <w:pStyle w:val="Heading1"/>
        <w:spacing w:before="480" w:after="120"/>
      </w:pPr>
      <w:r>
        <w:rPr>
          <w:rFonts w:ascii="Arial" w:hAnsi="Arial"/>
          <w:b/>
          <w:color w:val="023047"/>
        </w:rPr>
        <w:t>5. Step-by-Step Data Flow Example</w:t>
      </w:r>
    </w:p>
    <w:p>
      <w:r>
        <w:t>Below is the comprehensive sequence detailing how a prompt (e.g., "What is a photon?") traverses the system from user input to dynamic rendering:</w:t>
      </w:r>
    </w:p>
    <w:tbl>
      <w:tblPr>
        <w:tblW w:type="auto" w:w="0"/>
        <w:jc w:val="center"/>
        <w:tblLook w:firstColumn="1" w:firstRow="1" w:lastColumn="0" w:lastRow="0" w:noHBand="0" w:noVBand="1" w:val="04A0"/>
      </w:tblPr>
      <w:tblGrid>
        <w:gridCol w:w="9360"/>
      </w:tblGrid>
      <w:tr>
        <w:tc>
          <w:tcPr>
            <w:tcW w:type="dxa" w:w="9360"/>
            <w:shd w:fill="F3F4F6"/>
            <w:tcBorders>
              <w:top w:val="none"/>
              <w:left w:val="single" w:sz="24" w:space="0" w:color="219EBC"/>
              <w:bottom w:val="none"/>
              <w:right w:val="none"/>
            </w:tcBorders>
          </w:tcPr>
          <w:p>
            <w:pPr>
              <w:spacing w:before="120" w:after="120"/>
              <w:ind w:left="216" w:right="216"/>
            </w:pPr>
            <w:r>
              <w:rPr>
                <w:rFonts w:ascii="Courier New" w:hAnsi="Courier New"/>
                <w:color w:val="1F2937"/>
                <w:sz w:val="19"/>
              </w:rPr>
              <w:t>=== PROMPT DATA FLOW TIMELINE: "What is a photon?" ===</w:t>
              <w:br/>
              <w:br/>
              <w:t>1. USER INPUT EVENT</w:t>
              <w:br/>
              <w:t xml:space="preserve">   - User types the query and presses Enter.</w:t>
              <w:br/>
              <w:t xml:space="preserve">   - Frontend JavaScript intercepts the form submit event, calls preventDefault(), and parses the input.</w:t>
              <w:br/>
              <w:t xml:space="preserve">   - The script immediately appends a user chat bubble to #messagesContainer, resets the textarea,</w:t>
              <w:br/>
              <w:t xml:space="preserve">     and renders the Feynman 'thinking' typing indicator dot animation.</w:t>
              <w:br/>
              <w:br/>
              <w:t>2. POST DISPATCH TO FASTAPI</w:t>
              <w:br/>
              <w:t xml:space="preserve">   - An asynchronous fetch POST request is sent to http://127.0.0.1:8000/api/chat.</w:t>
              <w:br/>
              <w:t xml:space="preserve">   - Payload structure:</w:t>
              <w:br/>
              <w:t xml:space="preserve">       {</w:t>
              <w:br/>
              <w:t xml:space="preserve">           "message": "What is a photon?",</w:t>
              <w:br/>
              <w:t xml:space="preserve">           "session_id": "feynman_session_hm2iqierz"</w:t>
              <w:br/>
              <w:t xml:space="preserve">       }</w:t>
              <w:br/>
              <w:br/>
              <w:t>3. BACKEND ROUTE HANDLING</w:t>
              <w:br/>
              <w:t xml:space="preserve">   - FastAPI chat_endpoint receives the ChatRequest schema, validates non-empty payloads,</w:t>
              <w:br/>
              <w:t xml:space="preserve">     and routes the prompt to feynman_twin.invoke().</w:t>
              <w:br/>
              <w:br/>
              <w:t>4. DUAL RETRIEVAL STEP</w:t>
              <w:br/>
              <w:t xml:space="preserve">   - Semantic Vector Search: The query is sent to Google Generative AI Embeddings, converted to</w:t>
              <w:br/>
              <w:t xml:space="preserve">     vectors, and Chroma DB returns the top 6 dense document chunks matching the theme.</w:t>
              <w:br/>
              <w:t xml:space="preserve">   - Sparse Keyword Search: BM25Retriever tokenizes the prompt and returns the top 6 matching text</w:t>
              <w:br/>
              <w:t xml:space="preserve">     chunks based on keyword occurrences.</w:t>
              <w:br/>
              <w:br/>
              <w:t>5. ENSEMBLE FUSION AND LLM INFERENCE</w:t>
              <w:br/>
              <w:t xml:space="preserve">   - EnsembleRetriever applies Reciprocal Rank Fusion (weights: 70% vector, 30% keyword) to merge context.</w:t>
              <w:br/>
              <w:t xml:space="preserve">   - SQLite retrieves the conversational history matching feynman_session_hm2iqierz.</w:t>
              <w:br/>
              <w:t xml:space="preserve">   - Prompt Template constructs a final prompt combining: System Prompt + Chat History + RAG Context + User Prompt.</w:t>
              <w:br/>
              <w:t xml:space="preserve">   - gemini-2.5-flash LLM generates Feynman's response, synthesizing the physics answer in his voice.</w:t>
              <w:br/>
              <w:br/>
              <w:t>6. PERSISTENCE LAYER WRITE</w:t>
              <w:br/>
              <w:t xml:space="preserve">   - The prompt and synthesized response are saved as new chat messages in SQLChatMessageHistory.</w:t>
              <w:br/>
              <w:t xml:space="preserve">   - Database records: feynman_memory.db -&gt; table message_store.</w:t>
              <w:br/>
              <w:br/>
              <w:t>7. CLIENT RESPONSE &amp; MD COMPILATION</w:t>
              <w:br/>
              <w:t xml:space="preserve">   - FastAPI responds with HTTP 200 containing JSON ChatResponse: {"answer": "Feynman's response text..."}.</w:t>
              <w:br/>
              <w:t xml:space="preserve">   - script.js deletes the typing animation bubble.</w:t>
              <w:br/>
              <w:t xml:space="preserve">   - The response markdown is parsed locally (converting markdown headers, code segments, and bold strings to HTML).</w:t>
              <w:br/>
              <w:t xml:space="preserve">   - A new feynman-message bubble is appended to the DOM.</w:t>
              <w:br/>
              <w:br/>
              <w:t>8. LATEX TYPESET TRIGGER</w:t>
              <w:br/>
              <w:t xml:space="preserve">   - JavaScript evaluates window.MathJax. If active, it runs MathJax.typesetPromise([msgDiv]).</w:t>
              <w:br/>
              <w:t xml:space="preserve">   - MathJax compiles inline LaTeX ($E = hf$) and block LaTeX ($$c = \lambda f$$) in the bubble,</w:t>
              <w:br/>
              <w:t xml:space="preserve">     rendering publication-grade formulas on screen.</w:t>
              <w:br/>
              <w:t xml:space="preserve">   - Sidebar topics lists are refreshed if it's the first message of the session.</w:t>
            </w:r>
          </w:p>
        </w:tc>
      </w:tr>
    </w:tbl>
    <w:p>
      <w:pPr>
        <w:spacing w:before="240"/>
      </w:pPr>
    </w:p>
    <w:p>
      <w:pPr>
        <w:pStyle w:val="Heading1"/>
        <w:spacing w:before="360" w:after="120"/>
      </w:pPr>
      <w:r>
        <w:rPr>
          <w:rFonts w:ascii="Arial" w:hAnsi="Arial"/>
          <w:b/>
          <w:color w:val="023047"/>
        </w:rPr>
        <w:t>6. Resiliency &amp; Client-Side Protections</w:t>
      </w:r>
    </w:p>
    <w:p>
      <w:pPr>
        <w:pStyle w:val="ListBullet"/>
      </w:pPr>
      <w:r>
        <w:rPr>
          <w:b/>
        </w:rPr>
        <w:t xml:space="preserve">Incognito Mode Protection: </w:t>
      </w:r>
      <w:r>
        <w:t>Wrapped all localStorage interactions in try-catch blocks. If localStorage throws a SecurityError due to privacy blocklists, the script switches to stateful in-memory parameters. This prevents the application from crashing and guarantees interactive elements remain responsive.</w:t>
      </w:r>
    </w:p>
    <w:p>
      <w:pPr>
        <w:pStyle w:val="ListBullet"/>
      </w:pPr>
      <w:r>
        <w:rPr>
          <w:b/>
        </w:rPr>
        <w:t xml:space="preserve">ReadyState Checks: </w:t>
      </w:r>
      <w:r>
        <w:t>Uses document.readyState. If the DOM finishes loading before JavaScript executes, script listeners attach instantly rather than waiting for DOMContentLoaded events that have already been fired.</w:t>
      </w:r>
    </w:p>
    <w:p>
      <w:pPr>
        <w:spacing w:before="480"/>
      </w:pPr>
    </w:p>
    <w:p>
      <w:pPr>
        <w:jc w:val="right"/>
      </w:pPr>
      <w:r>
        <w:rPr>
          <w:rFonts w:ascii="Arial" w:hAnsi="Arial"/>
          <w:i/>
          <w:color w:val="9CA3AF"/>
          <w:sz w:val="17"/>
        </w:rPr>
        <w:t>AIMS Feynman Twin System Architecture • v1.2.0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7415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