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1F1F"/>
          <w:sz w:val="34"/>
          <w:szCs w:val="34"/>
        </w:rPr>
        <w:t xml:space="preserve">Coverage-Combustibility Gap</w:t>
      </w:r>
    </w:p>
    <w:p>
      <w:pPr>
        <w:spacing w:after="200"/>
      </w:pPr>
      <w:r>
        <w:rPr>
          <w:i/>
          <w:iCs/>
          <w:color w:val="5A5A5A"/>
          <w:sz w:val="20"/>
          <w:szCs w:val="20"/>
        </w:rPr>
        <w:t xml:space="preserve">A physics-aware fusion of Mireye ignition risk and USFA fire-response capacity for WUI capital planning</w:t>
      </w:r>
    </w:p>
    <w:p>
      <w:pPr>
        <w:pStyle w:val="Heading1"/>
        <w:pBdr>
          <w:bottom w:val="single" w:color="B14A2E" w:sz="6" w:space="4"/>
        </w:pBdr>
        <w:spacing w:after="100" w:before="240"/>
      </w:pPr>
      <w:r>
        <w:rPr>
          <w:b/>
          <w:bCs/>
          <w:color w:val="1F1F1F"/>
          <w:sz w:val="26"/>
          <w:szCs w:val="26"/>
        </w:rPr>
        <w:t xml:space="preserve">1. Technical Approach</w:t>
      </w:r>
    </w:p>
    <w:p>
      <w:pPr>
        <w:pStyle w:val="Heading2"/>
        <w:spacing w:after="60" w:before="180"/>
      </w:pPr>
      <w:r>
        <w:rPr>
          <w:b/>
          <w:bCs/>
          <w:color w:val="B14A2E"/>
          <w:sz w:val="22"/>
          <w:szCs w:val="22"/>
        </w:rPr>
        <w:t xml:space="preserve">Problem &amp; Question</w:t>
      </w:r>
    </w:p>
    <w:p>
      <w:pPr>
        <w:spacing w:after="80"/>
      </w:pPr>
      <w:r>
        <w:rPr>
          <w:color w:val="1F1F1F"/>
          <w:sz w:val="20"/>
          <w:szCs w:val="20"/>
        </w:rPr>
        <w:t xml:space="preserve">Which rural / wildland-urban interface (WUI) housing clusters are both physically primed to ignite and furthest from the fire-response capacity meant to protect them — and where is that gap widening? The output is a ranked, physics-justified shortlist for a county emergency manager or rural fire district board, not a generic risk map.</w:t>
      </w:r>
    </w:p>
    <w:p>
      <w:pPr>
        <w:pStyle w:val="Heading2"/>
        <w:spacing w:after="60" w:before="180"/>
      </w:pPr>
      <w:r>
        <w:rPr>
          <w:b/>
          <w:bCs/>
          <w:color w:val="B14A2E"/>
          <w:sz w:val="22"/>
          <w:szCs w:val="22"/>
        </w:rPr>
        <w:t xml:space="preserve">Data Fusion</w:t>
      </w:r>
    </w:p>
    <w:p>
      <w:pPr>
        <w:spacing w:after="80"/>
      </w:pPr>
      <w:r>
        <w:rPr>
          <w:color w:val="1F1F1F"/>
          <w:sz w:val="20"/>
          <w:szCs w:val="20"/>
        </w:rPr>
        <w:t xml:space="preserve">Mireye (ignition-side, static/structural fields, hex-aggregated):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Slope and aspect (topography)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Fuel / vegetation classification proxy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Construction-era / roof-material proxy → thermal-inertia stand-in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Wind exposure (NOAA climatological normals where Mireye lacks a wind field)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Housing density; distance to nearest surface water source</w:t>
      </w:r>
    </w:p>
    <w:p>
      <w:pPr>
        <w:spacing w:after="80"/>
      </w:pPr>
      <w:r>
        <w:rPr>
          <w:color w:val="1F1F1F"/>
          <w:sz w:val="20"/>
          <w:szCs w:val="20"/>
        </w:rPr>
        <w:t xml:space="preserve">USFA National Fire Department Registry (response-side, the actual second dataset that fuses with Mireye):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Station locations, apparatus type/count, staffing model — free, public, geocodable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Census Bureau geocoder used to fill coordinate gaps in the registry</w:t>
      </w:r>
    </w:p>
    <w:p>
      <w:pPr>
        <w:spacing w:after="80"/>
      </w:pPr>
      <w:r>
        <w:rPr>
          <w:color w:val="1F1F1F"/>
          <w:sz w:val="20"/>
          <w:szCs w:val="20"/>
        </w:rPr>
        <w:t xml:space="preserve">The join point — a hex-level score that measures ignition risk against response capacity — exists in neither source alone. That is the fusion.</w:t>
      </w:r>
    </w:p>
    <w:p>
      <w:pPr>
        <w:pStyle w:val="Heading2"/>
        <w:spacing w:after="60" w:before="180"/>
      </w:pPr>
      <w:r>
        <w:rPr>
          <w:b/>
          <w:bCs/>
          <w:color w:val="B14A2E"/>
          <w:sz w:val="22"/>
          <w:szCs w:val="22"/>
        </w:rPr>
        <w:t xml:space="preserve">Physics Enrichment</w:t>
      </w:r>
    </w:p>
    <w:p>
      <w:pPr>
        <w:spacing w:after="80"/>
      </w:pPr>
      <w:r>
        <w:rPr>
          <w:color w:val="1F1F1F"/>
          <w:sz w:val="20"/>
          <w:szCs w:val="20"/>
        </w:rPr>
        <w:t xml:space="preserve">Ignition Propensity Score (IPS): a Rothermel-inspired weighted composite of fuel load, slope, wind exposure, and the thermal-inertia proxy, each normalized 0–1.</w:t>
      </w:r>
    </w:p>
    <w:p>
      <w:pPr>
        <w:spacing w:after="80"/>
      </w:pPr>
      <w:r>
        <w:rPr>
          <w:color w:val="1F1F1F"/>
          <w:sz w:val="20"/>
          <w:szCs w:val="20"/>
        </w:rPr>
        <w:t xml:space="preserve">Response Capacity Score (RCS): drive-time to nearest adequately staffed station (via OSRM, static routing — no live traffic dependency) evaluated against NFPA-1 required fire flow for local housing density and construction class.</w:t>
      </w:r>
    </w:p>
    <w:p>
      <w:pPr>
        <w:spacing w:after="80"/>
      </w:pPr>
      <w:r>
        <w:rPr>
          <w:color w:val="1F1F1F"/>
          <w:sz w:val="20"/>
          <w:szCs w:val="20"/>
        </w:rPr>
        <w:t xml:space="preserve">Coverage-Combustibility Gap (CCG) = IPS × (1 − RCS, normalized). Multiplicative by design: a fire-resistant hex doesn't matter how underserved it is, and a well-covered hex doesn't matter how flammable it is — only the intersection is the planning problem.</w:t>
      </w:r>
    </w:p>
    <w:p>
      <w:pPr>
        <w:pStyle w:val="Heading2"/>
        <w:spacing w:after="60" w:before="180"/>
      </w:pPr>
      <w:r>
        <w:rPr>
          <w:b/>
          <w:bCs/>
          <w:color w:val="B14A2E"/>
          <w:sz w:val="22"/>
          <w:szCs w:val="22"/>
        </w:rPr>
        <w:t xml:space="preserve">Agentic / MCP Architecture</w:t>
      </w:r>
    </w:p>
    <w:p>
      <w:pPr>
        <w:spacing w:after="80"/>
      </w:pPr>
      <w:r>
        <w:rPr>
          <w:color w:val="1F1F1F"/>
          <w:sz w:val="20"/>
          <w:szCs w:val="20"/>
        </w:rPr>
        <w:t xml:space="preserve">Four tools, deterministic math kept out of the LLM:</w:t>
      </w:r>
    </w:p>
    <w:p>
      <w:pPr>
        <w:spacing w:after="100"/>
        <w:ind w:left="260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get_hex_physics(hex_id)         → Mireye enrichment fields</w:t>
      </w:r>
    </w:p>
    <w:p>
      <w:pPr>
        <w:spacing w:after="100"/>
        <w:ind w:left="260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get_nearest_stations(lat,lon,n) → USFA station data + drive time</w:t>
      </w:r>
    </w:p>
    <w:p>
      <w:pPr>
        <w:spacing w:after="100"/>
        <w:ind w:left="260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compute_gap_score(hex_id)       → IPS / RCS / CCG + reasoning trace</w:t>
      </w:r>
    </w:p>
    <w:p>
      <w:pPr>
        <w:spacing w:after="100"/>
        <w:ind w:left="260"/>
      </w:pPr>
      <w:r>
        <w:rPr>
          <w:rFonts w:ascii="Consolas" w:cs="Consolas" w:eastAsia="Consolas" w:hAnsi="Consolas"/>
          <w:color w:val="5A5A5A"/>
          <w:sz w:val="18"/>
          <w:szCs w:val="18"/>
        </w:rPr>
        <w:t xml:space="preserve">draft_capital_brief(hex_id)     → LLM turns trace into a planning memo</w:t>
      </w:r>
    </w:p>
    <w:p>
      <w:pPr>
        <w:spacing w:after="80"/>
      </w:pPr>
      <w:r>
        <w:rPr>
          <w:color w:val="1F1F1F"/>
          <w:sz w:val="20"/>
          <w:szCs w:val="20"/>
        </w:rPr>
        <w:t xml:space="preserve">The LLM orchestrates and narrates; it never computes the score itself — that keeps the core USP (physics-grounded, non-hallucinated numbers) intact.</w:t>
      </w:r>
    </w:p>
    <w:p>
      <w:pPr>
        <w:pStyle w:val="Heading2"/>
        <w:spacing w:after="60" w:before="180"/>
      </w:pPr>
      <w:r>
        <w:rPr>
          <w:b/>
          <w:bCs/>
          <w:color w:val="B14A2E"/>
          <w:sz w:val="22"/>
          <w:szCs w:val="22"/>
        </w:rPr>
        <w:t xml:space="preserve">Validation</w:t>
      </w:r>
    </w:p>
    <w:p>
      <w:pPr>
        <w:spacing w:after="80"/>
      </w:pPr>
      <w:r>
        <w:rPr>
          <w:color w:val="1F1F1F"/>
          <w:sz w:val="20"/>
          <w:szCs w:val="20"/>
        </w:rPr>
        <w:t xml:space="preserve">Top 15–20 ranked CCG hexes checked for overlap against CAL FIRE Fire Hazard Severity Zones and, where available, ISO PPC ratings — both free and public. Reported as correlation against known ground truth, not a pass/fail claim.</w:t>
      </w:r>
    </w:p>
    <w:p>
      <w:pPr>
        <w:pStyle w:val="Heading2"/>
        <w:spacing w:after="60" w:before="180"/>
      </w:pPr>
      <w:r>
        <w:rPr>
          <w:b/>
          <w:bCs/>
          <w:color w:val="B14A2E"/>
          <w:sz w:val="22"/>
          <w:szCs w:val="22"/>
        </w:rPr>
        <w:t xml:space="preserve">Stack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Backend: Python — scoring module + MCP server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Frontend: deck.gl (native H3 hex layer) for the ranked map view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No live weather, live traffic, or dispatch integration — everything static/batch, which keeps Mireye credit spend low and removes demo-day flakiness</w:t>
      </w:r>
    </w:p>
    <w:p>
      <w:pPr>
        <w:pStyle w:val="Heading2"/>
        <w:spacing w:after="60" w:before="180"/>
      </w:pPr>
      <w:r>
        <w:rPr>
          <w:b/>
          <w:bCs/>
          <w:color w:val="B14A2E"/>
          <w:sz w:val="22"/>
          <w:szCs w:val="22"/>
        </w:rPr>
        <w:t xml:space="preserve">Phase 2 (Stretch Goal): Active Fire Response</w:t>
      </w:r>
    </w:p>
    <w:p>
      <w:pPr>
        <w:spacing w:after="80"/>
      </w:pPr>
      <w:r>
        <w:rPr>
          <w:color w:val="1F1F1F"/>
          <w:sz w:val="20"/>
          <w:szCs w:val="20"/>
        </w:rPr>
        <w:t xml:space="preserve">Extends the same physics engine from preemptive risk to an active-fire scenario, without requiring a live incident or unverifiable dispatch/broadcast integrations.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Spread simulation: replay a real historical WUI fire (CAL FIRE incident archive — known ignition point, recorded weather/wind, documented final burn perimeter) through a Rothermel-based spread model driven by Mireye terrain, fuel, and wind 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Validation: score the simulated perimeter against the real, documented perimeter — this is the ground truth the preemptive phase lacks, and it directly answers 'test against reality' for the active-fire half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Apparatus recommendation (decision-support, not live dispatch): NFPA-1 fire-flow math against the simulated fire's scale, output as a recommended apparatus count and nearest-station list — a human dispatcher acts on it, the agent does not autonomously call anything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Citizen alert geofence (artifact, not live broadcast): agent generates a physics-based danger polygon (not a generic radius) and outputs a CAP 1.2-formatted alert payload — demoed as a generated artifact, not an actual broadcast</w:t>
      </w:r>
    </w:p>
    <w:p>
      <w:pPr>
        <w:spacing w:after="80"/>
      </w:pPr>
      <w:r>
        <w:rPr>
          <w:color w:val="1F1F1F"/>
          <w:sz w:val="20"/>
          <w:szCs w:val="20"/>
        </w:rPr>
        <w:t xml:space="preserve">This keeps every physics claim from the original two-scenario vision intact while removing the two pieces that cannot be tested or built by a small team in the hackathon window: live dispatch integration and live public alert broadcasting.</w:t>
      </w:r>
    </w:p>
    <w:p>
      <w:pPr>
        <w:pStyle w:val="Heading1"/>
        <w:pBdr>
          <w:bottom w:val="single" w:color="B14A2E" w:sz="6" w:space="4"/>
        </w:pBdr>
        <w:spacing w:after="100" w:before="240"/>
      </w:pPr>
      <w:r>
        <w:rPr>
          <w:b/>
          <w:bCs/>
          <w:color w:val="1F1F1F"/>
          <w:sz w:val="26"/>
          <w:szCs w:val="26"/>
        </w:rPr>
        <w:t xml:space="preserve">2. Progress Made So Far</w:t>
      </w:r>
    </w:p>
    <w:p>
      <w:pPr>
        <w:spacing w:after="40"/>
      </w:pPr>
      <w:r>
        <w:rPr>
          <w:sz w:val="20"/>
          <w:szCs w:val="20"/>
        </w:rPr>
        <w:t xml:space="preserve"> </w:t>
      </w:r>
    </w:p>
    <w:p>
      <w:pPr>
        <w:pBdr>
          <w:top w:val="single" w:color="CCCCCC" w:sz="4" w:space="6"/>
          <w:bottom w:val="single" w:color="CCCCCC" w:sz="4" w:space="6"/>
          <w:left w:val="single" w:color="CCCCCC" w:sz="4" w:space="6"/>
          <w:right w:val="single" w:color="CCCCCC" w:sz="4" w:space="6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spacing w:after="40"/>
      </w:pPr>
      <w:r>
        <w:rPr>
          <w:sz w:val="20"/>
          <w:szCs w:val="20"/>
        </w:rPr>
        <w:t xml:space="preserve"> </w:t>
      </w:r>
    </w:p>
    <w:p>
      <w:pPr>
        <w:spacing w:after="40"/>
      </w:pPr>
      <w:r>
        <w:rPr>
          <w:sz w:val="20"/>
          <w:szCs w:val="20"/>
        </w:rPr>
        <w:t xml:space="preserve"> </w:t>
      </w:r>
    </w:p>
    <w:p>
      <w:pPr>
        <w:spacing w:after="40"/>
      </w:pPr>
      <w:r>
        <w:rPr>
          <w:sz w:val="20"/>
          <w:szCs w:val="20"/>
        </w:rPr>
        <w:t xml:space="preserve"> </w:t>
      </w:r>
    </w:p>
    <w:p>
      <w:pPr>
        <w:spacing w:after="40"/>
      </w:pPr>
      <w:r>
        <w:rPr>
          <w:sz w:val="20"/>
          <w:szCs w:val="20"/>
        </w:rPr>
        <w:t xml:space="preserve"> </w:t>
      </w:r>
    </w:p>
    <w:p>
      <w:pPr>
        <w:spacing w:after="200"/>
      </w:pPr>
      <w:r>
        <w:rPr>
          <w:sz w:val="20"/>
          <w:szCs w:val="20"/>
        </w:rPr>
        <w:t xml:space="preserve"> </w:t>
      </w:r>
    </w:p>
    <w:p>
      <w:pPr>
        <w:pStyle w:val="Heading1"/>
        <w:pBdr>
          <w:bottom w:val="single" w:color="B14A2E" w:sz="6" w:space="4"/>
        </w:pBdr>
        <w:spacing w:after="100" w:before="240"/>
      </w:pPr>
      <w:r>
        <w:rPr>
          <w:b/>
          <w:bCs/>
          <w:color w:val="1F1F1F"/>
          <w:sz w:val="26"/>
          <w:szCs w:val="26"/>
        </w:rPr>
        <w:t xml:space="preserve">3. Future Plans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Confirm exact Mireye field availability and per-hex credit cost via GET /v1/meta/fields; lock the field list before scaling beyond the pilot county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Finalize IPS/RCS weighting against published Rothermel sensitivity literature rather than arbitrary defaults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Complete USFA registry geocoding pass and station apparatus/staffing normalization for the pilot region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Run the CAL FIRE FHSZ / ISO PPC correlation check on the top-ranked hexes and report validation results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Build the deck.gl dashboard: hex map, click-through reasoning trace, and drafted capital-planning brief per hex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F1F1F"/>
          <w:sz w:val="20"/>
          <w:szCs w:val="20"/>
        </w:rPr>
        <w:t xml:space="preserve">Pilot with one county emergency manager for qualitative feedback on the brief's usefulness before wider rollout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2026-08-24T13:20:55.783Z</dcterms:created>
  <dcterms:modified xsi:type="dcterms:W3CDTF">2026-08-24T13:20:55.797Z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