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and credits</w:t>
      </w:r>
    </w:p>
    <w:p>
      <w:r>
        <w:t>Disclaimer, copyright, privacy, and how to ask for a correction.</w:t>
      </w:r>
    </w:p>
    <w:p>
      <w:pPr>
        <w:pStyle w:val="ListBullet"/>
      </w:pPr>
      <w:r>
        <w:t>This room is the legal page: disclaimer, copyright, trademarks, third-party licences, privacy, accessibility, and how to ask for a correction. The notes and drawings are original. Browser speech is the platform voice. three.js is not shipped. No pre-recorded clips were made, because no open local speech engine was on the build machine.</w:t>
      </w:r>
    </w:p>
    <w:p>
      <w:pPr>
        <w:pStyle w:val="ListBullet"/>
      </w:pPr>
      <w:r>
        <w:t>Trust a sentence that has a source line. Treat a to-be-confirmed line as unknown. Ask for a correction through the contact form on the lab website.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