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Practice</w:t>
      </w:r>
    </w:p>
    <w:p>
      <w:r>
        <w:t>Flashcards, a quiz, and a sort game.</w:t>
      </w:r>
    </w:p>
    <w:p>
      <w:pPr>
        <w:pStyle w:val="ListBullet"/>
      </w:pPr>
      <w:r>
        <w:t>Cards, a quiz, a sort, a match, a stakeholder interview, a triage, and a BPMN order game. Scores stay in this browser. Questions were written for this lab. They are not retired exam items.</w:t>
      </w:r>
    </w:p>
    <w:p>
      <w:pPr>
        <w:pStyle w:val="ListBullet"/>
      </w:pPr>
      <w:r>
        <w:t>Flip ten cards. Then take the quiz. Then place four triage items. The point is the habit, not a score to publish.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