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Resources</w:t>
      </w:r>
    </w:p>
    <w:p>
      <w:r>
        <w:t>Links that opened in the October 2026 check.</w:t>
      </w:r>
    </w:p>
    <w:p>
      <w:pPr>
        <w:pStyle w:val="ListBullet"/>
      </w:pPr>
      <w:r>
        <w:t>Every link in the table was requested in the October 2026 check. A page that did not open is omitted, and the related note says what is still to be confirmed.</w:t>
      </w:r>
    </w:p>
    <w:p>
      <w:pPr>
        <w:pStyle w:val="ListBullet"/>
      </w:pPr>
      <w:r>
        <w:t>Scrum.org assessment pages, the SAFe POPM course page, and Kanban University course fees did not render. They are not linked and no price is invented.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