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Search</w:t>
      </w:r>
    </w:p>
    <w:p>
      <w:r>
        <w:t>Search the business analysis lab.</w:t>
      </w:r>
    </w:p>
    <w:p>
      <w:pPr>
        <w:pStyle w:val="ListBullet"/>
      </w:pPr>
      <w:r>
        <w:t>Search looks through notes and glossary meanings in this browser. It does not call a server.</w:t>
      </w:r>
    </w:p>
    <w:p>
      <w:pPr>
        <w:pStyle w:val="ListBullet"/>
      </w:pPr>
      <w:r>
        <w:t>Search for traceability, gateway, or ECBA. Open the note. The source line is the page that was checked.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