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Help</w:t>
      </w:r>
    </w:p>
    <w:p>
      <w:r>
        <w:t>How the menu, the course, the guide, and the downloads work.</w:t>
      </w:r>
    </w:p>
    <w:p>
      <w:pPr>
        <w:pStyle w:val="ListBullet"/>
      </w:pPr>
      <w:r>
        <w:t>The top-left button slides the menu in. Start here is the short path. The monkey docks on the right edge, can read a section aloud, and can point at an export. The Downloads page lists every standalone file.</w:t>
      </w:r>
    </w:p>
    <w:p>
      <w:pPr>
        <w:pStyle w:val="ListBullet"/>
      </w:pPr>
      <w:r>
        <w:t>The first visit shows a short tour. Help opens that tour again. The choice is stored in this browser.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